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A7D1EB" w14:textId="51672F9A" w:rsidR="007C62F9" w:rsidRDefault="007C62F9" w:rsidP="00257C90">
      <w:pPr>
        <w:pStyle w:val="1-Sopratitolo"/>
        <w:spacing w:line="260" w:lineRule="atLeast"/>
        <w:rPr>
          <w:szCs w:val="20"/>
        </w:rPr>
      </w:pPr>
      <w:r>
        <w:rPr>
          <w:szCs w:val="21"/>
        </w:rPr>
        <w:t xml:space="preserve">Massimo Baldini, </w:t>
      </w:r>
      <w:r w:rsidR="00684E48">
        <w:rPr>
          <w:szCs w:val="21"/>
        </w:rPr>
        <w:t>Stefano Toso</w:t>
      </w:r>
      <w:r w:rsidRPr="00E64830">
        <w:rPr>
          <w:szCs w:val="20"/>
        </w:rPr>
        <w:footnoteReference w:customMarkFollows="1" w:id="1"/>
        <w:sym w:font="Symbol" w:char="F020"/>
      </w:r>
    </w:p>
    <w:p w14:paraId="7E9A007B" w14:textId="77777777" w:rsidR="008651F3" w:rsidRPr="00E64830" w:rsidRDefault="008651F3" w:rsidP="00257C90">
      <w:pPr>
        <w:pStyle w:val="1-Sopratitolo"/>
        <w:spacing w:line="260" w:lineRule="atLeast"/>
        <w:rPr>
          <w:szCs w:val="21"/>
        </w:rPr>
      </w:pPr>
    </w:p>
    <w:p w14:paraId="3D2CF991" w14:textId="57E10257" w:rsidR="007C62F9" w:rsidRDefault="007C62F9" w:rsidP="007C62F9">
      <w:pPr>
        <w:pStyle w:val="2-Titolo"/>
        <w:spacing w:after="28" w:line="260" w:lineRule="atLeast"/>
        <w:rPr>
          <w:szCs w:val="21"/>
        </w:rPr>
      </w:pPr>
      <w:r>
        <w:rPr>
          <w:szCs w:val="21"/>
        </w:rPr>
        <w:t>le politiche per l’assistenza</w:t>
      </w:r>
      <w:r w:rsidR="00684E48">
        <w:rPr>
          <w:szCs w:val="21"/>
        </w:rPr>
        <w:t xml:space="preserve"> </w:t>
      </w:r>
    </w:p>
    <w:p w14:paraId="016EF750" w14:textId="77777777" w:rsidR="007C62F9" w:rsidRPr="00C858BA" w:rsidRDefault="007C62F9" w:rsidP="007C62F9">
      <w:pPr>
        <w:pStyle w:val="2-Titolo"/>
        <w:spacing w:after="28" w:line="260" w:lineRule="atLeast"/>
        <w:ind w:left="4764"/>
        <w:jc w:val="right"/>
        <w:rPr>
          <w:i/>
          <w:caps w:val="0"/>
          <w:sz w:val="16"/>
          <w:szCs w:val="16"/>
        </w:rPr>
      </w:pPr>
      <w:r>
        <w:rPr>
          <w:rFonts w:cs="Times New Roman PS"/>
          <w:i/>
          <w:caps w:val="0"/>
          <w:color w:val="000000"/>
          <w:sz w:val="16"/>
          <w:szCs w:val="16"/>
        </w:rPr>
        <w:t xml:space="preserve"> </w:t>
      </w:r>
    </w:p>
    <w:p w14:paraId="19125E0E" w14:textId="77777777" w:rsidR="007C62F9" w:rsidRPr="00E64830" w:rsidRDefault="007C62F9" w:rsidP="007C62F9">
      <w:pPr>
        <w:pStyle w:val="3-Titoletto"/>
        <w:numPr>
          <w:ilvl w:val="0"/>
          <w:numId w:val="1"/>
        </w:numPr>
        <w:tabs>
          <w:tab w:val="clear" w:pos="720"/>
          <w:tab w:val="num" w:pos="284"/>
        </w:tabs>
        <w:spacing w:after="0" w:line="260" w:lineRule="atLeast"/>
        <w:ind w:left="284" w:hanging="284"/>
        <w:rPr>
          <w:rFonts w:ascii="Simoncini Garamond" w:hAnsi="Simoncini Garamond"/>
        </w:rPr>
      </w:pPr>
      <w:r w:rsidRPr="00E64830">
        <w:rPr>
          <w:rFonts w:ascii="Simoncini Garamond" w:hAnsi="Simoncini Garamond"/>
        </w:rPr>
        <w:t>Introduzione</w:t>
      </w:r>
    </w:p>
    <w:p w14:paraId="49918A96" w14:textId="77777777" w:rsidR="00BF5C23" w:rsidRDefault="00BF5C23" w:rsidP="00295AAC">
      <w:pPr>
        <w:pStyle w:val="Corpotesto1"/>
        <w:rPr>
          <w:rFonts w:ascii="Simoncini Garamond" w:hAnsi="Simoncini Garamond"/>
          <w:color w:val="auto"/>
          <w:sz w:val="21"/>
        </w:rPr>
      </w:pPr>
    </w:p>
    <w:p w14:paraId="1F5F49E5" w14:textId="21C76A19" w:rsidR="00B94947" w:rsidRDefault="008937A4" w:rsidP="00971DCD">
      <w:pPr>
        <w:pStyle w:val="Corpotesto1"/>
        <w:rPr>
          <w:rFonts w:ascii="Simoncini Garamond" w:hAnsi="Simoncini Garamond"/>
          <w:color w:val="auto"/>
          <w:sz w:val="21"/>
        </w:rPr>
      </w:pPr>
      <w:r>
        <w:rPr>
          <w:rFonts w:ascii="Simoncini Garamond" w:hAnsi="Simoncini Garamond"/>
          <w:color w:val="auto"/>
          <w:sz w:val="21"/>
        </w:rPr>
        <w:tab/>
      </w:r>
      <w:r w:rsidRPr="001E21F3">
        <w:rPr>
          <w:rFonts w:ascii="Simoncini Garamond" w:hAnsi="Simoncini Garamond"/>
          <w:sz w:val="21"/>
        </w:rPr>
        <w:t xml:space="preserve">Nel corso </w:t>
      </w:r>
      <w:r>
        <w:rPr>
          <w:rFonts w:ascii="Simoncini Garamond" w:hAnsi="Simoncini Garamond"/>
          <w:color w:val="auto"/>
          <w:sz w:val="21"/>
        </w:rPr>
        <w:t xml:space="preserve">della seconda metà </w:t>
      </w:r>
      <w:r w:rsidRPr="001E21F3">
        <w:rPr>
          <w:rFonts w:ascii="Simoncini Garamond" w:hAnsi="Simoncini Garamond"/>
          <w:sz w:val="21"/>
        </w:rPr>
        <w:t xml:space="preserve">del </w:t>
      </w:r>
      <w:r>
        <w:rPr>
          <w:rFonts w:ascii="Simoncini Garamond" w:hAnsi="Simoncini Garamond"/>
          <w:color w:val="auto"/>
          <w:sz w:val="21"/>
        </w:rPr>
        <w:t xml:space="preserve">2022 </w:t>
      </w:r>
      <w:r w:rsidRPr="008937A4">
        <w:rPr>
          <w:rFonts w:ascii="Simoncini Garamond" w:hAnsi="Simoncini Garamond"/>
          <w:color w:val="auto"/>
          <w:sz w:val="21"/>
        </w:rPr>
        <w:t xml:space="preserve">l’emergenza </w:t>
      </w:r>
      <w:r>
        <w:rPr>
          <w:rFonts w:ascii="Simoncini Garamond" w:hAnsi="Simoncini Garamond"/>
          <w:color w:val="auto"/>
          <w:sz w:val="21"/>
        </w:rPr>
        <w:t xml:space="preserve">– anche economica - del </w:t>
      </w:r>
      <w:r w:rsidRPr="008937A4">
        <w:rPr>
          <w:rFonts w:ascii="Simoncini Garamond" w:hAnsi="Simoncini Garamond"/>
          <w:color w:val="auto"/>
          <w:sz w:val="21"/>
        </w:rPr>
        <w:t>Covid-19</w:t>
      </w:r>
      <w:r>
        <w:rPr>
          <w:rFonts w:ascii="Simoncini Garamond" w:hAnsi="Simoncini Garamond"/>
          <w:color w:val="auto"/>
          <w:sz w:val="21"/>
        </w:rPr>
        <w:t xml:space="preserve"> si è progressivamente ridimensionata e ha lasciato il campo a un rischio inedito per i bilanci delle famiglie: </w:t>
      </w:r>
      <w:r w:rsidR="00AB431B">
        <w:rPr>
          <w:rFonts w:ascii="Simoncini Garamond" w:hAnsi="Simoncini Garamond"/>
          <w:color w:val="auto"/>
          <w:sz w:val="21"/>
        </w:rPr>
        <w:t xml:space="preserve">il ritorno </w:t>
      </w:r>
      <w:r>
        <w:rPr>
          <w:rFonts w:ascii="Simoncini Garamond" w:hAnsi="Simoncini Garamond"/>
          <w:color w:val="auto"/>
          <w:sz w:val="21"/>
        </w:rPr>
        <w:t xml:space="preserve">dell’inflazione. Dopo </w:t>
      </w:r>
      <w:r w:rsidR="00FB17C0">
        <w:rPr>
          <w:rFonts w:ascii="Simoncini Garamond" w:hAnsi="Simoncini Garamond"/>
          <w:color w:val="auto"/>
          <w:sz w:val="21"/>
        </w:rPr>
        <w:t xml:space="preserve">la discussione di </w:t>
      </w:r>
      <w:r w:rsidR="00B94947">
        <w:rPr>
          <w:rFonts w:ascii="Simoncini Garamond" w:hAnsi="Simoncini Garamond"/>
          <w:color w:val="auto"/>
          <w:sz w:val="21"/>
        </w:rPr>
        <w:t>alcuni dati recenti sulla dinamica d</w:t>
      </w:r>
      <w:r w:rsidR="00DF4077">
        <w:rPr>
          <w:rFonts w:ascii="Simoncini Garamond" w:hAnsi="Simoncini Garamond"/>
          <w:color w:val="auto"/>
          <w:sz w:val="21"/>
        </w:rPr>
        <w:t>i</w:t>
      </w:r>
      <w:r w:rsidR="00B94947">
        <w:rPr>
          <w:rFonts w:ascii="Simoncini Garamond" w:hAnsi="Simoncini Garamond"/>
          <w:color w:val="auto"/>
          <w:sz w:val="21"/>
        </w:rPr>
        <w:t xml:space="preserve"> povertà </w:t>
      </w:r>
      <w:r w:rsidR="00DF4077">
        <w:rPr>
          <w:rFonts w:ascii="Simoncini Garamond" w:hAnsi="Simoncini Garamond"/>
          <w:color w:val="auto"/>
          <w:sz w:val="21"/>
        </w:rPr>
        <w:t>e dis</w:t>
      </w:r>
      <w:r w:rsidR="008662E9">
        <w:rPr>
          <w:rFonts w:ascii="Simoncini Garamond" w:hAnsi="Simoncini Garamond"/>
          <w:color w:val="auto"/>
          <w:sz w:val="21"/>
        </w:rPr>
        <w:t>e</w:t>
      </w:r>
      <w:r w:rsidR="00DF4077">
        <w:rPr>
          <w:rFonts w:ascii="Simoncini Garamond" w:hAnsi="Simoncini Garamond"/>
          <w:color w:val="auto"/>
          <w:sz w:val="21"/>
        </w:rPr>
        <w:t>guaglianza nel biennio 2020-21</w:t>
      </w:r>
      <w:r w:rsidR="00FB17C0">
        <w:rPr>
          <w:rFonts w:ascii="Simoncini Garamond" w:hAnsi="Simoncini Garamond"/>
          <w:color w:val="auto"/>
          <w:sz w:val="21"/>
        </w:rPr>
        <w:t xml:space="preserve"> nel paragrafo 2, </w:t>
      </w:r>
      <w:r w:rsidR="008662E9">
        <w:rPr>
          <w:rFonts w:ascii="Simoncini Garamond" w:hAnsi="Simoncini Garamond"/>
          <w:color w:val="auto"/>
          <w:sz w:val="21"/>
        </w:rPr>
        <w:t xml:space="preserve">quello </w:t>
      </w:r>
      <w:r w:rsidR="00971DCD">
        <w:rPr>
          <w:rFonts w:ascii="Simoncini Garamond" w:hAnsi="Simoncini Garamond"/>
          <w:color w:val="auto"/>
          <w:sz w:val="21"/>
        </w:rPr>
        <w:t>successivo è dedicato alle principali misure di sostegno dei redditi delle famiglie adottate nel 2022, molte delle quali hanno avuto l’obiettivo di contrastare proprio le conseguenze del forte incremento dei prezzi. I</w:t>
      </w:r>
      <w:r w:rsidR="00582CD9">
        <w:rPr>
          <w:rFonts w:ascii="Simoncini Garamond" w:hAnsi="Simoncini Garamond"/>
          <w:color w:val="auto"/>
          <w:sz w:val="21"/>
        </w:rPr>
        <w:t xml:space="preserve">l </w:t>
      </w:r>
      <w:r w:rsidR="007F3B44">
        <w:rPr>
          <w:rFonts w:ascii="Simoncini Garamond" w:hAnsi="Simoncini Garamond"/>
          <w:color w:val="auto"/>
          <w:sz w:val="21"/>
        </w:rPr>
        <w:t xml:space="preserve">paragrafo </w:t>
      </w:r>
      <w:r w:rsidR="00971DCD">
        <w:rPr>
          <w:rFonts w:ascii="Simoncini Garamond" w:hAnsi="Simoncini Garamond"/>
          <w:color w:val="auto"/>
          <w:sz w:val="21"/>
        </w:rPr>
        <w:t xml:space="preserve">4 </w:t>
      </w:r>
      <w:r w:rsidR="00DF4077">
        <w:rPr>
          <w:rFonts w:ascii="Simoncini Garamond" w:hAnsi="Simoncini Garamond"/>
          <w:color w:val="auto"/>
          <w:sz w:val="21"/>
        </w:rPr>
        <w:t>si sofferma sul Reddito di cittadinanza</w:t>
      </w:r>
      <w:r w:rsidR="007F3B44">
        <w:rPr>
          <w:rFonts w:ascii="Simoncini Garamond" w:hAnsi="Simoncini Garamond"/>
          <w:color w:val="auto"/>
          <w:sz w:val="21"/>
        </w:rPr>
        <w:t xml:space="preserve">, dando conto </w:t>
      </w:r>
      <w:r w:rsidR="00853BD3">
        <w:rPr>
          <w:rFonts w:ascii="Simoncini Garamond" w:hAnsi="Simoncini Garamond"/>
          <w:color w:val="auto"/>
          <w:sz w:val="21"/>
        </w:rPr>
        <w:t>dell</w:t>
      </w:r>
      <w:r w:rsidR="00256669">
        <w:rPr>
          <w:rFonts w:ascii="Simoncini Garamond" w:hAnsi="Simoncini Garamond"/>
          <w:color w:val="auto"/>
          <w:sz w:val="21"/>
        </w:rPr>
        <w:t xml:space="preserve">’evoluzione della platea </w:t>
      </w:r>
      <w:r w:rsidR="00853BD3">
        <w:rPr>
          <w:rFonts w:ascii="Simoncini Garamond" w:hAnsi="Simoncini Garamond"/>
          <w:color w:val="auto"/>
          <w:sz w:val="21"/>
        </w:rPr>
        <w:t xml:space="preserve">dei </w:t>
      </w:r>
      <w:r w:rsidR="00256669">
        <w:rPr>
          <w:rFonts w:ascii="Simoncini Garamond" w:hAnsi="Simoncini Garamond"/>
          <w:color w:val="auto"/>
          <w:sz w:val="21"/>
        </w:rPr>
        <w:t xml:space="preserve">beneficiari dalle origini fino ai primi mesi del 2023 e dell’impatto redistributivo esercitato </w:t>
      </w:r>
      <w:r w:rsidR="00853BD3">
        <w:rPr>
          <w:rFonts w:ascii="Simoncini Garamond" w:hAnsi="Simoncini Garamond"/>
          <w:color w:val="auto"/>
          <w:sz w:val="21"/>
        </w:rPr>
        <w:t>d</w:t>
      </w:r>
      <w:r w:rsidR="00256669">
        <w:rPr>
          <w:rFonts w:ascii="Simoncini Garamond" w:hAnsi="Simoncini Garamond"/>
          <w:color w:val="auto"/>
          <w:sz w:val="21"/>
        </w:rPr>
        <w:t>a</w:t>
      </w:r>
      <w:r w:rsidR="00853BD3">
        <w:rPr>
          <w:rFonts w:ascii="Simoncini Garamond" w:hAnsi="Simoncini Garamond"/>
          <w:color w:val="auto"/>
          <w:sz w:val="21"/>
        </w:rPr>
        <w:t>lla misura</w:t>
      </w:r>
      <w:r w:rsidR="00256669">
        <w:rPr>
          <w:rFonts w:ascii="Simoncini Garamond" w:hAnsi="Simoncini Garamond"/>
          <w:color w:val="auto"/>
          <w:sz w:val="21"/>
        </w:rPr>
        <w:t xml:space="preserve">. Sempre con riferimento al Reddito di cittadinanza si esaminano </w:t>
      </w:r>
      <w:r w:rsidR="00853BD3">
        <w:rPr>
          <w:rFonts w:ascii="Simoncini Garamond" w:hAnsi="Simoncini Garamond"/>
          <w:color w:val="auto"/>
          <w:sz w:val="21"/>
        </w:rPr>
        <w:t xml:space="preserve">gli interventi di riforma disposti dal governo Meloni </w:t>
      </w:r>
      <w:r w:rsidR="00971DCD">
        <w:rPr>
          <w:rFonts w:ascii="Simoncini Garamond" w:hAnsi="Simoncini Garamond"/>
          <w:color w:val="auto"/>
          <w:sz w:val="21"/>
        </w:rPr>
        <w:t xml:space="preserve">prima </w:t>
      </w:r>
      <w:r w:rsidR="00853BD3">
        <w:rPr>
          <w:rFonts w:ascii="Simoncini Garamond" w:hAnsi="Simoncini Garamond"/>
          <w:color w:val="auto"/>
          <w:sz w:val="21"/>
        </w:rPr>
        <w:t xml:space="preserve">con la legge di bilancio 2023 e </w:t>
      </w:r>
      <w:r w:rsidR="00971DCD">
        <w:rPr>
          <w:rFonts w:ascii="Simoncini Garamond" w:hAnsi="Simoncini Garamond"/>
          <w:color w:val="auto"/>
          <w:sz w:val="21"/>
        </w:rPr>
        <w:t xml:space="preserve">poi </w:t>
      </w:r>
      <w:r w:rsidR="00853BD3">
        <w:rPr>
          <w:rFonts w:ascii="Simoncini Garamond" w:hAnsi="Simoncini Garamond"/>
          <w:color w:val="auto"/>
          <w:sz w:val="21"/>
        </w:rPr>
        <w:t>con il decreto n. 48 del 4 maggio 2023</w:t>
      </w:r>
      <w:r w:rsidR="00DF4077">
        <w:rPr>
          <w:rFonts w:ascii="Simoncini Garamond" w:hAnsi="Simoncini Garamond"/>
          <w:color w:val="auto"/>
          <w:sz w:val="21"/>
        </w:rPr>
        <w:t>.</w:t>
      </w:r>
      <w:r w:rsidR="007F3B44">
        <w:rPr>
          <w:rFonts w:ascii="Simoncini Garamond" w:hAnsi="Simoncini Garamond"/>
          <w:color w:val="auto"/>
          <w:sz w:val="21"/>
        </w:rPr>
        <w:t xml:space="preserve"> </w:t>
      </w:r>
    </w:p>
    <w:p w14:paraId="5BEA2E0B" w14:textId="77777777" w:rsidR="005224C7" w:rsidRDefault="005224C7" w:rsidP="00257C90">
      <w:pPr>
        <w:pStyle w:val="Corpotesto1"/>
        <w:rPr>
          <w:rFonts w:ascii="Simoncini Garamond" w:hAnsi="Simoncini Garamond"/>
          <w:color w:val="auto"/>
          <w:sz w:val="21"/>
        </w:rPr>
      </w:pPr>
    </w:p>
    <w:p w14:paraId="56945B11" w14:textId="3DF8D335" w:rsidR="00333900" w:rsidRDefault="00333900" w:rsidP="00257C90">
      <w:pPr>
        <w:pStyle w:val="Corpotesto1"/>
        <w:rPr>
          <w:rFonts w:ascii="Simoncini Garamond" w:hAnsi="Simoncini Garamond"/>
          <w:iCs/>
          <w:sz w:val="21"/>
          <w:szCs w:val="21"/>
        </w:rPr>
      </w:pPr>
    </w:p>
    <w:p w14:paraId="797645E9" w14:textId="2C2D63DD" w:rsidR="00D370F9" w:rsidRPr="00F43ABE" w:rsidRDefault="00B94947" w:rsidP="005224C7">
      <w:pPr>
        <w:pStyle w:val="titolet2rig"/>
        <w:numPr>
          <w:ilvl w:val="0"/>
          <w:numId w:val="1"/>
        </w:numPr>
        <w:rPr>
          <w:rFonts w:ascii="Simoncini Garamond" w:hAnsi="Simoncini Garamond"/>
          <w:color w:val="auto"/>
          <w:sz w:val="21"/>
        </w:rPr>
      </w:pPr>
      <w:r>
        <w:rPr>
          <w:rFonts w:ascii="Simoncini Garamond" w:hAnsi="Simoncini Garamond"/>
          <w:iCs w:val="0"/>
          <w:color w:val="auto"/>
          <w:sz w:val="21"/>
          <w:szCs w:val="21"/>
        </w:rPr>
        <w:t>Povertà e d</w:t>
      </w:r>
      <w:r w:rsidR="00D370F9" w:rsidRPr="00F43ABE">
        <w:rPr>
          <w:rFonts w:ascii="Simoncini Garamond" w:hAnsi="Simoncini Garamond"/>
          <w:iCs w:val="0"/>
          <w:color w:val="auto"/>
          <w:sz w:val="21"/>
          <w:szCs w:val="21"/>
        </w:rPr>
        <w:t xml:space="preserve">iseguaglianza in Italia </w:t>
      </w:r>
      <w:r w:rsidR="00A45208">
        <w:rPr>
          <w:rFonts w:ascii="Simoncini Garamond" w:hAnsi="Simoncini Garamond"/>
          <w:iCs w:val="0"/>
          <w:color w:val="auto"/>
          <w:sz w:val="21"/>
          <w:szCs w:val="21"/>
        </w:rPr>
        <w:t xml:space="preserve">durante </w:t>
      </w:r>
      <w:r w:rsidR="00F43ABE" w:rsidRPr="00F43ABE">
        <w:rPr>
          <w:rFonts w:ascii="Simoncini Garamond" w:hAnsi="Simoncini Garamond"/>
          <w:color w:val="auto"/>
          <w:sz w:val="21"/>
          <w:szCs w:val="21"/>
        </w:rPr>
        <w:t>la pandemia</w:t>
      </w:r>
    </w:p>
    <w:p w14:paraId="161D519D" w14:textId="77777777" w:rsidR="00F43ABE" w:rsidRPr="00F43ABE" w:rsidRDefault="00F43ABE" w:rsidP="00F43ABE">
      <w:pPr>
        <w:pStyle w:val="titolet2rig"/>
        <w:ind w:left="360" w:firstLine="0"/>
        <w:rPr>
          <w:rFonts w:ascii="Simoncini Garamond" w:hAnsi="Simoncini Garamond"/>
          <w:color w:val="auto"/>
          <w:sz w:val="21"/>
        </w:rPr>
      </w:pPr>
    </w:p>
    <w:p w14:paraId="49650477" w14:textId="4ED9D7B4" w:rsidR="00D370F9" w:rsidRDefault="00D370F9" w:rsidP="00970E1F">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Questa sezione contiene le </w:t>
      </w:r>
      <w:r w:rsidRPr="007C62F9">
        <w:rPr>
          <w:rFonts w:ascii="Simoncini Garamond" w:hAnsi="Simoncini Garamond" w:cs="Times New Roman PS"/>
          <w:sz w:val="21"/>
          <w:szCs w:val="22"/>
        </w:rPr>
        <w:t>informazioni quantitative più recenti su povertà e diseguaglianza in Italia</w:t>
      </w:r>
      <w:r>
        <w:rPr>
          <w:rFonts w:ascii="Simoncini Garamond" w:hAnsi="Simoncini Garamond" w:cs="Times New Roman PS"/>
          <w:sz w:val="21"/>
          <w:szCs w:val="22"/>
        </w:rPr>
        <w:t xml:space="preserve">. </w:t>
      </w:r>
      <w:r w:rsidR="006B0CB9">
        <w:rPr>
          <w:rFonts w:ascii="Simoncini Garamond" w:hAnsi="Simoncini Garamond" w:cs="Times New Roman PS"/>
          <w:sz w:val="21"/>
          <w:szCs w:val="22"/>
        </w:rPr>
        <w:t>I dati disponibili</w:t>
      </w:r>
      <w:r w:rsidR="00674C78">
        <w:rPr>
          <w:rFonts w:ascii="Simoncini Garamond" w:hAnsi="Simoncini Garamond" w:cs="Times New Roman PS"/>
          <w:sz w:val="21"/>
          <w:szCs w:val="22"/>
        </w:rPr>
        <w:t xml:space="preserve"> </w:t>
      </w:r>
      <w:r w:rsidR="00F43ABE">
        <w:rPr>
          <w:rFonts w:ascii="Simoncini Garamond" w:hAnsi="Simoncini Garamond" w:cs="Times New Roman PS"/>
          <w:sz w:val="21"/>
          <w:szCs w:val="22"/>
        </w:rPr>
        <w:t xml:space="preserve">permettono di tracciare un </w:t>
      </w:r>
      <w:r w:rsidR="00C66188">
        <w:rPr>
          <w:rFonts w:ascii="Simoncini Garamond" w:hAnsi="Simoncini Garamond" w:cs="Times New Roman PS"/>
          <w:sz w:val="21"/>
          <w:szCs w:val="22"/>
        </w:rPr>
        <w:t xml:space="preserve">primo </w:t>
      </w:r>
      <w:r w:rsidR="00F43ABE">
        <w:rPr>
          <w:rFonts w:ascii="Simoncini Garamond" w:hAnsi="Simoncini Garamond" w:cs="Times New Roman PS"/>
          <w:sz w:val="21"/>
          <w:szCs w:val="22"/>
        </w:rPr>
        <w:t>quadro</w:t>
      </w:r>
      <w:r w:rsidR="00C66188">
        <w:rPr>
          <w:rFonts w:ascii="Simoncini Garamond" w:hAnsi="Simoncini Garamond" w:cs="Times New Roman PS"/>
          <w:sz w:val="21"/>
          <w:szCs w:val="22"/>
        </w:rPr>
        <w:t>, sufficientemente ar</w:t>
      </w:r>
      <w:r w:rsidR="00F43ABE">
        <w:rPr>
          <w:rFonts w:ascii="Simoncini Garamond" w:hAnsi="Simoncini Garamond" w:cs="Times New Roman PS"/>
          <w:sz w:val="21"/>
          <w:szCs w:val="22"/>
        </w:rPr>
        <w:t>ticolato</w:t>
      </w:r>
      <w:r w:rsidR="00C66188">
        <w:rPr>
          <w:rFonts w:ascii="Simoncini Garamond" w:hAnsi="Simoncini Garamond" w:cs="Times New Roman PS"/>
          <w:sz w:val="21"/>
          <w:szCs w:val="22"/>
        </w:rPr>
        <w:t>,</w:t>
      </w:r>
      <w:r w:rsidR="00F43ABE">
        <w:rPr>
          <w:rFonts w:ascii="Simoncini Garamond" w:hAnsi="Simoncini Garamond" w:cs="Times New Roman PS"/>
          <w:sz w:val="21"/>
          <w:szCs w:val="22"/>
        </w:rPr>
        <w:t xml:space="preserve"> delle conseguenze distributive prodotte dalla pandemia</w:t>
      </w:r>
      <w:r w:rsidR="00157592">
        <w:rPr>
          <w:rFonts w:ascii="Simoncini Garamond" w:hAnsi="Simoncini Garamond" w:cs="Times New Roman PS"/>
          <w:sz w:val="21"/>
          <w:szCs w:val="22"/>
        </w:rPr>
        <w:t xml:space="preserve"> da Covid-19</w:t>
      </w:r>
      <w:r w:rsidR="00C66188">
        <w:rPr>
          <w:rFonts w:ascii="Simoncini Garamond" w:hAnsi="Simoncini Garamond" w:cs="Times New Roman PS"/>
          <w:sz w:val="21"/>
          <w:szCs w:val="22"/>
        </w:rPr>
        <w:t>.</w:t>
      </w:r>
    </w:p>
    <w:p w14:paraId="144DC9F6" w14:textId="763E66EF" w:rsidR="0084549E" w:rsidRDefault="00674C78" w:rsidP="00970E1F">
      <w:pPr>
        <w:ind w:firstLine="360"/>
        <w:rPr>
          <w:rFonts w:ascii="Simoncini Garamond" w:hAnsi="Simoncini Garamond" w:cs="Times New Roman PS"/>
          <w:sz w:val="21"/>
          <w:szCs w:val="22"/>
        </w:rPr>
      </w:pPr>
      <w:r>
        <w:rPr>
          <w:rFonts w:ascii="Simoncini Garamond" w:hAnsi="Simoncini Garamond" w:cs="Times New Roman PS"/>
          <w:sz w:val="21"/>
          <w:szCs w:val="22"/>
        </w:rPr>
        <w:t>Come noto, a c</w:t>
      </w:r>
      <w:r w:rsidR="00E91BD5">
        <w:rPr>
          <w:rFonts w:ascii="Simoncini Garamond" w:hAnsi="Simoncini Garamond" w:cs="Times New Roman PS"/>
          <w:sz w:val="21"/>
          <w:szCs w:val="22"/>
        </w:rPr>
        <w:t>ausa della pandemia l</w:t>
      </w:r>
      <w:r w:rsidR="00F76CEA">
        <w:rPr>
          <w:rFonts w:ascii="Simoncini Garamond" w:hAnsi="Simoncini Garamond" w:cs="Times New Roman PS"/>
          <w:sz w:val="21"/>
          <w:szCs w:val="22"/>
        </w:rPr>
        <w:t>’economia italiana</w:t>
      </w:r>
      <w:r>
        <w:rPr>
          <w:rFonts w:ascii="Simoncini Garamond" w:hAnsi="Simoncini Garamond" w:cs="Times New Roman PS"/>
          <w:sz w:val="21"/>
          <w:szCs w:val="22"/>
        </w:rPr>
        <w:t xml:space="preserve"> </w:t>
      </w:r>
      <w:r w:rsidR="006B0CB9">
        <w:rPr>
          <w:rFonts w:ascii="Simoncini Garamond" w:hAnsi="Simoncini Garamond" w:cs="Times New Roman PS"/>
          <w:sz w:val="21"/>
          <w:szCs w:val="22"/>
        </w:rPr>
        <w:t>ha registrato nel 2020 una</w:t>
      </w:r>
      <w:r w:rsidR="00266703">
        <w:rPr>
          <w:rFonts w:ascii="Simoncini Garamond" w:hAnsi="Simoncini Garamond" w:cs="Times New Roman PS"/>
          <w:sz w:val="21"/>
          <w:szCs w:val="22"/>
        </w:rPr>
        <w:t xml:space="preserve"> caduta </w:t>
      </w:r>
      <w:r w:rsidR="006B0CB9">
        <w:rPr>
          <w:rFonts w:ascii="Simoncini Garamond" w:hAnsi="Simoncini Garamond" w:cs="Times New Roman PS"/>
          <w:sz w:val="21"/>
          <w:szCs w:val="22"/>
        </w:rPr>
        <w:t xml:space="preserve">degli aggregati macroeconomici (Pil, </w:t>
      </w:r>
      <w:r w:rsidR="006B0CB9">
        <w:rPr>
          <w:rFonts w:ascii="Simoncini Garamond" w:hAnsi="Simoncini Garamond" w:cs="Times New Roman PS"/>
          <w:sz w:val="21"/>
          <w:szCs w:val="22"/>
        </w:rPr>
        <w:lastRenderedPageBreak/>
        <w:t xml:space="preserve">spesa per consumi finali, ecc.) </w:t>
      </w:r>
      <w:r w:rsidR="00266703">
        <w:rPr>
          <w:rFonts w:ascii="Simoncini Garamond" w:hAnsi="Simoncini Garamond" w:cs="Times New Roman PS"/>
          <w:sz w:val="21"/>
          <w:szCs w:val="22"/>
        </w:rPr>
        <w:t>enormemente più grave</w:t>
      </w:r>
      <w:r w:rsidR="006B0CB9">
        <w:rPr>
          <w:rFonts w:ascii="Simoncini Garamond" w:hAnsi="Simoncini Garamond" w:cs="Times New Roman PS"/>
          <w:sz w:val="21"/>
          <w:szCs w:val="22"/>
        </w:rPr>
        <w:t>,</w:t>
      </w:r>
      <w:r w:rsidR="00F76CEA">
        <w:rPr>
          <w:rFonts w:ascii="Simoncini Garamond" w:hAnsi="Simoncini Garamond" w:cs="Times New Roman PS"/>
          <w:sz w:val="21"/>
          <w:szCs w:val="22"/>
        </w:rPr>
        <w:t xml:space="preserve"> </w:t>
      </w:r>
      <w:r w:rsidR="006B0CB9">
        <w:rPr>
          <w:rFonts w:ascii="Simoncini Garamond" w:hAnsi="Simoncini Garamond" w:cs="Times New Roman PS"/>
          <w:sz w:val="21"/>
          <w:szCs w:val="22"/>
        </w:rPr>
        <w:t xml:space="preserve">ma di durata più breve, </w:t>
      </w:r>
      <w:r w:rsidR="00266703">
        <w:rPr>
          <w:rFonts w:ascii="Simoncini Garamond" w:hAnsi="Simoncini Garamond" w:cs="Times New Roman PS"/>
          <w:sz w:val="21"/>
          <w:szCs w:val="22"/>
        </w:rPr>
        <w:t xml:space="preserve">rispetto </w:t>
      </w:r>
      <w:r w:rsidR="00FE2DD5">
        <w:rPr>
          <w:rFonts w:ascii="Simoncini Garamond" w:hAnsi="Simoncini Garamond" w:cs="Times New Roman PS"/>
          <w:sz w:val="21"/>
          <w:szCs w:val="22"/>
        </w:rPr>
        <w:t>a quella determinatasi nelle</w:t>
      </w:r>
      <w:r w:rsidR="00266703">
        <w:rPr>
          <w:rFonts w:ascii="Simoncini Garamond" w:hAnsi="Simoncini Garamond" w:cs="Times New Roman PS"/>
          <w:sz w:val="21"/>
          <w:szCs w:val="22"/>
        </w:rPr>
        <w:t xml:space="preserve"> </w:t>
      </w:r>
      <w:r w:rsidR="00FE2DD5">
        <w:rPr>
          <w:rFonts w:ascii="Simoncini Garamond" w:hAnsi="Simoncini Garamond" w:cs="Times New Roman PS"/>
          <w:sz w:val="21"/>
          <w:szCs w:val="22"/>
        </w:rPr>
        <w:t xml:space="preserve">due </w:t>
      </w:r>
      <w:r w:rsidR="00266703">
        <w:rPr>
          <w:rFonts w:ascii="Simoncini Garamond" w:hAnsi="Simoncini Garamond" w:cs="Times New Roman PS"/>
          <w:sz w:val="21"/>
          <w:szCs w:val="22"/>
        </w:rPr>
        <w:t>precedenti recessioni</w:t>
      </w:r>
      <w:r w:rsidR="00E91BD5">
        <w:rPr>
          <w:rFonts w:ascii="Simoncini Garamond" w:hAnsi="Simoncini Garamond" w:cs="Times New Roman PS"/>
          <w:sz w:val="21"/>
          <w:szCs w:val="22"/>
        </w:rPr>
        <w:t xml:space="preserve">, </w:t>
      </w:r>
      <w:r w:rsidR="006B0CB9">
        <w:rPr>
          <w:rFonts w:ascii="Simoncini Garamond" w:hAnsi="Simoncini Garamond" w:cs="Times New Roman PS"/>
          <w:sz w:val="21"/>
          <w:szCs w:val="22"/>
        </w:rPr>
        <w:t xml:space="preserve">la crisi finanziaria globale del 2008-09 e la crisi dei debiti sovrani del 2011-13. </w:t>
      </w:r>
      <w:r w:rsidR="00E91BD5">
        <w:rPr>
          <w:rFonts w:ascii="Simoncini Garamond" w:hAnsi="Simoncini Garamond" w:cs="Times New Roman PS"/>
          <w:sz w:val="21"/>
          <w:szCs w:val="22"/>
        </w:rPr>
        <w:t>I</w:t>
      </w:r>
      <w:r w:rsidR="006B0CB9">
        <w:rPr>
          <w:rFonts w:ascii="Simoncini Garamond" w:hAnsi="Simoncini Garamond" w:cs="Times New Roman PS"/>
          <w:sz w:val="21"/>
          <w:szCs w:val="22"/>
        </w:rPr>
        <w:t xml:space="preserve">l </w:t>
      </w:r>
      <w:r w:rsidR="008F6D0D">
        <w:rPr>
          <w:rFonts w:ascii="Simoncini Garamond" w:hAnsi="Simoncini Garamond" w:cs="Times New Roman PS"/>
          <w:sz w:val="21"/>
          <w:szCs w:val="22"/>
        </w:rPr>
        <w:t xml:space="preserve">2021, e con minore intensità anche </w:t>
      </w:r>
      <w:r w:rsidR="00957DF5">
        <w:rPr>
          <w:rFonts w:ascii="Simoncini Garamond" w:hAnsi="Simoncini Garamond" w:cs="Times New Roman PS"/>
          <w:sz w:val="21"/>
          <w:szCs w:val="22"/>
        </w:rPr>
        <w:t>i</w:t>
      </w:r>
      <w:r w:rsidR="008F6D0D">
        <w:rPr>
          <w:rFonts w:ascii="Simoncini Garamond" w:hAnsi="Simoncini Garamond" w:cs="Times New Roman PS"/>
          <w:sz w:val="21"/>
          <w:szCs w:val="22"/>
        </w:rPr>
        <w:t xml:space="preserve">l 2022, </w:t>
      </w:r>
      <w:r w:rsidR="00970E1F">
        <w:rPr>
          <w:rFonts w:ascii="Simoncini Garamond" w:hAnsi="Simoncini Garamond" w:cs="Times New Roman PS"/>
          <w:sz w:val="21"/>
          <w:szCs w:val="22"/>
        </w:rPr>
        <w:t xml:space="preserve">ha segnato </w:t>
      </w:r>
      <w:r w:rsidR="008F6D0D">
        <w:rPr>
          <w:rFonts w:ascii="Simoncini Garamond" w:hAnsi="Simoncini Garamond" w:cs="Times New Roman PS"/>
          <w:sz w:val="21"/>
          <w:szCs w:val="22"/>
        </w:rPr>
        <w:t xml:space="preserve">una </w:t>
      </w:r>
      <w:r w:rsidR="002713EC">
        <w:rPr>
          <w:rFonts w:ascii="Simoncini Garamond" w:hAnsi="Simoncini Garamond" w:cs="Times New Roman PS"/>
          <w:sz w:val="21"/>
          <w:szCs w:val="22"/>
        </w:rPr>
        <w:t xml:space="preserve">decisa </w:t>
      </w:r>
      <w:r w:rsidR="00FE2DD5">
        <w:rPr>
          <w:rFonts w:ascii="Simoncini Garamond" w:hAnsi="Simoncini Garamond" w:cs="Times New Roman PS"/>
          <w:sz w:val="21"/>
          <w:szCs w:val="22"/>
        </w:rPr>
        <w:t>ripresa</w:t>
      </w:r>
      <w:r w:rsidR="008F6D0D">
        <w:rPr>
          <w:rFonts w:ascii="Simoncini Garamond" w:hAnsi="Simoncini Garamond" w:cs="Times New Roman PS"/>
          <w:sz w:val="21"/>
          <w:szCs w:val="22"/>
        </w:rPr>
        <w:t xml:space="preserve"> dell’attività produttiva</w:t>
      </w:r>
      <w:r w:rsidR="00FE2DD5">
        <w:rPr>
          <w:rFonts w:ascii="Simoncini Garamond" w:hAnsi="Simoncini Garamond" w:cs="Times New Roman PS"/>
          <w:sz w:val="21"/>
          <w:szCs w:val="22"/>
        </w:rPr>
        <w:t xml:space="preserve"> e</w:t>
      </w:r>
      <w:r w:rsidR="006B0CB9">
        <w:rPr>
          <w:rFonts w:ascii="Simoncini Garamond" w:hAnsi="Simoncini Garamond" w:cs="Times New Roman PS"/>
          <w:sz w:val="21"/>
          <w:szCs w:val="22"/>
        </w:rPr>
        <w:t xml:space="preserve"> dell’occupazione</w:t>
      </w:r>
      <w:r w:rsidR="00FE2DD5">
        <w:rPr>
          <w:rFonts w:ascii="Simoncini Garamond" w:hAnsi="Simoncini Garamond" w:cs="Times New Roman PS"/>
          <w:sz w:val="21"/>
          <w:szCs w:val="22"/>
        </w:rPr>
        <w:t xml:space="preserve">, tanto è vero che nel 2022 il reddito disponibile lordo pro capite è stato del 9% più elevato </w:t>
      </w:r>
      <w:r w:rsidR="00D82949">
        <w:rPr>
          <w:rFonts w:ascii="Simoncini Garamond" w:hAnsi="Simoncini Garamond" w:cs="Times New Roman PS"/>
          <w:sz w:val="21"/>
          <w:szCs w:val="22"/>
        </w:rPr>
        <w:t xml:space="preserve">(in termini nominali) </w:t>
      </w:r>
      <w:r w:rsidR="00FE2DD5">
        <w:rPr>
          <w:rFonts w:ascii="Simoncini Garamond" w:hAnsi="Simoncini Garamond" w:cs="Times New Roman PS"/>
          <w:sz w:val="21"/>
          <w:szCs w:val="22"/>
        </w:rPr>
        <w:t>rispetto al 2019, l’anno assunto come benchmark della situazione pre-Covid.</w:t>
      </w:r>
    </w:p>
    <w:p w14:paraId="571CCFBD" w14:textId="3B3F04C3" w:rsidR="00D97607" w:rsidRDefault="00FE2DD5" w:rsidP="00970E1F">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A fronte di oscillazioni così </w:t>
      </w:r>
      <w:r w:rsidR="0084549E">
        <w:rPr>
          <w:rFonts w:ascii="Simoncini Garamond" w:hAnsi="Simoncini Garamond" w:cs="Times New Roman PS"/>
          <w:sz w:val="21"/>
          <w:szCs w:val="22"/>
        </w:rPr>
        <w:t xml:space="preserve">marcate </w:t>
      </w:r>
      <w:r>
        <w:rPr>
          <w:rFonts w:ascii="Simoncini Garamond" w:hAnsi="Simoncini Garamond" w:cs="Times New Roman PS"/>
          <w:sz w:val="21"/>
          <w:szCs w:val="22"/>
        </w:rPr>
        <w:t>sul piano macroeconomico, i cambiamenti distributivi del biennio</w:t>
      </w:r>
      <w:r w:rsidR="002713EC">
        <w:rPr>
          <w:rFonts w:ascii="Simoncini Garamond" w:hAnsi="Simoncini Garamond" w:cs="Times New Roman PS"/>
          <w:sz w:val="21"/>
          <w:szCs w:val="22"/>
        </w:rPr>
        <w:t xml:space="preserve"> 202</w:t>
      </w:r>
      <w:r w:rsidR="00AE6DF9">
        <w:rPr>
          <w:rFonts w:ascii="Simoncini Garamond" w:hAnsi="Simoncini Garamond" w:cs="Times New Roman PS"/>
          <w:sz w:val="21"/>
          <w:szCs w:val="22"/>
        </w:rPr>
        <w:t>0</w:t>
      </w:r>
      <w:r w:rsidR="002713EC">
        <w:rPr>
          <w:rFonts w:ascii="Simoncini Garamond" w:hAnsi="Simoncini Garamond" w:cs="Times New Roman PS"/>
          <w:sz w:val="21"/>
          <w:szCs w:val="22"/>
        </w:rPr>
        <w:t>-21 non appaiono</w:t>
      </w:r>
      <w:r w:rsidR="0084549E">
        <w:rPr>
          <w:rFonts w:ascii="Simoncini Garamond" w:hAnsi="Simoncini Garamond" w:cs="Times New Roman PS"/>
          <w:sz w:val="21"/>
          <w:szCs w:val="22"/>
        </w:rPr>
        <w:t xml:space="preserve"> altrettanto significativ</w:t>
      </w:r>
      <w:r w:rsidR="002713EC">
        <w:rPr>
          <w:rFonts w:ascii="Simoncini Garamond" w:hAnsi="Simoncini Garamond" w:cs="Times New Roman PS"/>
          <w:sz w:val="21"/>
          <w:szCs w:val="22"/>
        </w:rPr>
        <w:t>i.</w:t>
      </w:r>
      <w:r w:rsidR="0084549E">
        <w:rPr>
          <w:rFonts w:ascii="Simoncini Garamond" w:hAnsi="Simoncini Garamond" w:cs="Times New Roman PS"/>
          <w:sz w:val="21"/>
          <w:szCs w:val="22"/>
        </w:rPr>
        <w:t xml:space="preserve"> </w:t>
      </w:r>
      <w:r w:rsidR="002713EC">
        <w:rPr>
          <w:rFonts w:ascii="Simoncini Garamond" w:hAnsi="Simoncini Garamond" w:cs="Times New Roman PS"/>
          <w:sz w:val="21"/>
          <w:szCs w:val="22"/>
        </w:rPr>
        <w:t xml:space="preserve">La tab. 1, che riporta i valori assunti dai principali indicatori di benessere economico a partire dalla metà dello scorso decennio, mostra infatti nel biennio 2020-21 un andamento temporale sostanzialmente stabile </w:t>
      </w:r>
      <w:r w:rsidR="00DC546C">
        <w:rPr>
          <w:rFonts w:ascii="Simoncini Garamond" w:hAnsi="Simoncini Garamond" w:cs="Times New Roman PS"/>
          <w:sz w:val="21"/>
          <w:szCs w:val="22"/>
        </w:rPr>
        <w:t>o</w:t>
      </w:r>
      <w:r w:rsidR="002713EC">
        <w:rPr>
          <w:rFonts w:ascii="Simoncini Garamond" w:hAnsi="Simoncini Garamond" w:cs="Times New Roman PS"/>
          <w:sz w:val="21"/>
          <w:szCs w:val="22"/>
        </w:rPr>
        <w:t xml:space="preserve"> non univoco nelle variazioni di segno.</w:t>
      </w:r>
      <w:r w:rsidR="0084549E">
        <w:rPr>
          <w:rFonts w:ascii="Simoncini Garamond" w:hAnsi="Simoncini Garamond" w:cs="Times New Roman PS"/>
          <w:sz w:val="21"/>
          <w:szCs w:val="22"/>
        </w:rPr>
        <w:t xml:space="preserve"> Fa eccezione </w:t>
      </w:r>
      <w:r w:rsidR="00E24BA4">
        <w:rPr>
          <w:rFonts w:ascii="Simoncini Garamond" w:hAnsi="Simoncini Garamond" w:cs="Times New Roman PS"/>
          <w:sz w:val="21"/>
          <w:szCs w:val="22"/>
        </w:rPr>
        <w:t>il netto incremento dell’incidenza della povertà assoluta che, cresciuta di quasi due punti, dal 7,7</w:t>
      </w:r>
      <w:r w:rsidR="00957DF5">
        <w:rPr>
          <w:rFonts w:ascii="Simoncini Garamond" w:hAnsi="Simoncini Garamond" w:cs="Times New Roman PS"/>
          <w:sz w:val="21"/>
          <w:szCs w:val="22"/>
        </w:rPr>
        <w:t xml:space="preserve">% del 2019 </w:t>
      </w:r>
      <w:r w:rsidR="00E24BA4">
        <w:rPr>
          <w:rFonts w:ascii="Simoncini Garamond" w:hAnsi="Simoncini Garamond" w:cs="Times New Roman PS"/>
          <w:sz w:val="21"/>
          <w:szCs w:val="22"/>
        </w:rPr>
        <w:t>al 9,4% d</w:t>
      </w:r>
      <w:r w:rsidR="00957DF5">
        <w:rPr>
          <w:rFonts w:ascii="Simoncini Garamond" w:hAnsi="Simoncini Garamond" w:cs="Times New Roman PS"/>
          <w:sz w:val="21"/>
          <w:szCs w:val="22"/>
        </w:rPr>
        <w:t>e</w:t>
      </w:r>
      <w:r w:rsidR="00E24BA4">
        <w:rPr>
          <w:rFonts w:ascii="Simoncini Garamond" w:hAnsi="Simoncini Garamond" w:cs="Times New Roman PS"/>
          <w:sz w:val="21"/>
          <w:szCs w:val="22"/>
        </w:rPr>
        <w:t xml:space="preserve">l 2020, </w:t>
      </w:r>
      <w:r w:rsidR="00DC546C">
        <w:rPr>
          <w:rFonts w:ascii="Simoncini Garamond" w:hAnsi="Simoncini Garamond" w:cs="Times New Roman PS"/>
          <w:sz w:val="21"/>
          <w:szCs w:val="22"/>
        </w:rPr>
        <w:t>rima</w:t>
      </w:r>
      <w:r w:rsidR="00D97607">
        <w:rPr>
          <w:rFonts w:ascii="Simoncini Garamond" w:hAnsi="Simoncini Garamond" w:cs="Times New Roman PS"/>
          <w:sz w:val="21"/>
          <w:szCs w:val="22"/>
        </w:rPr>
        <w:t>ne</w:t>
      </w:r>
      <w:r w:rsidR="00E24BA4">
        <w:rPr>
          <w:rFonts w:ascii="Simoncini Garamond" w:hAnsi="Simoncini Garamond" w:cs="Times New Roman PS"/>
          <w:sz w:val="21"/>
          <w:szCs w:val="22"/>
        </w:rPr>
        <w:t xml:space="preserve"> a </w:t>
      </w:r>
      <w:r w:rsidR="00DC546C">
        <w:rPr>
          <w:rFonts w:ascii="Simoncini Garamond" w:hAnsi="Simoncini Garamond" w:cs="Times New Roman PS"/>
          <w:sz w:val="21"/>
          <w:szCs w:val="22"/>
        </w:rPr>
        <w:t>quel</w:t>
      </w:r>
      <w:r w:rsidR="00E24BA4">
        <w:rPr>
          <w:rFonts w:ascii="Simoncini Garamond" w:hAnsi="Simoncini Garamond" w:cs="Times New Roman PS"/>
          <w:sz w:val="21"/>
          <w:szCs w:val="22"/>
        </w:rPr>
        <w:t xml:space="preserve"> livello</w:t>
      </w:r>
      <w:r w:rsidR="00DC546C">
        <w:rPr>
          <w:rFonts w:ascii="Simoncini Garamond" w:hAnsi="Simoncini Garamond" w:cs="Times New Roman PS"/>
          <w:sz w:val="21"/>
          <w:szCs w:val="22"/>
        </w:rPr>
        <w:t xml:space="preserve"> anche </w:t>
      </w:r>
      <w:r w:rsidR="00BD1B95">
        <w:rPr>
          <w:rFonts w:ascii="Simoncini Garamond" w:hAnsi="Simoncini Garamond" w:cs="Times New Roman PS"/>
          <w:sz w:val="21"/>
          <w:szCs w:val="22"/>
        </w:rPr>
        <w:t>i</w:t>
      </w:r>
      <w:r w:rsidR="005775E5">
        <w:rPr>
          <w:rFonts w:ascii="Simoncini Garamond" w:hAnsi="Simoncini Garamond" w:cs="Times New Roman PS"/>
          <w:sz w:val="21"/>
          <w:szCs w:val="22"/>
        </w:rPr>
        <w:t>n</w:t>
      </w:r>
      <w:r w:rsidR="00BD1B95">
        <w:rPr>
          <w:rFonts w:ascii="Simoncini Garamond" w:hAnsi="Simoncini Garamond" w:cs="Times New Roman PS"/>
          <w:sz w:val="21"/>
          <w:szCs w:val="22"/>
        </w:rPr>
        <w:t xml:space="preserve"> un </w:t>
      </w:r>
      <w:r w:rsidR="005775E5">
        <w:rPr>
          <w:rFonts w:ascii="Simoncini Garamond" w:hAnsi="Simoncini Garamond" w:cs="Times New Roman PS"/>
          <w:sz w:val="21"/>
          <w:szCs w:val="22"/>
        </w:rPr>
        <w:t>anno (il 2021) di forte rimbalzo dell’economia</w:t>
      </w:r>
      <w:r w:rsidR="00125AD6">
        <w:rPr>
          <w:rFonts w:ascii="Simoncini Garamond" w:hAnsi="Simoncini Garamond" w:cs="Times New Roman PS"/>
          <w:sz w:val="21"/>
          <w:szCs w:val="22"/>
        </w:rPr>
        <w:t xml:space="preserve">, </w:t>
      </w:r>
      <w:r w:rsidR="00D97607">
        <w:rPr>
          <w:rFonts w:ascii="Simoncini Garamond" w:hAnsi="Simoncini Garamond" w:cs="Times New Roman PS"/>
          <w:sz w:val="21"/>
          <w:szCs w:val="22"/>
        </w:rPr>
        <w:t xml:space="preserve">confermando il massimo storico toccato </w:t>
      </w:r>
      <w:r w:rsidR="005775E5">
        <w:rPr>
          <w:rFonts w:ascii="Simoncini Garamond" w:hAnsi="Simoncini Garamond" w:cs="Times New Roman PS"/>
          <w:sz w:val="21"/>
          <w:szCs w:val="22"/>
        </w:rPr>
        <w:t xml:space="preserve">dagli </w:t>
      </w:r>
      <w:r w:rsidR="00D97607">
        <w:rPr>
          <w:rFonts w:ascii="Simoncini Garamond" w:hAnsi="Simoncini Garamond" w:cs="Times New Roman PS"/>
          <w:sz w:val="21"/>
          <w:szCs w:val="22"/>
        </w:rPr>
        <w:t>inizi della pandemia</w:t>
      </w:r>
      <w:r w:rsidR="00C52407">
        <w:rPr>
          <w:rFonts w:ascii="Simoncini Garamond" w:hAnsi="Simoncini Garamond" w:cs="Times New Roman PS"/>
          <w:sz w:val="21"/>
          <w:szCs w:val="22"/>
        </w:rPr>
        <w:t>. La mancata riduzione della diffusione della povertà assoluta rispetto al 2020 segnala la perdurante difficoltà di una quota non marginale della popolazione di beneficiare delle migliorate condizioni macroeconomiche</w:t>
      </w:r>
      <w:r w:rsidR="00DF22CE">
        <w:rPr>
          <w:rStyle w:val="Rimandonotaapidipagina"/>
          <w:rFonts w:ascii="Simoncini Garamond" w:hAnsi="Simoncini Garamond" w:cs="Times New Roman PS"/>
          <w:sz w:val="21"/>
          <w:szCs w:val="22"/>
        </w:rPr>
        <w:footnoteReference w:id="2"/>
      </w:r>
      <w:r w:rsidR="00DC546C">
        <w:rPr>
          <w:rFonts w:ascii="Simoncini Garamond" w:hAnsi="Simoncini Garamond" w:cs="Times New Roman PS"/>
          <w:sz w:val="21"/>
          <w:szCs w:val="22"/>
        </w:rPr>
        <w:t>.</w:t>
      </w:r>
      <w:r w:rsidR="005775E5">
        <w:rPr>
          <w:rFonts w:ascii="Simoncini Garamond" w:hAnsi="Simoncini Garamond" w:cs="Times New Roman PS"/>
          <w:sz w:val="21"/>
          <w:szCs w:val="22"/>
        </w:rPr>
        <w:t xml:space="preserve"> Anche nel 2021 la diffusione della povertà assoluta si conferma più alta nel Mezzogiorno (12,1%) che nel Nord (8,2%), dove si registra peraltro un sensibile miglioramento di circa </w:t>
      </w:r>
      <w:r w:rsidR="00957DF5">
        <w:rPr>
          <w:rFonts w:ascii="Simoncini Garamond" w:hAnsi="Simoncini Garamond" w:cs="Times New Roman PS"/>
          <w:sz w:val="21"/>
          <w:szCs w:val="22"/>
        </w:rPr>
        <w:t xml:space="preserve">un </w:t>
      </w:r>
      <w:r w:rsidR="005775E5">
        <w:rPr>
          <w:rFonts w:ascii="Simoncini Garamond" w:hAnsi="Simoncini Garamond" w:cs="Times New Roman PS"/>
          <w:sz w:val="21"/>
          <w:szCs w:val="22"/>
        </w:rPr>
        <w:t>punto percentuale assoluto rispetto all’anno precedente.</w:t>
      </w:r>
      <w:r w:rsidR="00351996">
        <w:rPr>
          <w:rFonts w:ascii="Simoncini Garamond" w:hAnsi="Simoncini Garamond" w:cs="Times New Roman PS"/>
          <w:sz w:val="21"/>
          <w:szCs w:val="22"/>
        </w:rPr>
        <w:t xml:space="preserve"> La povertà assoluta rimane elevata, in particolare, tra i minori, le famiglie </w:t>
      </w:r>
      <w:r w:rsidR="00DE5A21">
        <w:rPr>
          <w:rFonts w:ascii="Simoncini Garamond" w:hAnsi="Simoncini Garamond" w:cs="Times New Roman PS"/>
          <w:sz w:val="21"/>
          <w:szCs w:val="22"/>
        </w:rPr>
        <w:t>numerose (</w:t>
      </w:r>
      <w:r w:rsidR="00351996">
        <w:rPr>
          <w:rFonts w:ascii="Simoncini Garamond" w:hAnsi="Simoncini Garamond" w:cs="Times New Roman PS"/>
          <w:sz w:val="21"/>
          <w:szCs w:val="22"/>
        </w:rPr>
        <w:t xml:space="preserve">con </w:t>
      </w:r>
      <w:r w:rsidR="00BD1B95">
        <w:rPr>
          <w:rFonts w:ascii="Simoncini Garamond" w:hAnsi="Simoncini Garamond" w:cs="Times New Roman PS"/>
          <w:sz w:val="21"/>
          <w:szCs w:val="22"/>
        </w:rPr>
        <w:t>più di tre</w:t>
      </w:r>
      <w:r w:rsidR="00351996">
        <w:rPr>
          <w:rFonts w:ascii="Simoncini Garamond" w:hAnsi="Simoncini Garamond" w:cs="Times New Roman PS"/>
          <w:sz w:val="21"/>
          <w:szCs w:val="22"/>
        </w:rPr>
        <w:t xml:space="preserve"> componenti</w:t>
      </w:r>
      <w:r w:rsidR="00DE5A21">
        <w:rPr>
          <w:rFonts w:ascii="Simoncini Garamond" w:hAnsi="Simoncini Garamond" w:cs="Times New Roman PS"/>
          <w:sz w:val="21"/>
          <w:szCs w:val="22"/>
        </w:rPr>
        <w:t>)</w:t>
      </w:r>
      <w:r w:rsidR="00351996">
        <w:rPr>
          <w:rFonts w:ascii="Simoncini Garamond" w:hAnsi="Simoncini Garamond" w:cs="Times New Roman PS"/>
          <w:sz w:val="21"/>
          <w:szCs w:val="22"/>
        </w:rPr>
        <w:t xml:space="preserve"> e i nuclei con almeno uno straniero, la cui incidenza </w:t>
      </w:r>
      <w:r w:rsidR="00DE5A21">
        <w:rPr>
          <w:rFonts w:ascii="Simoncini Garamond" w:hAnsi="Simoncini Garamond" w:cs="Times New Roman PS"/>
          <w:sz w:val="21"/>
          <w:szCs w:val="22"/>
        </w:rPr>
        <w:lastRenderedPageBreak/>
        <w:t xml:space="preserve">(26,3%) </w:t>
      </w:r>
      <w:r w:rsidR="00351996">
        <w:rPr>
          <w:rFonts w:ascii="Simoncini Garamond" w:hAnsi="Simoncini Garamond" w:cs="Times New Roman PS"/>
          <w:sz w:val="21"/>
          <w:szCs w:val="22"/>
        </w:rPr>
        <w:t xml:space="preserve">è </w:t>
      </w:r>
      <w:r w:rsidR="00DE5A21">
        <w:rPr>
          <w:rFonts w:ascii="Simoncini Garamond" w:hAnsi="Simoncini Garamond" w:cs="Times New Roman PS"/>
          <w:sz w:val="21"/>
          <w:szCs w:val="22"/>
        </w:rPr>
        <w:t>cinque volte superiore a quella delle famiglie di soli italiani (5,7%</w:t>
      </w:r>
      <w:r w:rsidR="00957DF5">
        <w:rPr>
          <w:rFonts w:ascii="Simoncini Garamond" w:hAnsi="Simoncini Garamond" w:cs="Times New Roman PS"/>
          <w:sz w:val="21"/>
          <w:szCs w:val="22"/>
        </w:rPr>
        <w:t>) [Istat 2022</w:t>
      </w:r>
      <w:r w:rsidR="00644726">
        <w:rPr>
          <w:rFonts w:ascii="Simoncini Garamond" w:hAnsi="Simoncini Garamond" w:cs="Times New Roman PS"/>
          <w:sz w:val="21"/>
          <w:szCs w:val="22"/>
        </w:rPr>
        <w:t>a</w:t>
      </w:r>
      <w:r w:rsidR="00957DF5">
        <w:rPr>
          <w:rFonts w:ascii="Simoncini Garamond" w:hAnsi="Simoncini Garamond" w:cs="Times New Roman PS"/>
          <w:sz w:val="21"/>
          <w:szCs w:val="22"/>
        </w:rPr>
        <w:t>]</w:t>
      </w:r>
      <w:r w:rsidR="00DE5A21">
        <w:rPr>
          <w:rFonts w:ascii="Simoncini Garamond" w:hAnsi="Simoncini Garamond" w:cs="Times New Roman PS"/>
          <w:sz w:val="21"/>
          <w:szCs w:val="22"/>
        </w:rPr>
        <w:t>.</w:t>
      </w:r>
    </w:p>
    <w:p w14:paraId="391ED1A7" w14:textId="412D69FC" w:rsidR="00C66188" w:rsidRDefault="00BD1B95" w:rsidP="00970E1F">
      <w:pPr>
        <w:ind w:firstLine="360"/>
        <w:rPr>
          <w:rFonts w:ascii="Simoncini Garamond" w:hAnsi="Simoncini Garamond" w:cs="Times New Roman PS"/>
          <w:sz w:val="21"/>
          <w:szCs w:val="22"/>
        </w:rPr>
      </w:pPr>
      <w:r>
        <w:rPr>
          <w:rFonts w:ascii="Simoncini Garamond" w:hAnsi="Simoncini Garamond" w:cs="Times New Roman PS"/>
          <w:sz w:val="21"/>
          <w:szCs w:val="22"/>
        </w:rPr>
        <w:t>P</w:t>
      </w:r>
      <w:r w:rsidR="00DC546C">
        <w:rPr>
          <w:rFonts w:ascii="Simoncini Garamond" w:hAnsi="Simoncini Garamond" w:cs="Times New Roman PS"/>
          <w:sz w:val="21"/>
          <w:szCs w:val="22"/>
        </w:rPr>
        <w:t>ro-ciclic</w:t>
      </w:r>
      <w:r w:rsidR="002C53FD">
        <w:rPr>
          <w:rFonts w:ascii="Simoncini Garamond" w:hAnsi="Simoncini Garamond" w:cs="Times New Roman PS"/>
          <w:sz w:val="21"/>
          <w:szCs w:val="22"/>
        </w:rPr>
        <w:t xml:space="preserve">a </w:t>
      </w:r>
      <w:r>
        <w:rPr>
          <w:rFonts w:ascii="Simoncini Garamond" w:hAnsi="Simoncini Garamond" w:cs="Times New Roman PS"/>
          <w:sz w:val="21"/>
          <w:szCs w:val="22"/>
        </w:rPr>
        <w:t>risulta</w:t>
      </w:r>
      <w:r w:rsidR="002C53FD">
        <w:rPr>
          <w:rFonts w:ascii="Simoncini Garamond" w:hAnsi="Simoncini Garamond" w:cs="Times New Roman PS"/>
          <w:sz w:val="21"/>
          <w:szCs w:val="22"/>
        </w:rPr>
        <w:t xml:space="preserve"> la povertà relativa che, dopo aver segnato un’incidenza minore di circa un punto, dal 14,7</w:t>
      </w:r>
      <w:r w:rsidR="00957DF5">
        <w:rPr>
          <w:rFonts w:ascii="Simoncini Garamond" w:hAnsi="Simoncini Garamond" w:cs="Times New Roman PS"/>
          <w:sz w:val="21"/>
          <w:szCs w:val="22"/>
        </w:rPr>
        <w:t>%</w:t>
      </w:r>
      <w:r w:rsidR="002C53FD">
        <w:rPr>
          <w:rFonts w:ascii="Simoncini Garamond" w:hAnsi="Simoncini Garamond" w:cs="Times New Roman PS"/>
          <w:sz w:val="21"/>
          <w:szCs w:val="22"/>
        </w:rPr>
        <w:t xml:space="preserve"> al 13,5%, tra il 2019 e il 2020, </w:t>
      </w:r>
      <w:r w:rsidR="00DE5A21">
        <w:rPr>
          <w:rFonts w:ascii="Simoncini Garamond" w:hAnsi="Simoncini Garamond" w:cs="Times New Roman PS"/>
          <w:sz w:val="21"/>
          <w:szCs w:val="22"/>
        </w:rPr>
        <w:t>r</w:t>
      </w:r>
      <w:r w:rsidR="002C53FD">
        <w:rPr>
          <w:rFonts w:ascii="Simoncini Garamond" w:hAnsi="Simoncini Garamond" w:cs="Times New Roman PS"/>
          <w:sz w:val="21"/>
          <w:szCs w:val="22"/>
        </w:rPr>
        <w:t>isal</w:t>
      </w:r>
      <w:r w:rsidR="00DE5A21">
        <w:rPr>
          <w:rFonts w:ascii="Simoncini Garamond" w:hAnsi="Simoncini Garamond" w:cs="Times New Roman PS"/>
          <w:sz w:val="21"/>
          <w:szCs w:val="22"/>
        </w:rPr>
        <w:t>e</w:t>
      </w:r>
      <w:r w:rsidR="002C53FD">
        <w:rPr>
          <w:rFonts w:ascii="Simoncini Garamond" w:hAnsi="Simoncini Garamond" w:cs="Times New Roman PS"/>
          <w:sz w:val="21"/>
          <w:szCs w:val="22"/>
        </w:rPr>
        <w:t xml:space="preserve"> al</w:t>
      </w:r>
      <w:r w:rsidR="00125AD6">
        <w:rPr>
          <w:rFonts w:ascii="Simoncini Garamond" w:hAnsi="Simoncini Garamond" w:cs="Times New Roman PS"/>
          <w:sz w:val="21"/>
          <w:szCs w:val="22"/>
        </w:rPr>
        <w:t xml:space="preserve"> 14,7% l’anno seguente.</w:t>
      </w:r>
      <w:r w:rsidR="002C53FD">
        <w:rPr>
          <w:rFonts w:ascii="Simoncini Garamond" w:hAnsi="Simoncini Garamond" w:cs="Times New Roman PS"/>
          <w:sz w:val="21"/>
          <w:szCs w:val="22"/>
        </w:rPr>
        <w:t xml:space="preserve"> L’andamento apparentemente controintuitivo</w:t>
      </w:r>
      <w:r w:rsidR="004C5895">
        <w:rPr>
          <w:rFonts w:ascii="Simoncini Garamond" w:hAnsi="Simoncini Garamond" w:cs="Times New Roman PS"/>
          <w:sz w:val="21"/>
          <w:szCs w:val="22"/>
        </w:rPr>
        <w:t xml:space="preserve"> della povertà relativa</w:t>
      </w:r>
      <w:r w:rsidR="002C53FD">
        <w:rPr>
          <w:rFonts w:ascii="Simoncini Garamond" w:hAnsi="Simoncini Garamond" w:cs="Times New Roman PS"/>
          <w:sz w:val="21"/>
          <w:szCs w:val="22"/>
        </w:rPr>
        <w:t xml:space="preserve">, </w:t>
      </w:r>
      <w:r>
        <w:rPr>
          <w:rFonts w:ascii="Simoncini Garamond" w:hAnsi="Simoncini Garamond" w:cs="Times New Roman PS"/>
          <w:sz w:val="21"/>
          <w:szCs w:val="22"/>
        </w:rPr>
        <w:t xml:space="preserve">il fatto cioè che possa </w:t>
      </w:r>
      <w:r w:rsidR="004C5895">
        <w:rPr>
          <w:rFonts w:ascii="Simoncini Garamond" w:hAnsi="Simoncini Garamond" w:cs="Times New Roman PS"/>
          <w:sz w:val="21"/>
          <w:szCs w:val="22"/>
        </w:rPr>
        <w:t xml:space="preserve">diminuire in periodi di recessione </w:t>
      </w:r>
      <w:r w:rsidR="004E457C">
        <w:rPr>
          <w:rFonts w:ascii="Simoncini Garamond" w:hAnsi="Simoncini Garamond" w:cs="Times New Roman PS"/>
          <w:sz w:val="21"/>
          <w:szCs w:val="22"/>
        </w:rPr>
        <w:t>o</w:t>
      </w:r>
      <w:r w:rsidR="004C5895">
        <w:rPr>
          <w:rFonts w:ascii="Simoncini Garamond" w:hAnsi="Simoncini Garamond" w:cs="Times New Roman PS"/>
          <w:sz w:val="21"/>
          <w:szCs w:val="22"/>
        </w:rPr>
        <w:t xml:space="preserve"> aumentare quando </w:t>
      </w:r>
      <w:r w:rsidR="00125AD6">
        <w:rPr>
          <w:rFonts w:ascii="Simoncini Garamond" w:hAnsi="Simoncini Garamond" w:cs="Times New Roman PS"/>
          <w:sz w:val="21"/>
          <w:szCs w:val="22"/>
        </w:rPr>
        <w:t xml:space="preserve">il Pil </w:t>
      </w:r>
      <w:r w:rsidR="00C25D0C">
        <w:rPr>
          <w:rFonts w:ascii="Simoncini Garamond" w:hAnsi="Simoncini Garamond" w:cs="Times New Roman PS"/>
          <w:sz w:val="21"/>
          <w:szCs w:val="22"/>
        </w:rPr>
        <w:t>riparte</w:t>
      </w:r>
      <w:r w:rsidR="004C5895">
        <w:rPr>
          <w:rFonts w:ascii="Simoncini Garamond" w:hAnsi="Simoncini Garamond" w:cs="Times New Roman PS"/>
          <w:sz w:val="21"/>
          <w:szCs w:val="22"/>
        </w:rPr>
        <w:t>, riflette la metodologia di stima del fenomeno</w:t>
      </w:r>
      <w:r w:rsidR="00472E8E">
        <w:rPr>
          <w:rFonts w:ascii="Simoncini Garamond" w:hAnsi="Simoncini Garamond" w:cs="Times New Roman PS"/>
          <w:sz w:val="21"/>
          <w:szCs w:val="22"/>
        </w:rPr>
        <w:t>. E</w:t>
      </w:r>
      <w:r w:rsidR="004C5895">
        <w:rPr>
          <w:rFonts w:ascii="Simoncini Garamond" w:hAnsi="Simoncini Garamond" w:cs="Times New Roman PS"/>
          <w:sz w:val="21"/>
          <w:szCs w:val="22"/>
        </w:rPr>
        <w:t xml:space="preserve">ssendo una proporzione </w:t>
      </w:r>
      <w:r w:rsidR="00472E8E">
        <w:rPr>
          <w:rFonts w:ascii="Simoncini Garamond" w:hAnsi="Simoncini Garamond" w:cs="Times New Roman PS"/>
          <w:sz w:val="21"/>
          <w:szCs w:val="22"/>
        </w:rPr>
        <w:t xml:space="preserve">ricalcolata di anno in anno </w:t>
      </w:r>
      <w:r w:rsidR="00536244">
        <w:rPr>
          <w:rFonts w:ascii="Simoncini Garamond" w:hAnsi="Simoncini Garamond" w:cs="Times New Roman PS"/>
          <w:sz w:val="21"/>
          <w:szCs w:val="22"/>
        </w:rPr>
        <w:t>del consumo medio pro-capite</w:t>
      </w:r>
      <w:r w:rsidR="004C5895">
        <w:rPr>
          <w:rFonts w:ascii="Simoncini Garamond" w:hAnsi="Simoncini Garamond" w:cs="Times New Roman PS"/>
          <w:sz w:val="21"/>
          <w:szCs w:val="22"/>
        </w:rPr>
        <w:t xml:space="preserve">, </w:t>
      </w:r>
      <w:r w:rsidR="00472E8E">
        <w:rPr>
          <w:rFonts w:ascii="Simoncini Garamond" w:hAnsi="Simoncini Garamond" w:cs="Times New Roman PS"/>
          <w:sz w:val="21"/>
          <w:szCs w:val="22"/>
        </w:rPr>
        <w:t xml:space="preserve">la soglia di povertà relativa risente </w:t>
      </w:r>
      <w:r w:rsidR="003852BE">
        <w:rPr>
          <w:rFonts w:ascii="Simoncini Garamond" w:hAnsi="Simoncini Garamond" w:cs="Times New Roman PS"/>
          <w:sz w:val="21"/>
          <w:szCs w:val="22"/>
        </w:rPr>
        <w:t xml:space="preserve">per definizione </w:t>
      </w:r>
      <w:r w:rsidR="00472E8E">
        <w:rPr>
          <w:rFonts w:ascii="Simoncini Garamond" w:hAnsi="Simoncini Garamond" w:cs="Times New Roman PS"/>
          <w:sz w:val="21"/>
          <w:szCs w:val="22"/>
        </w:rPr>
        <w:t>dell’andamento del ciclo</w:t>
      </w:r>
      <w:r w:rsidR="00FF28C3">
        <w:rPr>
          <w:rFonts w:ascii="Simoncini Garamond" w:hAnsi="Simoncini Garamond" w:cs="Times New Roman PS"/>
          <w:sz w:val="21"/>
          <w:szCs w:val="22"/>
        </w:rPr>
        <w:t>. S</w:t>
      </w:r>
      <w:r w:rsidR="00536244">
        <w:rPr>
          <w:rFonts w:ascii="Simoncini Garamond" w:hAnsi="Simoncini Garamond" w:cs="Times New Roman PS"/>
          <w:sz w:val="21"/>
          <w:szCs w:val="22"/>
        </w:rPr>
        <w:t xml:space="preserve">i sposta </w:t>
      </w:r>
      <w:r w:rsidR="00AD0EA7">
        <w:rPr>
          <w:rFonts w:ascii="Simoncini Garamond" w:hAnsi="Simoncini Garamond" w:cs="Times New Roman PS"/>
          <w:sz w:val="21"/>
          <w:szCs w:val="22"/>
        </w:rPr>
        <w:t xml:space="preserve">quindi </w:t>
      </w:r>
      <w:r w:rsidR="00536244">
        <w:rPr>
          <w:rFonts w:ascii="Simoncini Garamond" w:hAnsi="Simoncini Garamond" w:cs="Times New Roman PS"/>
          <w:sz w:val="21"/>
          <w:szCs w:val="22"/>
        </w:rPr>
        <w:t xml:space="preserve">verso l’alto </w:t>
      </w:r>
      <w:r w:rsidR="00472E8E">
        <w:rPr>
          <w:rFonts w:ascii="Simoncini Garamond" w:hAnsi="Simoncini Garamond" w:cs="Times New Roman PS"/>
          <w:sz w:val="21"/>
          <w:szCs w:val="22"/>
        </w:rPr>
        <w:t>se</w:t>
      </w:r>
      <w:r w:rsidR="004C5895">
        <w:rPr>
          <w:rFonts w:ascii="Simoncini Garamond" w:hAnsi="Simoncini Garamond" w:cs="Times New Roman PS"/>
          <w:sz w:val="21"/>
          <w:szCs w:val="22"/>
        </w:rPr>
        <w:t xml:space="preserve"> </w:t>
      </w:r>
      <w:r w:rsidR="00472E8E">
        <w:rPr>
          <w:rFonts w:ascii="Simoncini Garamond" w:hAnsi="Simoncini Garamond" w:cs="Times New Roman PS"/>
          <w:sz w:val="21"/>
          <w:szCs w:val="22"/>
        </w:rPr>
        <w:t>l</w:t>
      </w:r>
      <w:r w:rsidR="004C5895">
        <w:rPr>
          <w:rFonts w:ascii="Simoncini Garamond" w:hAnsi="Simoncini Garamond" w:cs="Times New Roman PS"/>
          <w:sz w:val="21"/>
          <w:szCs w:val="22"/>
        </w:rPr>
        <w:t>’economia cresce</w:t>
      </w:r>
      <w:r w:rsidR="00805B4D">
        <w:rPr>
          <w:rFonts w:ascii="Simoncini Garamond" w:hAnsi="Simoncini Garamond" w:cs="Times New Roman PS"/>
          <w:sz w:val="21"/>
          <w:szCs w:val="22"/>
        </w:rPr>
        <w:t xml:space="preserve">. </w:t>
      </w:r>
      <w:r w:rsidR="007618BF">
        <w:rPr>
          <w:rFonts w:ascii="Simoncini Garamond" w:hAnsi="Simoncini Garamond" w:cs="Times New Roman PS"/>
          <w:sz w:val="21"/>
          <w:szCs w:val="22"/>
        </w:rPr>
        <w:t>Tuttavia, s</w:t>
      </w:r>
      <w:r w:rsidR="00805B4D">
        <w:rPr>
          <w:rFonts w:ascii="Simoncini Garamond" w:hAnsi="Simoncini Garamond" w:cs="Times New Roman PS"/>
          <w:sz w:val="21"/>
          <w:szCs w:val="22"/>
        </w:rPr>
        <w:t xml:space="preserve">e </w:t>
      </w:r>
      <w:r w:rsidR="00AD0EA7">
        <w:rPr>
          <w:rFonts w:ascii="Simoncini Garamond" w:hAnsi="Simoncini Garamond" w:cs="Times New Roman PS"/>
          <w:sz w:val="21"/>
          <w:szCs w:val="22"/>
        </w:rPr>
        <w:t>l</w:t>
      </w:r>
      <w:r w:rsidR="00805B4D">
        <w:rPr>
          <w:rFonts w:ascii="Simoncini Garamond" w:hAnsi="Simoncini Garamond" w:cs="Times New Roman PS"/>
          <w:sz w:val="21"/>
          <w:szCs w:val="22"/>
        </w:rPr>
        <w:t xml:space="preserve">a ripresa </w:t>
      </w:r>
      <w:r w:rsidR="002D6DA8">
        <w:rPr>
          <w:rFonts w:ascii="Simoncini Garamond" w:hAnsi="Simoncini Garamond" w:cs="Times New Roman PS"/>
          <w:sz w:val="21"/>
          <w:szCs w:val="22"/>
        </w:rPr>
        <w:t xml:space="preserve">economica </w:t>
      </w:r>
      <w:r w:rsidR="00805B4D">
        <w:rPr>
          <w:rFonts w:ascii="Simoncini Garamond" w:hAnsi="Simoncini Garamond" w:cs="Times New Roman PS"/>
          <w:sz w:val="21"/>
          <w:szCs w:val="22"/>
        </w:rPr>
        <w:t xml:space="preserve">avvantaggia </w:t>
      </w:r>
      <w:r w:rsidR="00AD0EA7">
        <w:rPr>
          <w:rFonts w:ascii="Simoncini Garamond" w:hAnsi="Simoncini Garamond" w:cs="Times New Roman PS"/>
          <w:sz w:val="21"/>
          <w:szCs w:val="22"/>
        </w:rPr>
        <w:t xml:space="preserve">soprattutto </w:t>
      </w:r>
      <w:r w:rsidR="00805B4D">
        <w:rPr>
          <w:rFonts w:ascii="Simoncini Garamond" w:hAnsi="Simoncini Garamond" w:cs="Times New Roman PS"/>
          <w:sz w:val="21"/>
          <w:szCs w:val="22"/>
        </w:rPr>
        <w:t>chi stava ben oltre la soglia</w:t>
      </w:r>
      <w:r w:rsidR="00536244">
        <w:rPr>
          <w:rFonts w:ascii="Simoncini Garamond" w:hAnsi="Simoncini Garamond" w:cs="Times New Roman PS"/>
          <w:sz w:val="21"/>
          <w:szCs w:val="22"/>
        </w:rPr>
        <w:t xml:space="preserve"> </w:t>
      </w:r>
      <w:r w:rsidR="00215FC0">
        <w:rPr>
          <w:rFonts w:ascii="Simoncini Garamond" w:hAnsi="Simoncini Garamond" w:cs="Times New Roman PS"/>
          <w:sz w:val="21"/>
          <w:szCs w:val="22"/>
        </w:rPr>
        <w:t xml:space="preserve">di povertà </w:t>
      </w:r>
      <w:r w:rsidR="00536244">
        <w:rPr>
          <w:rFonts w:ascii="Simoncini Garamond" w:hAnsi="Simoncini Garamond" w:cs="Times New Roman PS"/>
          <w:sz w:val="21"/>
          <w:szCs w:val="22"/>
        </w:rPr>
        <w:t xml:space="preserve">e meno </w:t>
      </w:r>
      <w:r w:rsidR="00805B4D">
        <w:rPr>
          <w:rFonts w:ascii="Simoncini Garamond" w:hAnsi="Simoncini Garamond" w:cs="Times New Roman PS"/>
          <w:sz w:val="21"/>
          <w:szCs w:val="22"/>
        </w:rPr>
        <w:t xml:space="preserve">chi </w:t>
      </w:r>
      <w:r w:rsidR="008956A8">
        <w:rPr>
          <w:rFonts w:ascii="Simoncini Garamond" w:hAnsi="Simoncini Garamond" w:cs="Times New Roman PS"/>
          <w:sz w:val="21"/>
          <w:szCs w:val="22"/>
        </w:rPr>
        <w:t>si trovava</w:t>
      </w:r>
      <w:r w:rsidR="00805B4D">
        <w:rPr>
          <w:rFonts w:ascii="Simoncini Garamond" w:hAnsi="Simoncini Garamond" w:cs="Times New Roman PS"/>
          <w:sz w:val="21"/>
          <w:szCs w:val="22"/>
        </w:rPr>
        <w:t xml:space="preserve"> appena sopra</w:t>
      </w:r>
      <w:r w:rsidR="00536244">
        <w:rPr>
          <w:rFonts w:ascii="Simoncini Garamond" w:hAnsi="Simoncini Garamond" w:cs="Times New Roman PS"/>
          <w:sz w:val="21"/>
          <w:szCs w:val="22"/>
        </w:rPr>
        <w:t xml:space="preserve">, può succedere che </w:t>
      </w:r>
      <w:r w:rsidR="004C5895">
        <w:rPr>
          <w:rFonts w:ascii="Simoncini Garamond" w:hAnsi="Simoncini Garamond" w:cs="Times New Roman PS"/>
          <w:sz w:val="21"/>
          <w:szCs w:val="22"/>
        </w:rPr>
        <w:t>più d’una famiglia cad</w:t>
      </w:r>
      <w:r w:rsidR="008956A8">
        <w:rPr>
          <w:rFonts w:ascii="Simoncini Garamond" w:hAnsi="Simoncini Garamond" w:cs="Times New Roman PS"/>
          <w:sz w:val="21"/>
          <w:szCs w:val="22"/>
        </w:rPr>
        <w:t>a</w:t>
      </w:r>
      <w:r w:rsidR="004C5895">
        <w:rPr>
          <w:rFonts w:ascii="Simoncini Garamond" w:hAnsi="Simoncini Garamond" w:cs="Times New Roman PS"/>
          <w:sz w:val="21"/>
          <w:szCs w:val="22"/>
        </w:rPr>
        <w:t xml:space="preserve"> al di sotto della </w:t>
      </w:r>
      <w:r w:rsidR="00BD305E">
        <w:rPr>
          <w:rFonts w:ascii="Simoncini Garamond" w:hAnsi="Simoncini Garamond" w:cs="Times New Roman PS"/>
          <w:sz w:val="21"/>
          <w:szCs w:val="22"/>
        </w:rPr>
        <w:t>soglia</w:t>
      </w:r>
      <w:r w:rsidR="00D7799E">
        <w:rPr>
          <w:rFonts w:ascii="Simoncini Garamond" w:hAnsi="Simoncini Garamond" w:cs="Times New Roman PS"/>
          <w:sz w:val="21"/>
          <w:szCs w:val="22"/>
        </w:rPr>
        <w:t>, se</w:t>
      </w:r>
      <w:r w:rsidR="00536244">
        <w:rPr>
          <w:rFonts w:ascii="Simoncini Garamond" w:hAnsi="Simoncini Garamond" w:cs="Times New Roman PS"/>
          <w:sz w:val="21"/>
          <w:szCs w:val="22"/>
        </w:rPr>
        <w:t xml:space="preserve"> </w:t>
      </w:r>
      <w:r w:rsidR="00D7799E">
        <w:rPr>
          <w:rFonts w:ascii="Simoncini Garamond" w:hAnsi="Simoncini Garamond" w:cs="Times New Roman PS"/>
          <w:sz w:val="21"/>
          <w:szCs w:val="22"/>
        </w:rPr>
        <w:t xml:space="preserve">la </w:t>
      </w:r>
      <w:r w:rsidR="00C627A9">
        <w:rPr>
          <w:rFonts w:ascii="Simoncini Garamond" w:hAnsi="Simoncini Garamond" w:cs="Times New Roman PS"/>
          <w:sz w:val="21"/>
          <w:szCs w:val="22"/>
        </w:rPr>
        <w:t>sua</w:t>
      </w:r>
      <w:r w:rsidR="00D7799E">
        <w:rPr>
          <w:rFonts w:ascii="Simoncini Garamond" w:hAnsi="Simoncini Garamond" w:cs="Times New Roman PS"/>
          <w:sz w:val="21"/>
          <w:szCs w:val="22"/>
        </w:rPr>
        <w:t xml:space="preserve"> spesa per consumi aumenta a </w:t>
      </w:r>
      <w:r w:rsidR="00C627A9">
        <w:rPr>
          <w:rFonts w:ascii="Simoncini Garamond" w:hAnsi="Simoncini Garamond" w:cs="Times New Roman PS"/>
          <w:sz w:val="21"/>
          <w:szCs w:val="22"/>
        </w:rPr>
        <w:t>un</w:t>
      </w:r>
      <w:r w:rsidR="00D7799E">
        <w:rPr>
          <w:rFonts w:ascii="Simoncini Garamond" w:hAnsi="Simoncini Garamond" w:cs="Times New Roman PS"/>
          <w:sz w:val="21"/>
          <w:szCs w:val="22"/>
        </w:rPr>
        <w:t xml:space="preserve"> ritmo </w:t>
      </w:r>
      <w:r w:rsidR="00C627A9">
        <w:rPr>
          <w:rFonts w:ascii="Simoncini Garamond" w:hAnsi="Simoncini Garamond" w:cs="Times New Roman PS"/>
          <w:sz w:val="21"/>
          <w:szCs w:val="22"/>
        </w:rPr>
        <w:t>meno sostenuto della media</w:t>
      </w:r>
      <w:r w:rsidR="00297202">
        <w:rPr>
          <w:rFonts w:ascii="Simoncini Garamond" w:hAnsi="Simoncini Garamond" w:cs="Times New Roman PS"/>
          <w:sz w:val="21"/>
          <w:szCs w:val="22"/>
        </w:rPr>
        <w:t>, andando così a ingrossare il numero dei poveri</w:t>
      </w:r>
      <w:r w:rsidR="00472E8E">
        <w:rPr>
          <w:rFonts w:ascii="Simoncini Garamond" w:hAnsi="Simoncini Garamond" w:cs="Times New Roman PS"/>
          <w:sz w:val="21"/>
          <w:szCs w:val="22"/>
        </w:rPr>
        <w:t>.</w:t>
      </w:r>
    </w:p>
    <w:p w14:paraId="03381B2D" w14:textId="534364C7" w:rsidR="005E3B1E" w:rsidRDefault="00CD03B0" w:rsidP="005E3B1E">
      <w:pPr>
        <w:ind w:firstLine="360"/>
        <w:rPr>
          <w:rFonts w:ascii="Simoncini Garamond" w:hAnsi="Simoncini Garamond" w:cs="Times New Roman PS"/>
          <w:sz w:val="21"/>
          <w:szCs w:val="22"/>
        </w:rPr>
      </w:pPr>
      <w:r>
        <w:rPr>
          <w:rFonts w:ascii="Simoncini Garamond" w:hAnsi="Simoncini Garamond" w:cs="Times New Roman PS"/>
          <w:sz w:val="21"/>
          <w:szCs w:val="22"/>
        </w:rPr>
        <w:t>La misura della povertà, e prima ancora la sua definizione</w:t>
      </w:r>
      <w:r w:rsidR="00EC4B2A">
        <w:rPr>
          <w:rFonts w:ascii="Simoncini Garamond" w:hAnsi="Simoncini Garamond" w:cs="Times New Roman PS"/>
          <w:sz w:val="21"/>
          <w:szCs w:val="22"/>
        </w:rPr>
        <w:t xml:space="preserve"> e le tecniche impiegate per determinarne la soglia</w:t>
      </w:r>
      <w:r>
        <w:rPr>
          <w:rFonts w:ascii="Simoncini Garamond" w:hAnsi="Simoncini Garamond" w:cs="Times New Roman PS"/>
          <w:sz w:val="21"/>
          <w:szCs w:val="22"/>
        </w:rPr>
        <w:t xml:space="preserve">, </w:t>
      </w:r>
      <w:r w:rsidR="00EC4B2A">
        <w:rPr>
          <w:rFonts w:ascii="Simoncini Garamond" w:hAnsi="Simoncini Garamond" w:cs="Times New Roman PS"/>
          <w:sz w:val="21"/>
          <w:szCs w:val="22"/>
        </w:rPr>
        <w:t>sono</w:t>
      </w:r>
      <w:r>
        <w:rPr>
          <w:rFonts w:ascii="Simoncini Garamond" w:hAnsi="Simoncini Garamond" w:cs="Times New Roman PS"/>
          <w:sz w:val="21"/>
          <w:szCs w:val="22"/>
        </w:rPr>
        <w:t xml:space="preserve"> una questione in larga parte convenzionale.</w:t>
      </w:r>
      <w:r w:rsidR="00EC4B2A">
        <w:rPr>
          <w:rFonts w:ascii="Simoncini Garamond" w:hAnsi="Simoncini Garamond" w:cs="Times New Roman PS"/>
          <w:sz w:val="21"/>
          <w:szCs w:val="22"/>
        </w:rPr>
        <w:t xml:space="preserve"> Eurostat produce da anni statistiche multidimensionali del fenomeno, riguardanti la povertà relativa (si veda nella tab. 1 la riga corrispondente al </w:t>
      </w:r>
      <w:r w:rsidR="00EC4B2A" w:rsidRPr="00A84CEB">
        <w:rPr>
          <w:rFonts w:ascii="Simoncini Garamond" w:hAnsi="Simoncini Garamond" w:cs="Times New Roman PS"/>
          <w:i/>
          <w:sz w:val="21"/>
          <w:szCs w:val="22"/>
        </w:rPr>
        <w:t>rischio di povertà</w:t>
      </w:r>
      <w:r w:rsidR="00EC4B2A">
        <w:rPr>
          <w:rFonts w:ascii="Simoncini Garamond" w:hAnsi="Simoncini Garamond" w:cs="Times New Roman PS"/>
          <w:sz w:val="21"/>
          <w:szCs w:val="22"/>
        </w:rPr>
        <w:t xml:space="preserve">), </w:t>
      </w:r>
      <w:r w:rsidR="008E7070">
        <w:rPr>
          <w:rFonts w:ascii="Simoncini Garamond" w:hAnsi="Simoncini Garamond" w:cs="Times New Roman PS"/>
          <w:sz w:val="21"/>
          <w:szCs w:val="22"/>
        </w:rPr>
        <w:t xml:space="preserve">un indice di disagio economico che misura la </w:t>
      </w:r>
      <w:r w:rsidR="008E7070" w:rsidRPr="00A84CEB">
        <w:rPr>
          <w:rFonts w:ascii="Simoncini Garamond" w:hAnsi="Simoncini Garamond" w:cs="Times New Roman PS"/>
          <w:i/>
          <w:sz w:val="21"/>
          <w:szCs w:val="22"/>
        </w:rPr>
        <w:t>bassa intensità di lavoro</w:t>
      </w:r>
      <w:r w:rsidR="008E7070">
        <w:rPr>
          <w:rFonts w:ascii="Simoncini Garamond" w:hAnsi="Simoncini Garamond" w:cs="Times New Roman PS"/>
          <w:sz w:val="21"/>
          <w:szCs w:val="22"/>
        </w:rPr>
        <w:t xml:space="preserve"> e </w:t>
      </w:r>
      <w:r w:rsidR="00EC4B2A">
        <w:rPr>
          <w:rFonts w:ascii="Simoncini Garamond" w:hAnsi="Simoncini Garamond" w:cs="Times New Roman PS"/>
          <w:sz w:val="21"/>
          <w:szCs w:val="22"/>
        </w:rPr>
        <w:t xml:space="preserve">una misura non monetaria della povertà assoluta (corrispondente alla riga </w:t>
      </w:r>
      <w:r w:rsidR="00E962D8">
        <w:rPr>
          <w:rFonts w:ascii="Simoncini Garamond" w:hAnsi="Simoncini Garamond" w:cs="Times New Roman PS"/>
          <w:sz w:val="21"/>
          <w:szCs w:val="22"/>
        </w:rPr>
        <w:t xml:space="preserve">della tab. 1 </w:t>
      </w:r>
      <w:r w:rsidR="00EC4B2A">
        <w:rPr>
          <w:rFonts w:ascii="Simoncini Garamond" w:hAnsi="Simoncini Garamond" w:cs="Times New Roman PS"/>
          <w:sz w:val="21"/>
          <w:szCs w:val="22"/>
        </w:rPr>
        <w:t xml:space="preserve">riferita alla </w:t>
      </w:r>
      <w:r w:rsidR="002E0DF0" w:rsidRPr="00A84CEB">
        <w:rPr>
          <w:rFonts w:ascii="Simoncini Garamond" w:hAnsi="Simoncini Garamond" w:cs="Times New Roman PS"/>
          <w:i/>
          <w:sz w:val="21"/>
          <w:szCs w:val="22"/>
        </w:rPr>
        <w:t>grave</w:t>
      </w:r>
      <w:r w:rsidR="00EC4B2A" w:rsidRPr="00A84CEB">
        <w:rPr>
          <w:rFonts w:ascii="Simoncini Garamond" w:hAnsi="Simoncini Garamond" w:cs="Times New Roman PS"/>
          <w:i/>
          <w:sz w:val="21"/>
          <w:szCs w:val="22"/>
        </w:rPr>
        <w:t xml:space="preserve"> deprivazione materiale</w:t>
      </w:r>
      <w:r w:rsidR="00EC4B2A">
        <w:rPr>
          <w:rFonts w:ascii="Simoncini Garamond" w:hAnsi="Simoncini Garamond" w:cs="Times New Roman PS"/>
          <w:sz w:val="21"/>
          <w:szCs w:val="22"/>
        </w:rPr>
        <w:t>)</w:t>
      </w:r>
      <w:r w:rsidR="007A775F">
        <w:rPr>
          <w:rFonts w:ascii="Simoncini Garamond" w:hAnsi="Simoncini Garamond" w:cs="Times New Roman PS"/>
          <w:sz w:val="21"/>
          <w:szCs w:val="22"/>
        </w:rPr>
        <w:t>.</w:t>
      </w:r>
      <w:r w:rsidR="005E3B1E">
        <w:rPr>
          <w:rFonts w:ascii="Simoncini Garamond" w:hAnsi="Simoncini Garamond" w:cs="Times New Roman PS"/>
          <w:sz w:val="21"/>
          <w:szCs w:val="22"/>
        </w:rPr>
        <w:t xml:space="preserve"> Un quarto indicatore, che sintetizza i primi tre</w:t>
      </w:r>
      <w:r w:rsidR="00AE6DF9">
        <w:rPr>
          <w:rFonts w:ascii="Simoncini Garamond" w:hAnsi="Simoncini Garamond" w:cs="Times New Roman PS"/>
          <w:sz w:val="21"/>
          <w:szCs w:val="22"/>
        </w:rPr>
        <w:t>,</w:t>
      </w:r>
      <w:r w:rsidR="005E3B1E">
        <w:rPr>
          <w:rFonts w:ascii="Simoncini Garamond" w:hAnsi="Simoncini Garamond" w:cs="Times New Roman PS"/>
          <w:sz w:val="21"/>
          <w:szCs w:val="22"/>
        </w:rPr>
        <w:t xml:space="preserve"> è il </w:t>
      </w:r>
      <w:r w:rsidR="005E3B1E" w:rsidRPr="00A84CEB">
        <w:rPr>
          <w:rFonts w:ascii="Simoncini Garamond" w:hAnsi="Simoncini Garamond" w:cs="Times New Roman PS"/>
          <w:i/>
          <w:sz w:val="21"/>
          <w:szCs w:val="22"/>
        </w:rPr>
        <w:t>rischio di povertà o esclusione sociale</w:t>
      </w:r>
      <w:r w:rsidR="005E3B1E">
        <w:rPr>
          <w:rFonts w:ascii="Simoncini Garamond" w:hAnsi="Simoncini Garamond" w:cs="Times New Roman PS"/>
          <w:sz w:val="21"/>
          <w:szCs w:val="22"/>
        </w:rPr>
        <w:t xml:space="preserve"> che misura la quota di individui che si trova</w:t>
      </w:r>
      <w:r w:rsidR="00AE6DF9">
        <w:rPr>
          <w:rFonts w:ascii="Simoncini Garamond" w:hAnsi="Simoncini Garamond" w:cs="Times New Roman PS"/>
          <w:sz w:val="21"/>
          <w:szCs w:val="22"/>
        </w:rPr>
        <w:t>no</w:t>
      </w:r>
      <w:r w:rsidR="005E3B1E">
        <w:rPr>
          <w:rFonts w:ascii="Simoncini Garamond" w:hAnsi="Simoncini Garamond" w:cs="Times New Roman PS"/>
          <w:sz w:val="21"/>
          <w:szCs w:val="22"/>
        </w:rPr>
        <w:t xml:space="preserve"> in </w:t>
      </w:r>
      <w:r w:rsidR="005E3B1E" w:rsidRPr="00F9594A">
        <w:rPr>
          <w:rFonts w:ascii="Simoncini Garamond" w:hAnsi="Simoncini Garamond" w:cs="Times New Roman PS"/>
          <w:i/>
          <w:sz w:val="21"/>
          <w:szCs w:val="22"/>
        </w:rPr>
        <w:t>almeno una</w:t>
      </w:r>
      <w:r w:rsidR="005E3B1E">
        <w:rPr>
          <w:rFonts w:ascii="Simoncini Garamond" w:hAnsi="Simoncini Garamond" w:cs="Times New Roman PS"/>
          <w:sz w:val="21"/>
          <w:szCs w:val="22"/>
        </w:rPr>
        <w:t xml:space="preserve"> delle</w:t>
      </w:r>
      <w:r w:rsidR="00D92EE5">
        <w:rPr>
          <w:rFonts w:ascii="Simoncini Garamond" w:hAnsi="Simoncini Garamond" w:cs="Times New Roman PS"/>
          <w:sz w:val="21"/>
          <w:szCs w:val="22"/>
        </w:rPr>
        <w:t xml:space="preserve"> tre</w:t>
      </w:r>
      <w:r w:rsidR="005E3B1E">
        <w:rPr>
          <w:rFonts w:ascii="Simoncini Garamond" w:hAnsi="Simoncini Garamond" w:cs="Times New Roman PS"/>
          <w:sz w:val="21"/>
          <w:szCs w:val="22"/>
        </w:rPr>
        <w:t xml:space="preserve"> condizioni precedentemente elencate.</w:t>
      </w:r>
    </w:p>
    <w:p w14:paraId="19981922" w14:textId="545B500B" w:rsidR="005E3B1E" w:rsidRDefault="005E3B1E" w:rsidP="005E3B1E">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Nel triennio 2019-21 la percentuale della popolazione italiana a </w:t>
      </w:r>
      <w:r w:rsidRPr="00A84CEB">
        <w:rPr>
          <w:rFonts w:ascii="Simoncini Garamond" w:hAnsi="Simoncini Garamond" w:cs="Times New Roman PS"/>
          <w:i/>
          <w:sz w:val="21"/>
          <w:szCs w:val="22"/>
        </w:rPr>
        <w:t>rischio di povertà o esclusione sociale</w:t>
      </w:r>
      <w:r>
        <w:rPr>
          <w:rFonts w:ascii="Simoncini Garamond" w:hAnsi="Simoncini Garamond" w:cs="Times New Roman PS"/>
          <w:sz w:val="21"/>
          <w:szCs w:val="22"/>
        </w:rPr>
        <w:t xml:space="preserve"> è rimasta sostanzialmente i</w:t>
      </w:r>
      <w:r w:rsidR="00D92EE5">
        <w:rPr>
          <w:rFonts w:ascii="Simoncini Garamond" w:hAnsi="Simoncini Garamond" w:cs="Times New Roman PS"/>
          <w:sz w:val="21"/>
          <w:szCs w:val="22"/>
        </w:rPr>
        <w:t>mmutata</w:t>
      </w:r>
      <w:r>
        <w:rPr>
          <w:rFonts w:ascii="Simoncini Garamond" w:hAnsi="Simoncini Garamond" w:cs="Times New Roman PS"/>
          <w:sz w:val="21"/>
          <w:szCs w:val="22"/>
        </w:rPr>
        <w:t xml:space="preserve">, oscillando </w:t>
      </w:r>
      <w:r w:rsidR="00CB1663">
        <w:rPr>
          <w:rFonts w:ascii="Simoncini Garamond" w:hAnsi="Simoncini Garamond" w:cs="Times New Roman PS"/>
          <w:sz w:val="21"/>
          <w:szCs w:val="22"/>
        </w:rPr>
        <w:t>tra il</w:t>
      </w:r>
      <w:r>
        <w:rPr>
          <w:rFonts w:ascii="Simoncini Garamond" w:hAnsi="Simoncini Garamond" w:cs="Times New Roman PS"/>
          <w:sz w:val="21"/>
          <w:szCs w:val="22"/>
        </w:rPr>
        <w:t xml:space="preserve"> 25,6% del 2019, prima della pandemia, </w:t>
      </w:r>
      <w:r w:rsidR="00CB1663">
        <w:rPr>
          <w:rFonts w:ascii="Simoncini Garamond" w:hAnsi="Simoncini Garamond" w:cs="Times New Roman PS"/>
          <w:sz w:val="21"/>
          <w:szCs w:val="22"/>
        </w:rPr>
        <w:t>i</w:t>
      </w:r>
      <w:r>
        <w:rPr>
          <w:rFonts w:ascii="Simoncini Garamond" w:hAnsi="Simoncini Garamond" w:cs="Times New Roman PS"/>
          <w:sz w:val="21"/>
          <w:szCs w:val="22"/>
        </w:rPr>
        <w:t xml:space="preserve">l 25,3% </w:t>
      </w:r>
      <w:r w:rsidR="00CB1663">
        <w:rPr>
          <w:rFonts w:ascii="Simoncini Garamond" w:hAnsi="Simoncini Garamond" w:cs="Times New Roman PS"/>
          <w:sz w:val="21"/>
          <w:szCs w:val="22"/>
        </w:rPr>
        <w:t xml:space="preserve">del 2020 </w:t>
      </w:r>
      <w:r>
        <w:rPr>
          <w:rFonts w:ascii="Simoncini Garamond" w:hAnsi="Simoncini Garamond" w:cs="Times New Roman PS"/>
          <w:sz w:val="21"/>
          <w:szCs w:val="22"/>
        </w:rPr>
        <w:t xml:space="preserve">e </w:t>
      </w:r>
      <w:r w:rsidR="00CB1663">
        <w:rPr>
          <w:rFonts w:ascii="Simoncini Garamond" w:hAnsi="Simoncini Garamond" w:cs="Times New Roman PS"/>
          <w:sz w:val="21"/>
          <w:szCs w:val="22"/>
        </w:rPr>
        <w:t>i</w:t>
      </w:r>
      <w:r>
        <w:rPr>
          <w:rFonts w:ascii="Simoncini Garamond" w:hAnsi="Simoncini Garamond" w:cs="Times New Roman PS"/>
          <w:sz w:val="21"/>
          <w:szCs w:val="22"/>
        </w:rPr>
        <w:t>l 25,4%</w:t>
      </w:r>
      <w:r w:rsidR="00CB1663">
        <w:rPr>
          <w:rFonts w:ascii="Simoncini Garamond" w:hAnsi="Simoncini Garamond" w:cs="Times New Roman PS"/>
          <w:sz w:val="21"/>
          <w:szCs w:val="22"/>
        </w:rPr>
        <w:t xml:space="preserve"> del </w:t>
      </w:r>
      <w:r>
        <w:rPr>
          <w:rFonts w:ascii="Simoncini Garamond" w:hAnsi="Simoncini Garamond" w:cs="Times New Roman PS"/>
          <w:sz w:val="21"/>
          <w:szCs w:val="22"/>
        </w:rPr>
        <w:t>2021. La stabilità dell’indicatore non è di immediata interpretazione</w:t>
      </w:r>
      <w:r w:rsidR="00CB1663">
        <w:rPr>
          <w:rFonts w:ascii="Simoncini Garamond" w:hAnsi="Simoncini Garamond" w:cs="Times New Roman PS"/>
          <w:sz w:val="21"/>
          <w:szCs w:val="22"/>
        </w:rPr>
        <w:t xml:space="preserve">: mentre infatti il </w:t>
      </w:r>
      <w:r w:rsidR="00A84CEB" w:rsidRPr="00A84CEB">
        <w:rPr>
          <w:rFonts w:ascii="Simoncini Garamond" w:hAnsi="Simoncini Garamond" w:cs="Times New Roman PS"/>
          <w:i/>
          <w:sz w:val="21"/>
          <w:szCs w:val="22"/>
        </w:rPr>
        <w:t>r</w:t>
      </w:r>
      <w:r w:rsidR="00CB1663" w:rsidRPr="00A84CEB">
        <w:rPr>
          <w:rFonts w:ascii="Simoncini Garamond" w:hAnsi="Simoncini Garamond" w:cs="Times New Roman PS"/>
          <w:i/>
          <w:sz w:val="21"/>
          <w:szCs w:val="22"/>
        </w:rPr>
        <w:t>ischio di povertà</w:t>
      </w:r>
      <w:r w:rsidR="00CB1663">
        <w:rPr>
          <w:rFonts w:ascii="Simoncini Garamond" w:hAnsi="Simoncini Garamond" w:cs="Times New Roman PS"/>
          <w:sz w:val="21"/>
          <w:szCs w:val="22"/>
        </w:rPr>
        <w:t xml:space="preserve"> rimane su livelli corrispondenti a quelli pre-pandemici, la </w:t>
      </w:r>
      <w:r w:rsidR="00CB1663" w:rsidRPr="00A84CEB">
        <w:rPr>
          <w:rFonts w:ascii="Simoncini Garamond" w:hAnsi="Simoncini Garamond" w:cs="Times New Roman PS"/>
          <w:i/>
          <w:sz w:val="21"/>
          <w:szCs w:val="22"/>
        </w:rPr>
        <w:t>deprivazione materiale grave</w:t>
      </w:r>
      <w:r w:rsidR="00CB1663">
        <w:rPr>
          <w:rFonts w:ascii="Simoncini Garamond" w:hAnsi="Simoncini Garamond" w:cs="Times New Roman PS"/>
          <w:sz w:val="21"/>
          <w:szCs w:val="22"/>
        </w:rPr>
        <w:t xml:space="preserve"> e la </w:t>
      </w:r>
      <w:r w:rsidR="00CB1663" w:rsidRPr="00A84CEB">
        <w:rPr>
          <w:rFonts w:ascii="Simoncini Garamond" w:hAnsi="Simoncini Garamond" w:cs="Times New Roman PS"/>
          <w:i/>
          <w:sz w:val="21"/>
          <w:szCs w:val="22"/>
        </w:rPr>
        <w:t>bassa intensità di lavor</w:t>
      </w:r>
      <w:r w:rsidR="00A84CEB">
        <w:rPr>
          <w:rFonts w:ascii="Simoncini Garamond" w:hAnsi="Simoncini Garamond" w:cs="Times New Roman PS"/>
          <w:i/>
          <w:sz w:val="21"/>
          <w:szCs w:val="22"/>
        </w:rPr>
        <w:t>o</w:t>
      </w:r>
      <w:r w:rsidR="00CB1663">
        <w:rPr>
          <w:rFonts w:ascii="Simoncini Garamond" w:hAnsi="Simoncini Garamond" w:cs="Times New Roman PS"/>
          <w:sz w:val="21"/>
          <w:szCs w:val="22"/>
        </w:rPr>
        <w:t xml:space="preserve"> </w:t>
      </w:r>
      <w:r w:rsidR="00CB1663">
        <w:rPr>
          <w:rFonts w:ascii="Simoncini Garamond" w:hAnsi="Simoncini Garamond" w:cs="Times New Roman PS"/>
          <w:sz w:val="21"/>
          <w:szCs w:val="22"/>
        </w:rPr>
        <w:lastRenderedPageBreak/>
        <w:t>mostrano v</w:t>
      </w:r>
      <w:r>
        <w:rPr>
          <w:rFonts w:ascii="Simoncini Garamond" w:hAnsi="Simoncini Garamond" w:cs="Times New Roman PS"/>
          <w:sz w:val="21"/>
          <w:szCs w:val="22"/>
        </w:rPr>
        <w:t>ariazioni di segno opposto.</w:t>
      </w:r>
      <w:r w:rsidR="00CB1663">
        <w:rPr>
          <w:rFonts w:ascii="Simoncini Garamond" w:hAnsi="Simoncini Garamond" w:cs="Times New Roman PS"/>
          <w:sz w:val="21"/>
          <w:szCs w:val="22"/>
        </w:rPr>
        <w:t xml:space="preserve"> Concentriamoci quindi su questi ultimi.</w:t>
      </w:r>
    </w:p>
    <w:p w14:paraId="66C463B8" w14:textId="2BA05E11" w:rsidR="00970E1F" w:rsidRDefault="008E7070" w:rsidP="00970E1F">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Prima della crisi </w:t>
      </w:r>
      <w:r w:rsidR="00C73C31">
        <w:rPr>
          <w:rFonts w:ascii="Simoncini Garamond" w:hAnsi="Simoncini Garamond" w:cs="Times New Roman PS"/>
          <w:sz w:val="21"/>
          <w:szCs w:val="22"/>
        </w:rPr>
        <w:t>da Covid-19</w:t>
      </w:r>
      <w:r>
        <w:rPr>
          <w:rFonts w:ascii="Simoncini Garamond" w:hAnsi="Simoncini Garamond" w:cs="Times New Roman PS"/>
          <w:sz w:val="21"/>
          <w:szCs w:val="22"/>
        </w:rPr>
        <w:t xml:space="preserve"> la quota di individui che viv</w:t>
      </w:r>
      <w:r w:rsidR="002E0DF0">
        <w:rPr>
          <w:rFonts w:ascii="Simoncini Garamond" w:hAnsi="Simoncini Garamond" w:cs="Times New Roman PS"/>
          <w:sz w:val="21"/>
          <w:szCs w:val="22"/>
        </w:rPr>
        <w:t>eva</w:t>
      </w:r>
      <w:r>
        <w:rPr>
          <w:rFonts w:ascii="Simoncini Garamond" w:hAnsi="Simoncini Garamond" w:cs="Times New Roman PS"/>
          <w:sz w:val="21"/>
          <w:szCs w:val="22"/>
        </w:rPr>
        <w:t xml:space="preserve"> in nuclei familiari a </w:t>
      </w:r>
      <w:r w:rsidRPr="00A84CEB">
        <w:rPr>
          <w:rFonts w:ascii="Simoncini Garamond" w:hAnsi="Simoncini Garamond" w:cs="Times New Roman PS"/>
          <w:i/>
          <w:sz w:val="21"/>
          <w:szCs w:val="22"/>
        </w:rPr>
        <w:t>bassa intensità di lavoro</w:t>
      </w:r>
      <w:r>
        <w:rPr>
          <w:rFonts w:ascii="Simoncini Garamond" w:hAnsi="Simoncini Garamond" w:cs="Times New Roman PS"/>
          <w:sz w:val="21"/>
          <w:szCs w:val="22"/>
        </w:rPr>
        <w:t xml:space="preserve"> (</w:t>
      </w:r>
      <w:r w:rsidR="00AE6DF9">
        <w:rPr>
          <w:rFonts w:ascii="Simoncini Garamond" w:hAnsi="Simoncini Garamond" w:cs="Times New Roman PS"/>
          <w:sz w:val="21"/>
          <w:szCs w:val="22"/>
        </w:rPr>
        <w:t xml:space="preserve">cioè nuclei in cui le </w:t>
      </w:r>
      <w:r>
        <w:rPr>
          <w:rFonts w:ascii="Simoncini Garamond" w:hAnsi="Simoncini Garamond" w:cs="Times New Roman PS"/>
          <w:sz w:val="21"/>
          <w:szCs w:val="22"/>
        </w:rPr>
        <w:t>persone tra 18 e 59 anni hanno lavorato meno di un quinto del tempo</w:t>
      </w:r>
      <w:r w:rsidR="002E0DF0">
        <w:rPr>
          <w:rFonts w:ascii="Simoncini Garamond" w:hAnsi="Simoncini Garamond" w:cs="Times New Roman PS"/>
          <w:sz w:val="21"/>
          <w:szCs w:val="22"/>
        </w:rPr>
        <w:t xml:space="preserve"> teoricamente disponibile</w:t>
      </w:r>
      <w:r>
        <w:rPr>
          <w:rFonts w:ascii="Simoncini Garamond" w:hAnsi="Simoncini Garamond" w:cs="Times New Roman PS"/>
          <w:sz w:val="21"/>
          <w:szCs w:val="22"/>
        </w:rPr>
        <w:t xml:space="preserve">) </w:t>
      </w:r>
      <w:r w:rsidR="002E0DF0">
        <w:rPr>
          <w:rFonts w:ascii="Simoncini Garamond" w:hAnsi="Simoncini Garamond" w:cs="Times New Roman PS"/>
          <w:sz w:val="21"/>
          <w:szCs w:val="22"/>
        </w:rPr>
        <w:t xml:space="preserve">era </w:t>
      </w:r>
      <w:r w:rsidR="00AE6DF9">
        <w:rPr>
          <w:rFonts w:ascii="Simoncini Garamond" w:hAnsi="Simoncini Garamond" w:cs="Times New Roman PS"/>
          <w:sz w:val="21"/>
          <w:szCs w:val="22"/>
        </w:rPr>
        <w:t xml:space="preserve">scesa </w:t>
      </w:r>
      <w:r w:rsidR="002E0DF0">
        <w:rPr>
          <w:rFonts w:ascii="Simoncini Garamond" w:hAnsi="Simoncini Garamond" w:cs="Times New Roman PS"/>
          <w:sz w:val="21"/>
          <w:szCs w:val="22"/>
        </w:rPr>
        <w:t xml:space="preserve">al 10%. </w:t>
      </w:r>
      <w:r w:rsidR="00CB1663">
        <w:rPr>
          <w:rFonts w:ascii="Simoncini Garamond" w:hAnsi="Simoncini Garamond" w:cs="Times New Roman PS"/>
          <w:sz w:val="21"/>
          <w:szCs w:val="22"/>
        </w:rPr>
        <w:t xml:space="preserve">A causa delle ripercussioni negative prodotte sull’occupazione dalla pandemia, </w:t>
      </w:r>
      <w:r w:rsidR="002E0DF0">
        <w:rPr>
          <w:rFonts w:ascii="Simoncini Garamond" w:hAnsi="Simoncini Garamond" w:cs="Times New Roman PS"/>
          <w:sz w:val="21"/>
          <w:szCs w:val="22"/>
        </w:rPr>
        <w:t>la quota di individui che vivono in tal</w:t>
      </w:r>
      <w:r w:rsidR="00AE6DF9">
        <w:rPr>
          <w:rFonts w:ascii="Simoncini Garamond" w:hAnsi="Simoncini Garamond" w:cs="Times New Roman PS"/>
          <w:sz w:val="21"/>
          <w:szCs w:val="22"/>
        </w:rPr>
        <w:t xml:space="preserve">i famiglie </w:t>
      </w:r>
      <w:r w:rsidR="00C73C31">
        <w:rPr>
          <w:rFonts w:ascii="Simoncini Garamond" w:hAnsi="Simoncini Garamond" w:cs="Times New Roman PS"/>
          <w:sz w:val="21"/>
          <w:szCs w:val="22"/>
        </w:rPr>
        <w:t xml:space="preserve">è </w:t>
      </w:r>
      <w:r w:rsidR="002E0DF0">
        <w:rPr>
          <w:rFonts w:ascii="Simoncini Garamond" w:hAnsi="Simoncini Garamond" w:cs="Times New Roman PS"/>
          <w:sz w:val="21"/>
          <w:szCs w:val="22"/>
        </w:rPr>
        <w:t>risal</w:t>
      </w:r>
      <w:r w:rsidR="00C73C31">
        <w:rPr>
          <w:rFonts w:ascii="Simoncini Garamond" w:hAnsi="Simoncini Garamond" w:cs="Times New Roman PS"/>
          <w:sz w:val="21"/>
          <w:szCs w:val="22"/>
        </w:rPr>
        <w:t>ita</w:t>
      </w:r>
      <w:r w:rsidR="002E0DF0">
        <w:rPr>
          <w:rFonts w:ascii="Simoncini Garamond" w:hAnsi="Simoncini Garamond" w:cs="Times New Roman PS"/>
          <w:sz w:val="21"/>
          <w:szCs w:val="22"/>
        </w:rPr>
        <w:t xml:space="preserve"> all’11% nel 2020 e all’11,7% nel 2021.</w:t>
      </w:r>
    </w:p>
    <w:p w14:paraId="58B8AAA7" w14:textId="157CCD3B" w:rsidR="00F9594A" w:rsidRDefault="002E0DF0" w:rsidP="00970E1F">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Di contro, </w:t>
      </w:r>
      <w:r w:rsidR="00970E1F">
        <w:rPr>
          <w:rFonts w:ascii="Simoncini Garamond" w:hAnsi="Simoncini Garamond" w:cs="Times New Roman PS"/>
          <w:sz w:val="21"/>
          <w:szCs w:val="22"/>
        </w:rPr>
        <w:t xml:space="preserve">nel biennio 2020-21 </w:t>
      </w:r>
      <w:r>
        <w:rPr>
          <w:rFonts w:ascii="Simoncini Garamond" w:hAnsi="Simoncini Garamond" w:cs="Times New Roman PS"/>
          <w:sz w:val="21"/>
          <w:szCs w:val="22"/>
        </w:rPr>
        <w:t xml:space="preserve">la </w:t>
      </w:r>
      <w:r w:rsidRPr="000D74B2">
        <w:rPr>
          <w:rFonts w:ascii="Simoncini Garamond" w:hAnsi="Simoncini Garamond" w:cs="Times New Roman PS"/>
          <w:i/>
          <w:sz w:val="21"/>
          <w:szCs w:val="22"/>
        </w:rPr>
        <w:t xml:space="preserve">deprivazione materiale </w:t>
      </w:r>
      <w:r w:rsidR="00970E1F" w:rsidRPr="000D74B2">
        <w:rPr>
          <w:rFonts w:ascii="Simoncini Garamond" w:hAnsi="Simoncini Garamond" w:cs="Times New Roman PS"/>
          <w:i/>
          <w:sz w:val="21"/>
          <w:szCs w:val="22"/>
        </w:rPr>
        <w:t>grave</w:t>
      </w:r>
      <w:r w:rsidR="00970E1F">
        <w:rPr>
          <w:rFonts w:ascii="Simoncini Garamond" w:hAnsi="Simoncini Garamond" w:cs="Times New Roman PS"/>
          <w:sz w:val="21"/>
          <w:szCs w:val="22"/>
        </w:rPr>
        <w:t xml:space="preserve"> </w:t>
      </w:r>
      <w:r>
        <w:rPr>
          <w:rFonts w:ascii="Simoncini Garamond" w:hAnsi="Simoncini Garamond" w:cs="Times New Roman PS"/>
          <w:sz w:val="21"/>
          <w:szCs w:val="22"/>
        </w:rPr>
        <w:t xml:space="preserve">(che rileva la mancanza di beni durevoli </w:t>
      </w:r>
      <w:r w:rsidR="00BD1B95">
        <w:rPr>
          <w:rFonts w:ascii="Simoncini Garamond" w:hAnsi="Simoncini Garamond" w:cs="Times New Roman PS"/>
          <w:sz w:val="21"/>
          <w:szCs w:val="22"/>
        </w:rPr>
        <w:t xml:space="preserve">di uso comune </w:t>
      </w:r>
      <w:r>
        <w:rPr>
          <w:rFonts w:ascii="Simoncini Garamond" w:hAnsi="Simoncini Garamond" w:cs="Times New Roman PS"/>
          <w:sz w:val="21"/>
          <w:szCs w:val="22"/>
        </w:rPr>
        <w:t xml:space="preserve">come la lavatrice, l’automobile, ecc., l’impossibilità di svolgere alcune attività essenziali o di rispettare le scadenze di pagamenti ricorrenti) </w:t>
      </w:r>
      <w:r w:rsidR="00970E1F">
        <w:rPr>
          <w:rFonts w:ascii="Simoncini Garamond" w:hAnsi="Simoncini Garamond" w:cs="Times New Roman PS"/>
          <w:sz w:val="21"/>
          <w:szCs w:val="22"/>
        </w:rPr>
        <w:t xml:space="preserve">si </w:t>
      </w:r>
      <w:r w:rsidR="00C73C31">
        <w:rPr>
          <w:rFonts w:ascii="Simoncini Garamond" w:hAnsi="Simoncini Garamond" w:cs="Times New Roman PS"/>
          <w:sz w:val="21"/>
          <w:szCs w:val="22"/>
        </w:rPr>
        <w:t xml:space="preserve">è </w:t>
      </w:r>
      <w:r w:rsidR="00970E1F">
        <w:rPr>
          <w:rFonts w:ascii="Simoncini Garamond" w:hAnsi="Simoncini Garamond" w:cs="Times New Roman PS"/>
          <w:sz w:val="21"/>
          <w:szCs w:val="22"/>
        </w:rPr>
        <w:t>mo</w:t>
      </w:r>
      <w:r w:rsidR="00C73C31">
        <w:rPr>
          <w:rFonts w:ascii="Simoncini Garamond" w:hAnsi="Simoncini Garamond" w:cs="Times New Roman PS"/>
          <w:sz w:val="21"/>
          <w:szCs w:val="22"/>
        </w:rPr>
        <w:t>ssa</w:t>
      </w:r>
      <w:r w:rsidR="00970E1F">
        <w:rPr>
          <w:rFonts w:ascii="Simoncini Garamond" w:hAnsi="Simoncini Garamond" w:cs="Times New Roman PS"/>
          <w:sz w:val="21"/>
          <w:szCs w:val="22"/>
        </w:rPr>
        <w:t xml:space="preserve"> in senso </w:t>
      </w:r>
      <w:r w:rsidR="003602F3">
        <w:rPr>
          <w:rFonts w:ascii="Simoncini Garamond" w:hAnsi="Simoncini Garamond" w:cs="Times New Roman PS"/>
          <w:sz w:val="21"/>
          <w:szCs w:val="22"/>
        </w:rPr>
        <w:t>contrario</w:t>
      </w:r>
      <w:r>
        <w:rPr>
          <w:rFonts w:ascii="Simoncini Garamond" w:hAnsi="Simoncini Garamond" w:cs="Times New Roman PS"/>
          <w:sz w:val="21"/>
          <w:szCs w:val="22"/>
        </w:rPr>
        <w:t>, proseguendo</w:t>
      </w:r>
      <w:r w:rsidR="004F5B41">
        <w:rPr>
          <w:rFonts w:ascii="Simoncini Garamond" w:hAnsi="Simoncini Garamond" w:cs="Times New Roman PS"/>
          <w:sz w:val="21"/>
          <w:szCs w:val="22"/>
        </w:rPr>
        <w:t xml:space="preserve"> anche ne</w:t>
      </w:r>
      <w:r w:rsidR="00CB1663">
        <w:rPr>
          <w:rFonts w:ascii="Simoncini Garamond" w:hAnsi="Simoncini Garamond" w:cs="Times New Roman PS"/>
          <w:sz w:val="21"/>
          <w:szCs w:val="22"/>
        </w:rPr>
        <w:t>l biennio 2020-21</w:t>
      </w:r>
      <w:r>
        <w:rPr>
          <w:rFonts w:ascii="Simoncini Garamond" w:hAnsi="Simoncini Garamond" w:cs="Times New Roman PS"/>
          <w:sz w:val="21"/>
          <w:szCs w:val="22"/>
        </w:rPr>
        <w:t xml:space="preserve"> la lenta marcia</w:t>
      </w:r>
      <w:r w:rsidR="002E2015">
        <w:rPr>
          <w:rFonts w:ascii="Simoncini Garamond" w:hAnsi="Simoncini Garamond" w:cs="Times New Roman PS"/>
          <w:sz w:val="21"/>
          <w:szCs w:val="22"/>
        </w:rPr>
        <w:t xml:space="preserve"> </w:t>
      </w:r>
      <w:r w:rsidR="00C73C31">
        <w:rPr>
          <w:rFonts w:ascii="Simoncini Garamond" w:hAnsi="Simoncini Garamond" w:cs="Times New Roman PS"/>
          <w:sz w:val="21"/>
          <w:szCs w:val="22"/>
        </w:rPr>
        <w:t xml:space="preserve">decrescente </w:t>
      </w:r>
      <w:r w:rsidR="00CB1663">
        <w:rPr>
          <w:rFonts w:ascii="Simoncini Garamond" w:hAnsi="Simoncini Garamond" w:cs="Times New Roman PS"/>
          <w:sz w:val="21"/>
          <w:szCs w:val="22"/>
        </w:rPr>
        <w:t>iniziata nel</w:t>
      </w:r>
      <w:r w:rsidR="002E2015">
        <w:rPr>
          <w:rFonts w:ascii="Simoncini Garamond" w:hAnsi="Simoncini Garamond" w:cs="Times New Roman PS"/>
          <w:sz w:val="21"/>
          <w:szCs w:val="22"/>
        </w:rPr>
        <w:t xml:space="preserve"> 2016</w:t>
      </w:r>
      <w:r w:rsidR="004F5B41">
        <w:rPr>
          <w:rFonts w:ascii="Simoncini Garamond" w:hAnsi="Simoncini Garamond" w:cs="Times New Roman PS"/>
          <w:sz w:val="21"/>
          <w:szCs w:val="22"/>
        </w:rPr>
        <w:t xml:space="preserve">. </w:t>
      </w:r>
      <w:r w:rsidR="00C73C31">
        <w:rPr>
          <w:rFonts w:ascii="Simoncini Garamond" w:hAnsi="Simoncini Garamond" w:cs="Times New Roman PS"/>
          <w:sz w:val="21"/>
          <w:szCs w:val="22"/>
        </w:rPr>
        <w:t xml:space="preserve">La diminuzione </w:t>
      </w:r>
      <w:r w:rsidR="00F31133">
        <w:rPr>
          <w:rFonts w:ascii="Simoncini Garamond" w:hAnsi="Simoncini Garamond" w:cs="Times New Roman PS"/>
          <w:sz w:val="21"/>
          <w:szCs w:val="22"/>
        </w:rPr>
        <w:t xml:space="preserve">riflette </w:t>
      </w:r>
      <w:r w:rsidR="00785BF5">
        <w:rPr>
          <w:rFonts w:ascii="Simoncini Garamond" w:hAnsi="Simoncini Garamond" w:cs="Times New Roman PS"/>
          <w:sz w:val="21"/>
          <w:szCs w:val="22"/>
        </w:rPr>
        <w:t xml:space="preserve">verosimilmente </w:t>
      </w:r>
      <w:r w:rsidR="00F31133">
        <w:rPr>
          <w:rFonts w:ascii="Simoncini Garamond" w:hAnsi="Simoncini Garamond" w:cs="Times New Roman PS"/>
          <w:sz w:val="21"/>
          <w:szCs w:val="22"/>
        </w:rPr>
        <w:t xml:space="preserve">la riduzione che si registra </w:t>
      </w:r>
      <w:r w:rsidR="00C13B8B">
        <w:rPr>
          <w:rFonts w:ascii="Simoncini Garamond" w:hAnsi="Simoncini Garamond" w:cs="Times New Roman PS"/>
          <w:sz w:val="21"/>
          <w:szCs w:val="22"/>
        </w:rPr>
        <w:t>in</w:t>
      </w:r>
      <w:r w:rsidR="00D832B2">
        <w:rPr>
          <w:rFonts w:ascii="Simoncini Garamond" w:hAnsi="Simoncini Garamond" w:cs="Times New Roman PS"/>
          <w:sz w:val="21"/>
          <w:szCs w:val="22"/>
        </w:rPr>
        <w:t xml:space="preserve"> due de</w:t>
      </w:r>
      <w:r w:rsidR="00F31133">
        <w:rPr>
          <w:rFonts w:ascii="Simoncini Garamond" w:hAnsi="Simoncini Garamond" w:cs="Times New Roman PS"/>
          <w:sz w:val="21"/>
          <w:szCs w:val="22"/>
        </w:rPr>
        <w:t xml:space="preserve">lle </w:t>
      </w:r>
      <w:r w:rsidR="00D832B2">
        <w:rPr>
          <w:rFonts w:ascii="Simoncini Garamond" w:hAnsi="Simoncini Garamond" w:cs="Times New Roman PS"/>
          <w:sz w:val="21"/>
          <w:szCs w:val="22"/>
        </w:rPr>
        <w:t xml:space="preserve">nove </w:t>
      </w:r>
      <w:r w:rsidR="00F31133">
        <w:rPr>
          <w:rFonts w:ascii="Simoncini Garamond" w:hAnsi="Simoncini Garamond" w:cs="Times New Roman PS"/>
          <w:sz w:val="21"/>
          <w:szCs w:val="22"/>
        </w:rPr>
        <w:t xml:space="preserve">voci su cui si fonda </w:t>
      </w:r>
      <w:r w:rsidR="00C73C31">
        <w:rPr>
          <w:rFonts w:ascii="Simoncini Garamond" w:hAnsi="Simoncini Garamond" w:cs="Times New Roman PS"/>
          <w:sz w:val="21"/>
          <w:szCs w:val="22"/>
        </w:rPr>
        <w:t xml:space="preserve">l’indice di </w:t>
      </w:r>
      <w:r w:rsidR="00CB1663" w:rsidRPr="000D74B2">
        <w:rPr>
          <w:rFonts w:ascii="Simoncini Garamond" w:hAnsi="Simoncini Garamond" w:cs="Times New Roman PS"/>
          <w:i/>
          <w:sz w:val="21"/>
          <w:szCs w:val="22"/>
        </w:rPr>
        <w:t>deprivazione materiale grave</w:t>
      </w:r>
      <w:r w:rsidR="00F31133">
        <w:rPr>
          <w:rFonts w:ascii="Simoncini Garamond" w:hAnsi="Simoncini Garamond" w:cs="Times New Roman PS"/>
          <w:sz w:val="21"/>
          <w:szCs w:val="22"/>
        </w:rPr>
        <w:t xml:space="preserve">: la quota di </w:t>
      </w:r>
      <w:r w:rsidR="00970E1F">
        <w:rPr>
          <w:rFonts w:ascii="Simoncini Garamond" w:hAnsi="Simoncini Garamond" w:cs="Times New Roman PS"/>
          <w:sz w:val="21"/>
          <w:szCs w:val="22"/>
        </w:rPr>
        <w:t xml:space="preserve">individui </w:t>
      </w:r>
      <w:r w:rsidR="00F31133">
        <w:rPr>
          <w:rFonts w:ascii="Simoncini Garamond" w:hAnsi="Simoncini Garamond" w:cs="Times New Roman PS"/>
          <w:sz w:val="21"/>
          <w:szCs w:val="22"/>
        </w:rPr>
        <w:t xml:space="preserve">che dichiarano di non potersi permettere una settimana di vacanze all’anno per motivi economici e </w:t>
      </w:r>
      <w:r w:rsidR="00C73C31">
        <w:rPr>
          <w:rFonts w:ascii="Simoncini Garamond" w:hAnsi="Simoncini Garamond" w:cs="Times New Roman PS"/>
          <w:sz w:val="21"/>
          <w:szCs w:val="22"/>
        </w:rPr>
        <w:t xml:space="preserve">la quota </w:t>
      </w:r>
      <w:r w:rsidR="00F31133">
        <w:rPr>
          <w:rFonts w:ascii="Simoncini Garamond" w:hAnsi="Simoncini Garamond" w:cs="Times New Roman PS"/>
          <w:sz w:val="21"/>
          <w:szCs w:val="22"/>
        </w:rPr>
        <w:t>di coloro che riferiscono di non poter fare fronte a spese impreviste di 850 euro. Il miglioramento di queste due voci si spiega</w:t>
      </w:r>
      <w:r w:rsidR="00C73C31">
        <w:rPr>
          <w:rFonts w:ascii="Simoncini Garamond" w:hAnsi="Simoncini Garamond" w:cs="Times New Roman PS"/>
          <w:sz w:val="21"/>
          <w:szCs w:val="22"/>
        </w:rPr>
        <w:t>, da un lato,</w:t>
      </w:r>
      <w:r w:rsidR="00F31133">
        <w:rPr>
          <w:rFonts w:ascii="Simoncini Garamond" w:hAnsi="Simoncini Garamond" w:cs="Times New Roman PS"/>
          <w:sz w:val="21"/>
          <w:szCs w:val="22"/>
        </w:rPr>
        <w:t xml:space="preserve"> con il consistente</w:t>
      </w:r>
      <w:r w:rsidR="00C73C31">
        <w:rPr>
          <w:rFonts w:ascii="Simoncini Garamond" w:hAnsi="Simoncini Garamond" w:cs="Times New Roman PS"/>
          <w:sz w:val="21"/>
          <w:szCs w:val="22"/>
        </w:rPr>
        <w:t xml:space="preserve"> (</w:t>
      </w:r>
      <w:r w:rsidR="00F31133">
        <w:rPr>
          <w:rFonts w:ascii="Simoncini Garamond" w:hAnsi="Simoncini Garamond" w:cs="Times New Roman PS"/>
          <w:sz w:val="21"/>
          <w:szCs w:val="22"/>
        </w:rPr>
        <w:t>ancorché obbligato</w:t>
      </w:r>
      <w:r w:rsidR="00C73C31">
        <w:rPr>
          <w:rFonts w:ascii="Simoncini Garamond" w:hAnsi="Simoncini Garamond" w:cs="Times New Roman PS"/>
          <w:sz w:val="21"/>
          <w:szCs w:val="22"/>
        </w:rPr>
        <w:t>)</w:t>
      </w:r>
      <w:r w:rsidR="00F31133">
        <w:rPr>
          <w:rFonts w:ascii="Simoncini Garamond" w:hAnsi="Simoncini Garamond" w:cs="Times New Roman PS"/>
          <w:sz w:val="21"/>
          <w:szCs w:val="22"/>
        </w:rPr>
        <w:t xml:space="preserve"> aumento della propensione al risparmio </w:t>
      </w:r>
      <w:r w:rsidR="00970E1F">
        <w:rPr>
          <w:rFonts w:ascii="Simoncini Garamond" w:hAnsi="Simoncini Garamond" w:cs="Times New Roman PS"/>
          <w:sz w:val="21"/>
          <w:szCs w:val="22"/>
        </w:rPr>
        <w:t>indotto</w:t>
      </w:r>
      <w:r w:rsidR="00F31133">
        <w:rPr>
          <w:rFonts w:ascii="Simoncini Garamond" w:hAnsi="Simoncini Garamond" w:cs="Times New Roman PS"/>
          <w:sz w:val="21"/>
          <w:szCs w:val="22"/>
        </w:rPr>
        <w:t xml:space="preserve"> dal </w:t>
      </w:r>
      <w:r w:rsidR="00F31133" w:rsidRPr="00F31133">
        <w:rPr>
          <w:rFonts w:ascii="Simoncini Garamond" w:hAnsi="Simoncini Garamond" w:cs="Times New Roman PS"/>
          <w:i/>
          <w:sz w:val="21"/>
          <w:szCs w:val="22"/>
        </w:rPr>
        <w:t>lockdown</w:t>
      </w:r>
      <w:r w:rsidR="00F31133">
        <w:rPr>
          <w:rFonts w:ascii="Simoncini Garamond" w:hAnsi="Simoncini Garamond" w:cs="Times New Roman PS"/>
          <w:sz w:val="21"/>
          <w:szCs w:val="22"/>
        </w:rPr>
        <w:t xml:space="preserve"> associato alla pandemia e</w:t>
      </w:r>
      <w:r w:rsidR="00C73C31">
        <w:rPr>
          <w:rFonts w:ascii="Simoncini Garamond" w:hAnsi="Simoncini Garamond" w:cs="Times New Roman PS"/>
          <w:sz w:val="21"/>
          <w:szCs w:val="22"/>
        </w:rPr>
        <w:t>, dall’altro,</w:t>
      </w:r>
      <w:r w:rsidR="00F31133">
        <w:rPr>
          <w:rFonts w:ascii="Simoncini Garamond" w:hAnsi="Simoncini Garamond" w:cs="Times New Roman PS"/>
          <w:sz w:val="21"/>
          <w:szCs w:val="22"/>
        </w:rPr>
        <w:t xml:space="preserve"> </w:t>
      </w:r>
      <w:r w:rsidR="00AE6DF9">
        <w:rPr>
          <w:rFonts w:ascii="Simoncini Garamond" w:hAnsi="Simoncini Garamond" w:cs="Times New Roman PS"/>
          <w:sz w:val="21"/>
          <w:szCs w:val="22"/>
        </w:rPr>
        <w:t xml:space="preserve">con la </w:t>
      </w:r>
      <w:r w:rsidR="00F31133">
        <w:rPr>
          <w:rFonts w:ascii="Simoncini Garamond" w:hAnsi="Simoncini Garamond" w:cs="Times New Roman PS"/>
          <w:sz w:val="21"/>
          <w:szCs w:val="22"/>
        </w:rPr>
        <w:t xml:space="preserve">conseguente disponibilità </w:t>
      </w:r>
      <w:r w:rsidR="007172E0">
        <w:rPr>
          <w:rFonts w:ascii="Simoncini Garamond" w:hAnsi="Simoncini Garamond" w:cs="Times New Roman PS"/>
          <w:sz w:val="21"/>
          <w:szCs w:val="22"/>
        </w:rPr>
        <w:t>di somme aggiuntive di denaro</w:t>
      </w:r>
      <w:r w:rsidR="00970E1F">
        <w:rPr>
          <w:rFonts w:ascii="Simoncini Garamond" w:hAnsi="Simoncini Garamond" w:cs="Times New Roman PS"/>
          <w:sz w:val="21"/>
          <w:szCs w:val="22"/>
        </w:rPr>
        <w:t>,</w:t>
      </w:r>
      <w:r w:rsidR="007172E0">
        <w:rPr>
          <w:rFonts w:ascii="Simoncini Garamond" w:hAnsi="Simoncini Garamond" w:cs="Times New Roman PS"/>
          <w:sz w:val="21"/>
          <w:szCs w:val="22"/>
        </w:rPr>
        <w:t xml:space="preserve"> </w:t>
      </w:r>
      <w:r w:rsidR="00970E1F">
        <w:rPr>
          <w:rFonts w:ascii="Simoncini Garamond" w:hAnsi="Simoncini Garamond" w:cs="Times New Roman PS"/>
          <w:sz w:val="21"/>
          <w:szCs w:val="22"/>
        </w:rPr>
        <w:t>utili in teoria a</w:t>
      </w:r>
      <w:r w:rsidR="007172E0">
        <w:rPr>
          <w:rFonts w:ascii="Simoncini Garamond" w:hAnsi="Simoncini Garamond" w:cs="Times New Roman PS"/>
          <w:sz w:val="21"/>
          <w:szCs w:val="22"/>
        </w:rPr>
        <w:t xml:space="preserve"> fare fronte a necessità improvvise o</w:t>
      </w:r>
      <w:r w:rsidR="00970E1F">
        <w:rPr>
          <w:rFonts w:ascii="Simoncini Garamond" w:hAnsi="Simoncini Garamond" w:cs="Times New Roman PS"/>
          <w:sz w:val="21"/>
          <w:szCs w:val="22"/>
        </w:rPr>
        <w:t xml:space="preserve"> </w:t>
      </w:r>
      <w:r w:rsidR="00BD1B95">
        <w:rPr>
          <w:rFonts w:ascii="Simoncini Garamond" w:hAnsi="Simoncini Garamond" w:cs="Times New Roman PS"/>
          <w:sz w:val="21"/>
          <w:szCs w:val="22"/>
        </w:rPr>
        <w:t>a permettersi</w:t>
      </w:r>
      <w:r w:rsidR="00C13B8B">
        <w:rPr>
          <w:rFonts w:ascii="Simoncini Garamond" w:hAnsi="Simoncini Garamond" w:cs="Times New Roman PS"/>
          <w:sz w:val="21"/>
          <w:szCs w:val="22"/>
        </w:rPr>
        <w:t xml:space="preserve"> u</w:t>
      </w:r>
      <w:r w:rsidR="007172E0">
        <w:rPr>
          <w:rFonts w:ascii="Simoncini Garamond" w:hAnsi="Simoncini Garamond" w:cs="Times New Roman PS"/>
          <w:sz w:val="21"/>
          <w:szCs w:val="22"/>
        </w:rPr>
        <w:t xml:space="preserve">na settimana di </w:t>
      </w:r>
      <w:r w:rsidR="00667F61">
        <w:rPr>
          <w:rFonts w:ascii="Simoncini Garamond" w:hAnsi="Simoncini Garamond" w:cs="Times New Roman PS"/>
          <w:sz w:val="21"/>
          <w:szCs w:val="22"/>
        </w:rPr>
        <w:t>vacanza</w:t>
      </w:r>
      <w:r w:rsidR="007172E0">
        <w:rPr>
          <w:rFonts w:ascii="Simoncini Garamond" w:hAnsi="Simoncini Garamond" w:cs="Times New Roman PS"/>
          <w:sz w:val="21"/>
          <w:szCs w:val="22"/>
        </w:rPr>
        <w:t xml:space="preserve">. </w:t>
      </w:r>
      <w:r w:rsidR="00667F61">
        <w:rPr>
          <w:rFonts w:ascii="Simoncini Garamond" w:hAnsi="Simoncini Garamond" w:cs="Times New Roman PS"/>
          <w:sz w:val="21"/>
          <w:szCs w:val="22"/>
        </w:rPr>
        <w:t>In altre parole, l</w:t>
      </w:r>
      <w:r w:rsidR="00C13B8B">
        <w:rPr>
          <w:rFonts w:ascii="Simoncini Garamond" w:hAnsi="Simoncini Garamond" w:cs="Times New Roman PS"/>
          <w:sz w:val="21"/>
          <w:szCs w:val="22"/>
        </w:rPr>
        <w:t xml:space="preserve">’andamento della </w:t>
      </w:r>
      <w:r w:rsidR="00C13B8B" w:rsidRPr="000D74B2">
        <w:rPr>
          <w:rFonts w:ascii="Simoncini Garamond" w:hAnsi="Simoncini Garamond" w:cs="Times New Roman PS"/>
          <w:i/>
          <w:sz w:val="21"/>
          <w:szCs w:val="22"/>
        </w:rPr>
        <w:t>grave deprivazione materiale</w:t>
      </w:r>
      <w:r w:rsidR="00C13B8B">
        <w:rPr>
          <w:rFonts w:ascii="Simoncini Garamond" w:hAnsi="Simoncini Garamond" w:cs="Times New Roman PS"/>
          <w:sz w:val="21"/>
          <w:szCs w:val="22"/>
        </w:rPr>
        <w:t xml:space="preserve"> nel biennio 2020-21 riassume</w:t>
      </w:r>
      <w:r w:rsidR="00667F61">
        <w:rPr>
          <w:rFonts w:ascii="Simoncini Garamond" w:hAnsi="Simoncini Garamond" w:cs="Times New Roman PS"/>
          <w:sz w:val="21"/>
          <w:szCs w:val="22"/>
        </w:rPr>
        <w:t xml:space="preserve"> </w:t>
      </w:r>
      <w:r w:rsidR="00C13B8B">
        <w:rPr>
          <w:rFonts w:ascii="Simoncini Garamond" w:hAnsi="Simoncini Garamond" w:cs="Times New Roman PS"/>
          <w:sz w:val="21"/>
          <w:szCs w:val="22"/>
        </w:rPr>
        <w:t>il peggioramento della condizione economica esperita dalle fasce più vulnerabili della popolazione e il temporaneo, inatteso</w:t>
      </w:r>
      <w:r w:rsidR="00862961">
        <w:rPr>
          <w:rFonts w:ascii="Simoncini Garamond" w:hAnsi="Simoncini Garamond" w:cs="Times New Roman PS"/>
          <w:sz w:val="21"/>
          <w:szCs w:val="22"/>
        </w:rPr>
        <w:t xml:space="preserve"> ma </w:t>
      </w:r>
      <w:r w:rsidR="00C13B8B">
        <w:rPr>
          <w:rFonts w:ascii="Simoncini Garamond" w:hAnsi="Simoncini Garamond" w:cs="Times New Roman PS"/>
          <w:sz w:val="21"/>
          <w:szCs w:val="22"/>
        </w:rPr>
        <w:t xml:space="preserve">obbligato accantonamento di </w:t>
      </w:r>
      <w:r w:rsidR="00ED286D">
        <w:rPr>
          <w:rFonts w:ascii="Simoncini Garamond" w:hAnsi="Simoncini Garamond" w:cs="Times New Roman PS"/>
          <w:sz w:val="21"/>
          <w:szCs w:val="22"/>
        </w:rPr>
        <w:t>denaro</w:t>
      </w:r>
      <w:r w:rsidR="00C13B8B">
        <w:rPr>
          <w:rFonts w:ascii="Simoncini Garamond" w:hAnsi="Simoncini Garamond" w:cs="Times New Roman PS"/>
          <w:sz w:val="21"/>
          <w:szCs w:val="22"/>
        </w:rPr>
        <w:t xml:space="preserve"> indotto dalla pandemia</w:t>
      </w:r>
      <w:r w:rsidR="00A13AD3">
        <w:rPr>
          <w:rFonts w:ascii="Simoncini Garamond" w:hAnsi="Simoncini Garamond" w:cs="Times New Roman PS"/>
          <w:sz w:val="21"/>
          <w:szCs w:val="22"/>
        </w:rPr>
        <w:t xml:space="preserve"> [Istat 202</w:t>
      </w:r>
      <w:r w:rsidR="000C40E7">
        <w:rPr>
          <w:rFonts w:ascii="Simoncini Garamond" w:hAnsi="Simoncini Garamond" w:cs="Times New Roman PS"/>
          <w:sz w:val="21"/>
          <w:szCs w:val="22"/>
        </w:rPr>
        <w:t>3</w:t>
      </w:r>
      <w:r w:rsidR="00A13AD3">
        <w:rPr>
          <w:rFonts w:ascii="Simoncini Garamond" w:hAnsi="Simoncini Garamond" w:cs="Times New Roman PS"/>
          <w:sz w:val="21"/>
          <w:szCs w:val="22"/>
        </w:rPr>
        <w:t>]</w:t>
      </w:r>
      <w:r w:rsidR="00C13B8B">
        <w:rPr>
          <w:rFonts w:ascii="Simoncini Garamond" w:hAnsi="Simoncini Garamond" w:cs="Times New Roman PS"/>
          <w:sz w:val="21"/>
          <w:szCs w:val="22"/>
        </w:rPr>
        <w:t>.</w:t>
      </w:r>
    </w:p>
    <w:p w14:paraId="6839443E" w14:textId="485C46EC" w:rsidR="00ED286D" w:rsidRDefault="00BC10E5" w:rsidP="00C67FFD">
      <w:pPr>
        <w:ind w:firstLine="360"/>
        <w:rPr>
          <w:rFonts w:ascii="Simoncini Garamond" w:hAnsi="Simoncini Garamond" w:cs="Times New Roman PS"/>
          <w:sz w:val="21"/>
          <w:szCs w:val="22"/>
        </w:rPr>
      </w:pPr>
      <w:r>
        <w:rPr>
          <w:rFonts w:ascii="Simoncini Garamond" w:hAnsi="Simoncini Garamond" w:cs="Times New Roman PS"/>
          <w:sz w:val="21"/>
          <w:szCs w:val="22"/>
        </w:rPr>
        <w:t>L</w:t>
      </w:r>
      <w:r w:rsidR="000C70AE">
        <w:rPr>
          <w:rFonts w:ascii="Simoncini Garamond" w:hAnsi="Simoncini Garamond" w:cs="Times New Roman PS"/>
          <w:sz w:val="21"/>
          <w:szCs w:val="22"/>
        </w:rPr>
        <w:t>e</w:t>
      </w:r>
      <w:r w:rsidR="00F969B2">
        <w:rPr>
          <w:rFonts w:ascii="Simoncini Garamond" w:hAnsi="Simoncini Garamond" w:cs="Times New Roman PS"/>
          <w:sz w:val="21"/>
          <w:szCs w:val="22"/>
        </w:rPr>
        <w:t xml:space="preserve"> misur</w:t>
      </w:r>
      <w:r w:rsidR="000C70AE">
        <w:rPr>
          <w:rFonts w:ascii="Simoncini Garamond" w:hAnsi="Simoncini Garamond" w:cs="Times New Roman PS"/>
          <w:sz w:val="21"/>
          <w:szCs w:val="22"/>
        </w:rPr>
        <w:t>e</w:t>
      </w:r>
      <w:r w:rsidR="00F969B2">
        <w:rPr>
          <w:rFonts w:ascii="Simoncini Garamond" w:hAnsi="Simoncini Garamond" w:cs="Times New Roman PS"/>
          <w:sz w:val="21"/>
          <w:szCs w:val="22"/>
        </w:rPr>
        <w:t xml:space="preserve"> della dis</w:t>
      </w:r>
      <w:r w:rsidR="00B50EE1">
        <w:rPr>
          <w:rFonts w:ascii="Simoncini Garamond" w:hAnsi="Simoncini Garamond" w:cs="Times New Roman PS"/>
          <w:sz w:val="21"/>
          <w:szCs w:val="22"/>
        </w:rPr>
        <w:t>e</w:t>
      </w:r>
      <w:r w:rsidR="00F969B2">
        <w:rPr>
          <w:rFonts w:ascii="Simoncini Garamond" w:hAnsi="Simoncini Garamond" w:cs="Times New Roman PS"/>
          <w:sz w:val="21"/>
          <w:szCs w:val="22"/>
        </w:rPr>
        <w:t>guaglianza dei redditi elaborate da Eurostat, l’indice di Gini e il rapporto interquintilico S80/S20</w:t>
      </w:r>
      <w:r w:rsidR="000C70AE">
        <w:rPr>
          <w:rStyle w:val="Rimandonotaapidipagina"/>
          <w:rFonts w:ascii="Simoncini Garamond" w:hAnsi="Simoncini Garamond" w:cs="Times New Roman PS"/>
          <w:sz w:val="21"/>
          <w:szCs w:val="22"/>
        </w:rPr>
        <w:footnoteReference w:id="3"/>
      </w:r>
      <w:r w:rsidR="00F969B2">
        <w:rPr>
          <w:rFonts w:ascii="Simoncini Garamond" w:hAnsi="Simoncini Garamond" w:cs="Times New Roman PS"/>
          <w:sz w:val="21"/>
          <w:szCs w:val="22"/>
        </w:rPr>
        <w:t xml:space="preserve">, </w:t>
      </w:r>
      <w:r>
        <w:rPr>
          <w:rFonts w:ascii="Simoncini Garamond" w:hAnsi="Simoncini Garamond" w:cs="Times New Roman PS"/>
          <w:sz w:val="21"/>
          <w:szCs w:val="22"/>
        </w:rPr>
        <w:lastRenderedPageBreak/>
        <w:t xml:space="preserve">mostrano anch’esse </w:t>
      </w:r>
      <w:r w:rsidR="000C70AE">
        <w:rPr>
          <w:rFonts w:ascii="Simoncini Garamond" w:hAnsi="Simoncini Garamond" w:cs="Times New Roman PS"/>
          <w:sz w:val="21"/>
          <w:szCs w:val="22"/>
        </w:rPr>
        <w:t>una sostanziale stabilità nel quadriennio 2019-22. Ciò può risultare sorprendente, considerata l’entità senza precedenti dello shock macroeconomico indotto dalla pandemia.</w:t>
      </w:r>
      <w:r w:rsidR="00C539D3">
        <w:rPr>
          <w:rFonts w:ascii="Simoncini Garamond" w:hAnsi="Simoncini Garamond" w:cs="Times New Roman PS"/>
          <w:sz w:val="21"/>
          <w:szCs w:val="22"/>
        </w:rPr>
        <w:t xml:space="preserve"> Il risultato è dipeso fondamentalmente dall’imponente intervento pubblico (trasferimenti emergenziali, reddito di cittadinanza)</w:t>
      </w:r>
      <w:r w:rsidR="009E48A4">
        <w:rPr>
          <w:rFonts w:ascii="Simoncini Garamond" w:hAnsi="Simoncini Garamond" w:cs="Times New Roman PS"/>
          <w:sz w:val="21"/>
          <w:szCs w:val="22"/>
        </w:rPr>
        <w:t>, senza il quale si stima vi sarebbe stato un aumento de</w:t>
      </w:r>
      <w:r w:rsidR="00B01519">
        <w:rPr>
          <w:rFonts w:ascii="Simoncini Garamond" w:hAnsi="Simoncini Garamond" w:cs="Times New Roman PS"/>
          <w:sz w:val="21"/>
          <w:szCs w:val="22"/>
        </w:rPr>
        <w:t xml:space="preserve">ll’indice di Gini </w:t>
      </w:r>
      <w:r w:rsidR="009E48A4">
        <w:rPr>
          <w:rFonts w:ascii="Simoncini Garamond" w:hAnsi="Simoncini Garamond" w:cs="Times New Roman PS"/>
          <w:sz w:val="21"/>
          <w:szCs w:val="22"/>
        </w:rPr>
        <w:t>di circa un punto percentuale assoluto [Brandolini 2022; Istat 2022</w:t>
      </w:r>
      <w:r w:rsidR="000C40E7">
        <w:rPr>
          <w:rFonts w:ascii="Simoncini Garamond" w:hAnsi="Simoncini Garamond" w:cs="Times New Roman PS"/>
          <w:sz w:val="21"/>
          <w:szCs w:val="22"/>
        </w:rPr>
        <w:t>b</w:t>
      </w:r>
      <w:r w:rsidR="009E48A4">
        <w:rPr>
          <w:rFonts w:ascii="Simoncini Garamond" w:hAnsi="Simoncini Garamond" w:cs="Times New Roman PS"/>
          <w:sz w:val="21"/>
          <w:szCs w:val="22"/>
        </w:rPr>
        <w:t xml:space="preserve">]. </w:t>
      </w:r>
    </w:p>
    <w:p w14:paraId="17FDC78A" w14:textId="77777777" w:rsidR="00ED286D" w:rsidRDefault="00ED286D" w:rsidP="00D370F9">
      <w:pPr>
        <w:rPr>
          <w:rFonts w:ascii="Simoncini Garamond" w:hAnsi="Simoncini Garamond" w:cs="Times New Roman PS"/>
          <w:sz w:val="21"/>
          <w:szCs w:val="22"/>
        </w:rPr>
      </w:pPr>
    </w:p>
    <w:p w14:paraId="6E43CCFF" w14:textId="4EA4020E" w:rsidR="00C66188" w:rsidRDefault="00C66188" w:rsidP="00BC34E4">
      <w:pPr>
        <w:pStyle w:val="NormaleWeb"/>
        <w:shd w:val="clear" w:color="auto" w:fill="FFFFFF"/>
        <w:spacing w:before="0" w:beforeAutospacing="0" w:after="0" w:afterAutospacing="0"/>
        <w:jc w:val="both"/>
        <w:rPr>
          <w:rFonts w:ascii="Simoncini Garamond" w:hAnsi="Simoncini Garamond" w:cs="Times New Roman PS"/>
          <w:sz w:val="21"/>
          <w:szCs w:val="22"/>
        </w:rPr>
      </w:pPr>
      <w:r>
        <w:rPr>
          <w:rFonts w:ascii="Simoncini Garamond" w:hAnsi="Simoncini Garamond" w:cs="Times New Roman PS"/>
          <w:sz w:val="21"/>
          <w:szCs w:val="22"/>
        </w:rPr>
        <w:t xml:space="preserve">QUI TAB. </w:t>
      </w:r>
      <w:r w:rsidR="00D370F9">
        <w:rPr>
          <w:rFonts w:ascii="Simoncini Garamond" w:hAnsi="Simoncini Garamond" w:cs="Times New Roman PS"/>
          <w:sz w:val="21"/>
          <w:szCs w:val="22"/>
        </w:rPr>
        <w:t>1</w:t>
      </w:r>
      <w:r w:rsidR="00AE6DF9">
        <w:rPr>
          <w:rFonts w:ascii="Simoncini Garamond" w:hAnsi="Simoncini Garamond" w:cs="Times New Roman PS"/>
          <w:sz w:val="21"/>
          <w:szCs w:val="22"/>
        </w:rPr>
        <w:t xml:space="preserve"> - </w:t>
      </w:r>
      <w:r>
        <w:rPr>
          <w:rFonts w:ascii="Simoncini Garamond" w:hAnsi="Simoncini Garamond" w:cs="Times New Roman PS"/>
          <w:sz w:val="21"/>
          <w:szCs w:val="22"/>
        </w:rPr>
        <w:t>Indicatori di povertà e dis</w:t>
      </w:r>
      <w:r w:rsidR="00B50EE1">
        <w:rPr>
          <w:rFonts w:ascii="Simoncini Garamond" w:hAnsi="Simoncini Garamond" w:cs="Times New Roman PS"/>
          <w:sz w:val="21"/>
          <w:szCs w:val="22"/>
        </w:rPr>
        <w:t>e</w:t>
      </w:r>
      <w:r>
        <w:rPr>
          <w:rFonts w:ascii="Simoncini Garamond" w:hAnsi="Simoncini Garamond" w:cs="Times New Roman PS"/>
          <w:sz w:val="21"/>
          <w:szCs w:val="22"/>
        </w:rPr>
        <w:t>guaglianza tra le persone residenti in Italia</w:t>
      </w:r>
      <w:r w:rsidR="00D370F9">
        <w:rPr>
          <w:rFonts w:ascii="Simoncini Garamond" w:hAnsi="Simoncini Garamond" w:cs="Times New Roman PS"/>
          <w:sz w:val="21"/>
          <w:szCs w:val="22"/>
        </w:rPr>
        <w:t xml:space="preserve"> </w:t>
      </w:r>
      <w:r>
        <w:rPr>
          <w:rFonts w:ascii="Simoncini Garamond" w:hAnsi="Simoncini Garamond" w:cs="Times New Roman PS"/>
          <w:sz w:val="21"/>
          <w:szCs w:val="22"/>
        </w:rPr>
        <w:t>(valori percentuali, eccetto quelli del rapporto interquintilico)</w:t>
      </w:r>
    </w:p>
    <w:p w14:paraId="5CD5387D" w14:textId="68CC4545" w:rsidR="005224C7" w:rsidRDefault="005224C7" w:rsidP="006A5F52">
      <w:pPr>
        <w:rPr>
          <w:rFonts w:ascii="Simoncini Garamond" w:hAnsi="Simoncini Garamond" w:cs="Times New Roman PS"/>
          <w:sz w:val="21"/>
          <w:szCs w:val="22"/>
        </w:rPr>
      </w:pPr>
    </w:p>
    <w:p w14:paraId="7F8A60FF" w14:textId="77777777" w:rsidR="00AE6DF9" w:rsidRDefault="00AE6DF9" w:rsidP="006A5F52">
      <w:pPr>
        <w:rPr>
          <w:rFonts w:ascii="Simoncini Garamond" w:hAnsi="Simoncini Garamond" w:cs="Times New Roman PS"/>
          <w:sz w:val="21"/>
          <w:szCs w:val="22"/>
        </w:rPr>
      </w:pPr>
    </w:p>
    <w:p w14:paraId="3ED9D423" w14:textId="5018A381" w:rsidR="00971DCD" w:rsidRDefault="00971DCD" w:rsidP="00971DCD">
      <w:pPr>
        <w:pStyle w:val="titolet2rig"/>
        <w:numPr>
          <w:ilvl w:val="0"/>
          <w:numId w:val="1"/>
        </w:numPr>
        <w:rPr>
          <w:rFonts w:ascii="Simoncini Garamond" w:hAnsi="Simoncini Garamond"/>
          <w:iCs w:val="0"/>
          <w:color w:val="auto"/>
          <w:sz w:val="21"/>
          <w:szCs w:val="21"/>
        </w:rPr>
      </w:pPr>
      <w:r>
        <w:rPr>
          <w:rFonts w:ascii="Simoncini Garamond" w:hAnsi="Simoncini Garamond"/>
          <w:iCs w:val="0"/>
          <w:color w:val="auto"/>
          <w:sz w:val="21"/>
          <w:szCs w:val="21"/>
        </w:rPr>
        <w:t>Le principali misure a sostegno dei redditi delle famiglie introdotte nel 2022 e il loro impatto distributivo</w:t>
      </w:r>
    </w:p>
    <w:p w14:paraId="0C5995A1" w14:textId="77777777" w:rsidR="005D2339" w:rsidRDefault="005D2339" w:rsidP="006A5F52">
      <w:pPr>
        <w:rPr>
          <w:rFonts w:ascii="Simoncini Garamond" w:hAnsi="Simoncini Garamond" w:cs="Times New Roman PS"/>
          <w:sz w:val="21"/>
          <w:szCs w:val="22"/>
        </w:rPr>
      </w:pPr>
    </w:p>
    <w:p w14:paraId="7043ED80" w14:textId="4A6475BD" w:rsidR="005D2339" w:rsidRDefault="007A28D5" w:rsidP="00C67FFD">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Nel corso del 2022 il tasso di inflazione ha subito un notevole incremento: l’indice dei prezzi al consumo per l’intera collettività nazionale è infatti passato da 1,9% nel 2021 a 8,1% nel 2022. Gran parte di questo </w:t>
      </w:r>
      <w:r w:rsidR="00F47AF4">
        <w:rPr>
          <w:rFonts w:ascii="Simoncini Garamond" w:hAnsi="Simoncini Garamond" w:cs="Times New Roman PS"/>
          <w:sz w:val="21"/>
          <w:szCs w:val="22"/>
        </w:rPr>
        <w:t xml:space="preserve">aumento </w:t>
      </w:r>
      <w:r>
        <w:rPr>
          <w:rFonts w:ascii="Simoncini Garamond" w:hAnsi="Simoncini Garamond" w:cs="Times New Roman PS"/>
          <w:sz w:val="21"/>
          <w:szCs w:val="22"/>
        </w:rPr>
        <w:t>è spiegata dai beni energetici, il cui prezzo medio è cresciuto nel 2022 del 50,9%</w:t>
      </w:r>
      <w:r w:rsidR="00270050">
        <w:rPr>
          <w:rFonts w:ascii="Simoncini Garamond" w:hAnsi="Simoncini Garamond" w:cs="Times New Roman PS"/>
          <w:sz w:val="21"/>
          <w:szCs w:val="22"/>
        </w:rPr>
        <w:t xml:space="preserve"> dopo un </w:t>
      </w:r>
      <w:r w:rsidR="00F47AF4">
        <w:rPr>
          <w:rFonts w:ascii="Simoncini Garamond" w:hAnsi="Simoncini Garamond" w:cs="Times New Roman PS"/>
          <w:sz w:val="21"/>
          <w:szCs w:val="22"/>
        </w:rPr>
        <w:t xml:space="preserve">già </w:t>
      </w:r>
      <w:r w:rsidR="00270050">
        <w:rPr>
          <w:rFonts w:ascii="Simoncini Garamond" w:hAnsi="Simoncini Garamond" w:cs="Times New Roman PS"/>
          <w:sz w:val="21"/>
          <w:szCs w:val="22"/>
        </w:rPr>
        <w:t xml:space="preserve">significativo +14,1% nel 2021 </w:t>
      </w:r>
      <w:r w:rsidR="00F47AF4">
        <w:rPr>
          <w:rFonts w:ascii="Simoncini Garamond" w:hAnsi="Simoncini Garamond" w:cs="Times New Roman PS"/>
          <w:sz w:val="21"/>
          <w:szCs w:val="22"/>
        </w:rPr>
        <w:t xml:space="preserve">rispetto al </w:t>
      </w:r>
      <w:r w:rsidR="00270050">
        <w:rPr>
          <w:rFonts w:ascii="Simoncini Garamond" w:hAnsi="Simoncini Garamond" w:cs="Times New Roman PS"/>
          <w:sz w:val="21"/>
          <w:szCs w:val="22"/>
        </w:rPr>
        <w:t>calo dell’8,4% nel 2020</w:t>
      </w:r>
      <w:r>
        <w:rPr>
          <w:rFonts w:ascii="Simoncini Garamond" w:hAnsi="Simoncini Garamond" w:cs="Times New Roman PS"/>
          <w:sz w:val="21"/>
          <w:szCs w:val="22"/>
        </w:rPr>
        <w:t xml:space="preserve">. Questa forte variazione si è propagata all’intera economia attraverso </w:t>
      </w:r>
      <w:r w:rsidR="00F47AF4">
        <w:rPr>
          <w:rFonts w:ascii="Simoncini Garamond" w:hAnsi="Simoncini Garamond" w:cs="Times New Roman PS"/>
          <w:sz w:val="21"/>
          <w:szCs w:val="22"/>
        </w:rPr>
        <w:t xml:space="preserve">i maggiori </w:t>
      </w:r>
      <w:r>
        <w:rPr>
          <w:rFonts w:ascii="Simoncini Garamond" w:hAnsi="Simoncini Garamond" w:cs="Times New Roman PS"/>
          <w:sz w:val="21"/>
          <w:szCs w:val="22"/>
        </w:rPr>
        <w:t>costi per le imprese. I prezzi dei beni alimentari sono saliti dell’8,8%, contro solo lo 0,5% nel 2021</w:t>
      </w:r>
      <w:r w:rsidR="00270050">
        <w:rPr>
          <w:rFonts w:ascii="Simoncini Garamond" w:hAnsi="Simoncini Garamond" w:cs="Times New Roman PS"/>
          <w:sz w:val="21"/>
          <w:szCs w:val="22"/>
        </w:rPr>
        <w:t xml:space="preserve">. </w:t>
      </w:r>
      <w:r w:rsidR="00F47AF4">
        <w:rPr>
          <w:rFonts w:ascii="Simoncini Garamond" w:hAnsi="Simoncini Garamond" w:cs="Times New Roman PS"/>
          <w:sz w:val="21"/>
          <w:szCs w:val="22"/>
        </w:rPr>
        <w:t>Mentre l</w:t>
      </w:r>
      <w:r w:rsidR="00270050">
        <w:rPr>
          <w:rFonts w:ascii="Simoncini Garamond" w:hAnsi="Simoncini Garamond" w:cs="Times New Roman PS"/>
          <w:sz w:val="21"/>
          <w:szCs w:val="22"/>
        </w:rPr>
        <w:t>a pandemia d</w:t>
      </w:r>
      <w:r w:rsidR="00B50EE1">
        <w:rPr>
          <w:rFonts w:ascii="Simoncini Garamond" w:hAnsi="Simoncini Garamond" w:cs="Times New Roman PS"/>
          <w:sz w:val="21"/>
          <w:szCs w:val="22"/>
        </w:rPr>
        <w:t>a</w:t>
      </w:r>
      <w:r w:rsidR="00270050">
        <w:rPr>
          <w:rFonts w:ascii="Simoncini Garamond" w:hAnsi="Simoncini Garamond" w:cs="Times New Roman PS"/>
          <w:sz w:val="21"/>
          <w:szCs w:val="22"/>
        </w:rPr>
        <w:t xml:space="preserve"> Covid-19 ha determinato nel 2020 un forte calo della domanda di energia, con conseguente riduzione dei prezzi del settore</w:t>
      </w:r>
      <w:r w:rsidR="00F47AF4">
        <w:rPr>
          <w:rFonts w:ascii="Simoncini Garamond" w:hAnsi="Simoncini Garamond" w:cs="Times New Roman PS"/>
          <w:sz w:val="21"/>
          <w:szCs w:val="22"/>
        </w:rPr>
        <w:t>,</w:t>
      </w:r>
      <w:r w:rsidR="00AD7752">
        <w:rPr>
          <w:rFonts w:ascii="Simoncini Garamond" w:hAnsi="Simoncini Garamond" w:cs="Times New Roman PS"/>
          <w:sz w:val="21"/>
          <w:szCs w:val="22"/>
        </w:rPr>
        <w:t xml:space="preserve"> </w:t>
      </w:r>
      <w:r w:rsidR="00F47AF4">
        <w:rPr>
          <w:rFonts w:ascii="Simoncini Garamond" w:hAnsi="Simoncini Garamond" w:cs="Times New Roman PS"/>
          <w:sz w:val="21"/>
          <w:szCs w:val="22"/>
        </w:rPr>
        <w:t>l</w:t>
      </w:r>
      <w:r w:rsidR="00270050">
        <w:rPr>
          <w:rFonts w:ascii="Simoncini Garamond" w:hAnsi="Simoncini Garamond" w:cs="Times New Roman PS"/>
          <w:sz w:val="21"/>
          <w:szCs w:val="22"/>
        </w:rPr>
        <w:t xml:space="preserve">a ripresa economica globale del 2021 ha avuto l’effetto opposto, con incrementi dei prezzi energetici dapprima moderati, poi nella seconda metà dell’anno sempre </w:t>
      </w:r>
      <w:r w:rsidR="009811C7">
        <w:rPr>
          <w:rFonts w:ascii="Simoncini Garamond" w:hAnsi="Simoncini Garamond" w:cs="Times New Roman PS"/>
          <w:sz w:val="21"/>
          <w:szCs w:val="22"/>
        </w:rPr>
        <w:t>più intensi</w:t>
      </w:r>
      <w:r w:rsidR="00270050">
        <w:rPr>
          <w:rFonts w:ascii="Simoncini Garamond" w:hAnsi="Simoncini Garamond" w:cs="Times New Roman PS"/>
          <w:sz w:val="21"/>
          <w:szCs w:val="22"/>
        </w:rPr>
        <w:t xml:space="preserve">, </w:t>
      </w:r>
      <w:r w:rsidR="00500F87">
        <w:rPr>
          <w:rFonts w:ascii="Simoncini Garamond" w:hAnsi="Simoncini Garamond" w:cs="Times New Roman PS"/>
          <w:sz w:val="21"/>
          <w:szCs w:val="22"/>
        </w:rPr>
        <w:t xml:space="preserve">causati anche dalla presenza di strozzature dal lato dell’offerta in </w:t>
      </w:r>
      <w:r w:rsidR="009811C7">
        <w:rPr>
          <w:rFonts w:ascii="Simoncini Garamond" w:hAnsi="Simoncini Garamond" w:cs="Times New Roman PS"/>
          <w:sz w:val="21"/>
          <w:szCs w:val="22"/>
        </w:rPr>
        <w:t xml:space="preserve">alcuni settori ed </w:t>
      </w:r>
      <w:r w:rsidR="009811C7">
        <w:rPr>
          <w:rFonts w:ascii="Simoncini Garamond" w:hAnsi="Simoncini Garamond" w:cs="Times New Roman PS"/>
          <w:sz w:val="21"/>
          <w:szCs w:val="22"/>
        </w:rPr>
        <w:lastRenderedPageBreak/>
        <w:t>economie. L</w:t>
      </w:r>
      <w:r>
        <w:rPr>
          <w:rFonts w:ascii="Simoncini Garamond" w:hAnsi="Simoncini Garamond" w:cs="Times New Roman PS"/>
          <w:sz w:val="21"/>
          <w:szCs w:val="22"/>
        </w:rPr>
        <w:t>’invasione russa dell’Ucraina nel febbraio 202</w:t>
      </w:r>
      <w:r w:rsidR="00270050">
        <w:rPr>
          <w:rFonts w:ascii="Simoncini Garamond" w:hAnsi="Simoncini Garamond" w:cs="Times New Roman PS"/>
          <w:sz w:val="21"/>
          <w:szCs w:val="22"/>
        </w:rPr>
        <w:t>2</w:t>
      </w:r>
      <w:r w:rsidR="009811C7">
        <w:rPr>
          <w:rFonts w:ascii="Simoncini Garamond" w:hAnsi="Simoncini Garamond" w:cs="Times New Roman PS"/>
          <w:sz w:val="21"/>
          <w:szCs w:val="22"/>
        </w:rPr>
        <w:t xml:space="preserve"> </w:t>
      </w:r>
      <w:r w:rsidR="00F47AF4">
        <w:rPr>
          <w:rFonts w:ascii="Simoncini Garamond" w:hAnsi="Simoncini Garamond" w:cs="Times New Roman PS"/>
          <w:sz w:val="21"/>
          <w:szCs w:val="22"/>
        </w:rPr>
        <w:t xml:space="preserve">non è stata la causa scatenante dell’aumento dei prezzi energetici, che stavano salendo già prima del febbraio 2022, ma </w:t>
      </w:r>
      <w:r w:rsidR="009811C7">
        <w:rPr>
          <w:rFonts w:ascii="Simoncini Garamond" w:hAnsi="Simoncini Garamond" w:cs="Times New Roman PS"/>
          <w:sz w:val="21"/>
          <w:szCs w:val="22"/>
        </w:rPr>
        <w:t xml:space="preserve">ha peggiorato notevolmente le cose, dando il via ad un imponente processo di ridefinizione delle reti di fornitura da parte di molte grandi economie. Solo a partire dagli ultimi mesi del 2022 il prezzo dell’energia </w:t>
      </w:r>
      <w:r w:rsidR="00B65A4C">
        <w:rPr>
          <w:rFonts w:ascii="Simoncini Garamond" w:hAnsi="Simoncini Garamond" w:cs="Times New Roman PS"/>
          <w:sz w:val="21"/>
          <w:szCs w:val="22"/>
        </w:rPr>
        <w:t xml:space="preserve">ha iniziato una </w:t>
      </w:r>
      <w:r w:rsidR="009811C7">
        <w:rPr>
          <w:rFonts w:ascii="Simoncini Garamond" w:hAnsi="Simoncini Garamond" w:cs="Times New Roman PS"/>
          <w:sz w:val="21"/>
          <w:szCs w:val="22"/>
        </w:rPr>
        <w:t xml:space="preserve">sensibile riduzione. Le stime di primavera </w:t>
      </w:r>
      <w:r w:rsidR="00F47AF4">
        <w:rPr>
          <w:rFonts w:ascii="Simoncini Garamond" w:hAnsi="Simoncini Garamond" w:cs="Times New Roman PS"/>
          <w:sz w:val="21"/>
          <w:szCs w:val="22"/>
        </w:rPr>
        <w:t xml:space="preserve">2023 </w:t>
      </w:r>
      <w:r w:rsidR="009811C7">
        <w:rPr>
          <w:rFonts w:ascii="Simoncini Garamond" w:hAnsi="Simoncini Garamond" w:cs="Times New Roman PS"/>
          <w:sz w:val="21"/>
          <w:szCs w:val="22"/>
        </w:rPr>
        <w:t xml:space="preserve">della Banca centrale europea prevedono un tasso medio di inflazione nell’area euro del 5,3% nel 2023, in discesa fino al 2,1% nel 2025.  </w:t>
      </w:r>
    </w:p>
    <w:p w14:paraId="121E6C3C" w14:textId="25FA5ADC" w:rsidR="003D45D9" w:rsidRDefault="004E03D7" w:rsidP="00F47AF4">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Il governo </w:t>
      </w:r>
      <w:r w:rsidR="008F222F">
        <w:rPr>
          <w:rFonts w:ascii="Simoncini Garamond" w:hAnsi="Simoncini Garamond" w:cs="Times New Roman PS"/>
          <w:sz w:val="21"/>
          <w:szCs w:val="22"/>
        </w:rPr>
        <w:t>Draghi</w:t>
      </w:r>
      <w:r>
        <w:rPr>
          <w:rFonts w:ascii="Simoncini Garamond" w:hAnsi="Simoncini Garamond" w:cs="Times New Roman PS"/>
          <w:sz w:val="21"/>
          <w:szCs w:val="22"/>
        </w:rPr>
        <w:t xml:space="preserve"> </w:t>
      </w:r>
      <w:r w:rsidR="00F47AF4">
        <w:rPr>
          <w:rFonts w:ascii="Simoncini Garamond" w:hAnsi="Simoncini Garamond" w:cs="Times New Roman PS"/>
          <w:sz w:val="21"/>
          <w:szCs w:val="22"/>
        </w:rPr>
        <w:t xml:space="preserve">ha iniziato </w:t>
      </w:r>
      <w:r>
        <w:rPr>
          <w:rFonts w:ascii="Simoncini Garamond" w:hAnsi="Simoncini Garamond" w:cs="Times New Roman PS"/>
          <w:sz w:val="21"/>
          <w:szCs w:val="22"/>
        </w:rPr>
        <w:t>a prendere provvedimenti per contrastare gli effetti dell’inflazione sui bilanci di imprese e famiglie già a maggio 2021</w:t>
      </w:r>
      <w:r w:rsidR="008F222F">
        <w:rPr>
          <w:rFonts w:ascii="Simoncini Garamond" w:hAnsi="Simoncini Garamond" w:cs="Times New Roman PS"/>
          <w:sz w:val="21"/>
          <w:szCs w:val="22"/>
        </w:rPr>
        <w:t xml:space="preserve"> </w:t>
      </w:r>
      <w:r>
        <w:rPr>
          <w:rFonts w:ascii="Simoncini Garamond" w:hAnsi="Simoncini Garamond" w:cs="Times New Roman PS"/>
          <w:sz w:val="21"/>
          <w:szCs w:val="22"/>
        </w:rPr>
        <w:t xml:space="preserve">con </w:t>
      </w:r>
      <w:r w:rsidR="00B15E9A">
        <w:rPr>
          <w:rFonts w:ascii="Simoncini Garamond" w:hAnsi="Simoncini Garamond" w:cs="Times New Roman PS"/>
          <w:sz w:val="21"/>
          <w:szCs w:val="22"/>
        </w:rPr>
        <w:t xml:space="preserve">la </w:t>
      </w:r>
      <w:r>
        <w:rPr>
          <w:rFonts w:ascii="Simoncini Garamond" w:hAnsi="Simoncini Garamond" w:cs="Times New Roman PS"/>
          <w:sz w:val="21"/>
          <w:szCs w:val="22"/>
        </w:rPr>
        <w:t>riduzione degli oneri di sistema sulle bollette di gas e luce</w:t>
      </w:r>
      <w:r w:rsidR="004E5BE8">
        <w:rPr>
          <w:rFonts w:ascii="Simoncini Garamond" w:hAnsi="Simoncini Garamond" w:cs="Times New Roman PS"/>
          <w:sz w:val="21"/>
          <w:szCs w:val="22"/>
        </w:rPr>
        <w:t xml:space="preserve"> e l’ampliamento dei bonus sociali </w:t>
      </w:r>
      <w:r w:rsidR="00AE6DF9">
        <w:rPr>
          <w:rFonts w:ascii="Simoncini Garamond" w:hAnsi="Simoncini Garamond" w:cs="Times New Roman PS"/>
          <w:sz w:val="21"/>
          <w:szCs w:val="22"/>
        </w:rPr>
        <w:t xml:space="preserve">su </w:t>
      </w:r>
      <w:r w:rsidR="004E5BE8">
        <w:rPr>
          <w:rFonts w:ascii="Simoncini Garamond" w:hAnsi="Simoncini Garamond" w:cs="Times New Roman PS"/>
          <w:sz w:val="21"/>
          <w:szCs w:val="22"/>
        </w:rPr>
        <w:t xml:space="preserve">energia e gas. </w:t>
      </w:r>
      <w:r w:rsidR="00F47AF4">
        <w:rPr>
          <w:rFonts w:ascii="Simoncini Garamond" w:hAnsi="Simoncini Garamond" w:cs="Times New Roman PS"/>
          <w:sz w:val="21"/>
          <w:szCs w:val="22"/>
        </w:rPr>
        <w:t xml:space="preserve">L‘intero 2022 ha poi visto un continuo susseguirsi di nuovi interventi con lo stesso obiettivo, a partire dalla legge </w:t>
      </w:r>
      <w:r w:rsidR="00BF2F85">
        <w:rPr>
          <w:rFonts w:ascii="Simoncini Garamond" w:hAnsi="Simoncini Garamond" w:cs="Times New Roman PS"/>
          <w:sz w:val="21"/>
          <w:szCs w:val="22"/>
        </w:rPr>
        <w:t xml:space="preserve">di bilancio </w:t>
      </w:r>
      <w:r w:rsidR="00F47AF4">
        <w:rPr>
          <w:rFonts w:ascii="Simoncini Garamond" w:hAnsi="Simoncini Garamond" w:cs="Times New Roman PS"/>
          <w:sz w:val="21"/>
          <w:szCs w:val="22"/>
        </w:rPr>
        <w:t xml:space="preserve">per il 2022 che </w:t>
      </w:r>
      <w:r w:rsidR="00AE6DF9">
        <w:rPr>
          <w:rFonts w:ascii="Simoncini Garamond" w:hAnsi="Simoncini Garamond" w:cs="Times New Roman PS"/>
          <w:sz w:val="21"/>
          <w:szCs w:val="22"/>
        </w:rPr>
        <w:t xml:space="preserve">ha disposto </w:t>
      </w:r>
      <w:r w:rsidR="00BF2F85">
        <w:rPr>
          <w:rFonts w:ascii="Simoncini Garamond" w:hAnsi="Simoncini Garamond" w:cs="Times New Roman PS"/>
          <w:sz w:val="21"/>
          <w:szCs w:val="22"/>
        </w:rPr>
        <w:t>un esonero contributivo (dello 0,8% fino a 35mila euro, poi portato al 2% nella seconda metà dell’anno) e rafforza</w:t>
      </w:r>
      <w:r w:rsidR="00AE6DF9">
        <w:rPr>
          <w:rFonts w:ascii="Simoncini Garamond" w:hAnsi="Simoncini Garamond" w:cs="Times New Roman PS"/>
          <w:sz w:val="21"/>
          <w:szCs w:val="22"/>
        </w:rPr>
        <w:t>to</w:t>
      </w:r>
      <w:r w:rsidR="00BF2F85">
        <w:rPr>
          <w:rFonts w:ascii="Simoncini Garamond" w:hAnsi="Simoncini Garamond" w:cs="Times New Roman PS"/>
          <w:sz w:val="21"/>
          <w:szCs w:val="22"/>
        </w:rPr>
        <w:t xml:space="preserve"> i bonus sociali</w:t>
      </w:r>
      <w:r w:rsidR="00F47AF4">
        <w:rPr>
          <w:rFonts w:ascii="Simoncini Garamond" w:hAnsi="Simoncini Garamond" w:cs="Times New Roman PS"/>
          <w:sz w:val="21"/>
          <w:szCs w:val="22"/>
        </w:rPr>
        <w:t xml:space="preserve">. A </w:t>
      </w:r>
      <w:r w:rsidR="004E5BE8">
        <w:rPr>
          <w:rFonts w:ascii="Simoncini Garamond" w:hAnsi="Simoncini Garamond" w:cs="Times New Roman PS"/>
          <w:sz w:val="21"/>
          <w:szCs w:val="22"/>
        </w:rPr>
        <w:t xml:space="preserve"> marzo </w:t>
      </w:r>
      <w:r w:rsidR="00AE6DF9">
        <w:rPr>
          <w:rFonts w:ascii="Simoncini Garamond" w:hAnsi="Simoncini Garamond" w:cs="Times New Roman PS"/>
          <w:sz w:val="21"/>
          <w:szCs w:val="22"/>
        </w:rPr>
        <w:t xml:space="preserve">2022 </w:t>
      </w:r>
      <w:r w:rsidR="004E5BE8">
        <w:rPr>
          <w:rFonts w:ascii="Simoncini Garamond" w:hAnsi="Simoncini Garamond" w:cs="Times New Roman PS"/>
          <w:sz w:val="21"/>
          <w:szCs w:val="22"/>
        </w:rPr>
        <w:t>viene introdotto uno sconto di 30</w:t>
      </w:r>
      <w:r w:rsidR="00BF2F85">
        <w:rPr>
          <w:rFonts w:ascii="Simoncini Garamond" w:hAnsi="Simoncini Garamond" w:cs="Times New Roman PS"/>
          <w:sz w:val="21"/>
          <w:szCs w:val="22"/>
        </w:rPr>
        <w:t>,5</w:t>
      </w:r>
      <w:r w:rsidR="004E5BE8">
        <w:rPr>
          <w:rFonts w:ascii="Simoncini Garamond" w:hAnsi="Simoncini Garamond" w:cs="Times New Roman PS"/>
          <w:sz w:val="21"/>
          <w:szCs w:val="22"/>
        </w:rPr>
        <w:t xml:space="preserve"> centesimi sulle </w:t>
      </w:r>
      <w:r>
        <w:rPr>
          <w:rFonts w:ascii="Simoncini Garamond" w:hAnsi="Simoncini Garamond" w:cs="Times New Roman PS"/>
          <w:sz w:val="21"/>
          <w:szCs w:val="22"/>
        </w:rPr>
        <w:t xml:space="preserve">imposte indirette sui carburanti, </w:t>
      </w:r>
      <w:r w:rsidR="00BF2F85">
        <w:rPr>
          <w:rFonts w:ascii="Simoncini Garamond" w:hAnsi="Simoncini Garamond" w:cs="Times New Roman PS"/>
          <w:sz w:val="21"/>
          <w:szCs w:val="22"/>
        </w:rPr>
        <w:t>mentr</w:t>
      </w:r>
      <w:r w:rsidR="004E5BE8">
        <w:rPr>
          <w:rFonts w:ascii="Simoncini Garamond" w:hAnsi="Simoncini Garamond" w:cs="Times New Roman PS"/>
          <w:sz w:val="21"/>
          <w:szCs w:val="22"/>
        </w:rPr>
        <w:t xml:space="preserve">e </w:t>
      </w:r>
      <w:r>
        <w:rPr>
          <w:rFonts w:ascii="Simoncini Garamond" w:hAnsi="Simoncini Garamond" w:cs="Times New Roman PS"/>
          <w:sz w:val="21"/>
          <w:szCs w:val="22"/>
        </w:rPr>
        <w:t>il</w:t>
      </w:r>
      <w:r w:rsidR="008F222F">
        <w:rPr>
          <w:rFonts w:ascii="Simoncini Garamond" w:hAnsi="Simoncini Garamond" w:cs="Times New Roman PS"/>
          <w:sz w:val="21"/>
          <w:szCs w:val="22"/>
        </w:rPr>
        <w:t xml:space="preserve"> </w:t>
      </w:r>
      <w:r w:rsidR="00BF2F85">
        <w:rPr>
          <w:rFonts w:ascii="Simoncini Garamond" w:hAnsi="Simoncini Garamond" w:cs="Times New Roman PS"/>
          <w:sz w:val="21"/>
          <w:szCs w:val="22"/>
        </w:rPr>
        <w:t xml:space="preserve"> </w:t>
      </w:r>
      <w:r w:rsidR="008F222F">
        <w:rPr>
          <w:rFonts w:ascii="Simoncini Garamond" w:hAnsi="Simoncini Garamond" w:cs="Times New Roman PS"/>
          <w:sz w:val="21"/>
          <w:szCs w:val="22"/>
        </w:rPr>
        <w:t xml:space="preserve">decreto aiuti </w:t>
      </w:r>
      <w:r>
        <w:rPr>
          <w:rFonts w:ascii="Simoncini Garamond" w:hAnsi="Simoncini Garamond" w:cs="Times New Roman PS"/>
          <w:sz w:val="21"/>
          <w:szCs w:val="22"/>
        </w:rPr>
        <w:t xml:space="preserve">di </w:t>
      </w:r>
      <w:r w:rsidR="008F222F">
        <w:rPr>
          <w:rFonts w:ascii="Simoncini Garamond" w:hAnsi="Simoncini Garamond" w:cs="Times New Roman PS"/>
          <w:sz w:val="21"/>
          <w:szCs w:val="22"/>
        </w:rPr>
        <w:t xml:space="preserve">maggio </w:t>
      </w:r>
      <w:r w:rsidR="004159A6">
        <w:rPr>
          <w:rFonts w:ascii="Simoncini Garamond" w:hAnsi="Simoncini Garamond" w:cs="Times New Roman PS"/>
          <w:sz w:val="21"/>
          <w:szCs w:val="22"/>
        </w:rPr>
        <w:t xml:space="preserve">(dl n. 50/2022) </w:t>
      </w:r>
      <w:r>
        <w:rPr>
          <w:rFonts w:ascii="Simoncini Garamond" w:hAnsi="Simoncini Garamond" w:cs="Times New Roman PS"/>
          <w:sz w:val="21"/>
          <w:szCs w:val="22"/>
        </w:rPr>
        <w:t xml:space="preserve">stanzia circa 14 miliardi di euro per </w:t>
      </w:r>
      <w:r w:rsidR="002B5D95">
        <w:rPr>
          <w:rFonts w:ascii="Simoncini Garamond" w:hAnsi="Simoncini Garamond" w:cs="Times New Roman PS"/>
          <w:sz w:val="21"/>
          <w:szCs w:val="22"/>
        </w:rPr>
        <w:t xml:space="preserve">finanziare </w:t>
      </w:r>
      <w:r w:rsidR="00F47AF4">
        <w:rPr>
          <w:rFonts w:ascii="Simoncini Garamond" w:hAnsi="Simoncini Garamond" w:cs="Times New Roman PS"/>
          <w:sz w:val="21"/>
          <w:szCs w:val="22"/>
        </w:rPr>
        <w:t xml:space="preserve">diverse </w:t>
      </w:r>
      <w:r w:rsidR="002B5D95">
        <w:rPr>
          <w:rFonts w:ascii="Simoncini Garamond" w:hAnsi="Simoncini Garamond" w:cs="Times New Roman PS"/>
          <w:sz w:val="21"/>
          <w:szCs w:val="22"/>
        </w:rPr>
        <w:t xml:space="preserve">misure a favore delle famiglie: </w:t>
      </w:r>
      <w:r>
        <w:rPr>
          <w:rFonts w:ascii="Simoncini Garamond" w:hAnsi="Simoncini Garamond" w:cs="Times New Roman PS"/>
          <w:sz w:val="21"/>
          <w:szCs w:val="22"/>
        </w:rPr>
        <w:t>l’</w:t>
      </w:r>
      <w:r w:rsidR="004159A6">
        <w:rPr>
          <w:rFonts w:ascii="Simoncini Garamond" w:hAnsi="Simoncini Garamond" w:cs="Times New Roman PS"/>
          <w:sz w:val="21"/>
          <w:szCs w:val="22"/>
        </w:rPr>
        <w:t xml:space="preserve">ampliamento del bonus sociale elettricità e gas, </w:t>
      </w:r>
      <w:r>
        <w:rPr>
          <w:rFonts w:ascii="Simoncini Garamond" w:hAnsi="Simoncini Garamond" w:cs="Times New Roman PS"/>
          <w:sz w:val="21"/>
          <w:szCs w:val="22"/>
        </w:rPr>
        <w:t xml:space="preserve">un </w:t>
      </w:r>
      <w:r w:rsidR="004159A6">
        <w:rPr>
          <w:rFonts w:ascii="Simoncini Garamond" w:hAnsi="Simoncini Garamond" w:cs="Times New Roman PS"/>
          <w:sz w:val="21"/>
          <w:szCs w:val="22"/>
        </w:rPr>
        <w:t xml:space="preserve">bonus per la fruizione del trasporto pubblico locale, </w:t>
      </w:r>
      <w:r>
        <w:rPr>
          <w:rFonts w:ascii="Simoncini Garamond" w:hAnsi="Simoncini Garamond" w:cs="Times New Roman PS"/>
          <w:sz w:val="21"/>
          <w:szCs w:val="22"/>
        </w:rPr>
        <w:t>un</w:t>
      </w:r>
      <w:r w:rsidR="00F47AF4">
        <w:rPr>
          <w:rFonts w:ascii="Simoncini Garamond" w:hAnsi="Simoncini Garamond" w:cs="Times New Roman PS"/>
          <w:sz w:val="21"/>
          <w:szCs w:val="22"/>
        </w:rPr>
        <w:t>‘</w:t>
      </w:r>
      <w:r w:rsidR="004159A6">
        <w:rPr>
          <w:rFonts w:ascii="Simoncini Garamond" w:hAnsi="Simoncini Garamond" w:cs="Times New Roman PS"/>
          <w:sz w:val="21"/>
          <w:szCs w:val="22"/>
        </w:rPr>
        <w:t xml:space="preserve">indennità una tantum di </w:t>
      </w:r>
      <w:r w:rsidR="008F222F">
        <w:rPr>
          <w:rFonts w:ascii="Simoncini Garamond" w:hAnsi="Simoncini Garamond" w:cs="Times New Roman PS"/>
          <w:sz w:val="21"/>
          <w:szCs w:val="22"/>
        </w:rPr>
        <w:t xml:space="preserve">200 euro </w:t>
      </w:r>
      <w:r w:rsidR="004159A6">
        <w:rPr>
          <w:rFonts w:ascii="Simoncini Garamond" w:hAnsi="Simoncini Garamond" w:cs="Times New Roman PS"/>
          <w:sz w:val="21"/>
          <w:szCs w:val="22"/>
        </w:rPr>
        <w:t xml:space="preserve">erogata a luglio </w:t>
      </w:r>
      <w:r w:rsidR="008F222F">
        <w:rPr>
          <w:rFonts w:ascii="Simoncini Garamond" w:hAnsi="Simoncini Garamond" w:cs="Times New Roman PS"/>
          <w:sz w:val="21"/>
          <w:szCs w:val="22"/>
        </w:rPr>
        <w:t>per redditi da lavoro dipendente e pensioni fino a 35mila euro</w:t>
      </w:r>
      <w:r>
        <w:rPr>
          <w:rFonts w:ascii="Simoncini Garamond" w:hAnsi="Simoncini Garamond" w:cs="Times New Roman PS"/>
          <w:sz w:val="21"/>
          <w:szCs w:val="22"/>
        </w:rPr>
        <w:t>, la proroga del taglio delle imposte sui carburanti, un incremento di 100 milioni del fondo di sostegno all’accesso alle abitazioni in locazione.</w:t>
      </w:r>
      <w:r w:rsidR="00B15E9A">
        <w:rPr>
          <w:rFonts w:ascii="Simoncini Garamond" w:hAnsi="Simoncini Garamond" w:cs="Times New Roman PS"/>
          <w:sz w:val="21"/>
          <w:szCs w:val="22"/>
        </w:rPr>
        <w:t xml:space="preserve"> </w:t>
      </w:r>
      <w:r w:rsidR="004159A6">
        <w:rPr>
          <w:rFonts w:ascii="Simoncini Garamond" w:hAnsi="Simoncini Garamond" w:cs="Times New Roman PS"/>
          <w:sz w:val="21"/>
          <w:szCs w:val="22"/>
        </w:rPr>
        <w:t xml:space="preserve">Ad agosto </w:t>
      </w:r>
      <w:r>
        <w:rPr>
          <w:rFonts w:ascii="Simoncini Garamond" w:hAnsi="Simoncini Garamond" w:cs="Times New Roman PS"/>
          <w:sz w:val="21"/>
          <w:szCs w:val="22"/>
        </w:rPr>
        <w:t xml:space="preserve">viene approvato un </w:t>
      </w:r>
      <w:r w:rsidR="004159A6">
        <w:rPr>
          <w:rFonts w:ascii="Simoncini Garamond" w:hAnsi="Simoncini Garamond" w:cs="Times New Roman PS"/>
          <w:sz w:val="21"/>
          <w:szCs w:val="22"/>
        </w:rPr>
        <w:t xml:space="preserve">nuovo provvedimento (decreto aiuti bis n. 115/2022) con aiuti all’economia contro l’inflazione per </w:t>
      </w:r>
      <w:r w:rsidR="00B15E9A">
        <w:rPr>
          <w:rFonts w:ascii="Simoncini Garamond" w:hAnsi="Simoncini Garamond" w:cs="Times New Roman PS"/>
          <w:sz w:val="21"/>
          <w:szCs w:val="22"/>
        </w:rPr>
        <w:t xml:space="preserve">altri </w:t>
      </w:r>
      <w:r w:rsidR="004159A6">
        <w:rPr>
          <w:rFonts w:ascii="Simoncini Garamond" w:hAnsi="Simoncini Garamond" w:cs="Times New Roman PS"/>
          <w:sz w:val="21"/>
          <w:szCs w:val="22"/>
        </w:rPr>
        <w:t xml:space="preserve">17 miliardi, </w:t>
      </w:r>
      <w:r>
        <w:rPr>
          <w:rFonts w:ascii="Simoncini Garamond" w:hAnsi="Simoncini Garamond" w:cs="Times New Roman PS"/>
          <w:sz w:val="21"/>
          <w:szCs w:val="22"/>
        </w:rPr>
        <w:t>che conferma i crediti d</w:t>
      </w:r>
      <w:r w:rsidR="00F47AF4">
        <w:rPr>
          <w:rFonts w:ascii="Simoncini Garamond" w:hAnsi="Simoncini Garamond" w:cs="Times New Roman PS"/>
          <w:sz w:val="21"/>
          <w:szCs w:val="22"/>
        </w:rPr>
        <w:t>‘</w:t>
      </w:r>
      <w:r>
        <w:rPr>
          <w:rFonts w:ascii="Simoncini Garamond" w:hAnsi="Simoncini Garamond" w:cs="Times New Roman PS"/>
          <w:sz w:val="21"/>
          <w:szCs w:val="22"/>
        </w:rPr>
        <w:t>imposta per le imprese a fronte di acquisti energetici, l’aumento della quota di fiscalizzazione dei contributi sociali al 2%, l’estensione del bonus di 200 euro ad alcune categorie prima escluse</w:t>
      </w:r>
      <w:r w:rsidR="00BF2F85">
        <w:rPr>
          <w:rFonts w:ascii="Simoncini Garamond" w:hAnsi="Simoncini Garamond" w:cs="Times New Roman PS"/>
          <w:sz w:val="21"/>
          <w:szCs w:val="22"/>
        </w:rPr>
        <w:t xml:space="preserve">, l’aumento straordinario del 2% delle pensioni </w:t>
      </w:r>
      <w:r w:rsidR="002B5D95">
        <w:rPr>
          <w:rFonts w:ascii="Simoncini Garamond" w:hAnsi="Simoncini Garamond" w:cs="Times New Roman PS"/>
          <w:sz w:val="21"/>
          <w:szCs w:val="22"/>
        </w:rPr>
        <w:t>d</w:t>
      </w:r>
      <w:r w:rsidR="00BF2F85">
        <w:rPr>
          <w:rFonts w:ascii="Simoncini Garamond" w:hAnsi="Simoncini Garamond" w:cs="Times New Roman PS"/>
          <w:sz w:val="21"/>
          <w:szCs w:val="22"/>
        </w:rPr>
        <w:t>ell’ultimo trimestre dell’anno.</w:t>
      </w:r>
      <w:r w:rsidR="00B15E9A">
        <w:rPr>
          <w:rFonts w:ascii="Simoncini Garamond" w:hAnsi="Simoncini Garamond" w:cs="Times New Roman PS"/>
          <w:sz w:val="21"/>
          <w:szCs w:val="22"/>
        </w:rPr>
        <w:t xml:space="preserve"> </w:t>
      </w:r>
      <w:r w:rsidR="00E10CE7">
        <w:rPr>
          <w:rFonts w:ascii="Simoncini Garamond" w:hAnsi="Simoncini Garamond" w:cs="Times New Roman PS"/>
          <w:sz w:val="21"/>
          <w:szCs w:val="22"/>
        </w:rPr>
        <w:t>Con il decreto aiut</w:t>
      </w:r>
      <w:r w:rsidR="002B5D95">
        <w:rPr>
          <w:rFonts w:ascii="Simoncini Garamond" w:hAnsi="Simoncini Garamond" w:cs="Times New Roman PS"/>
          <w:sz w:val="21"/>
          <w:szCs w:val="22"/>
        </w:rPr>
        <w:t>i</w:t>
      </w:r>
      <w:r w:rsidR="00E10CE7">
        <w:rPr>
          <w:rFonts w:ascii="Simoncini Garamond" w:hAnsi="Simoncini Garamond" w:cs="Times New Roman PS"/>
          <w:sz w:val="21"/>
          <w:szCs w:val="22"/>
        </w:rPr>
        <w:t>-ter del settembre 2022 (dl</w:t>
      </w:r>
      <w:r w:rsidR="00A7006A">
        <w:rPr>
          <w:rFonts w:ascii="Simoncini Garamond" w:hAnsi="Simoncini Garamond" w:cs="Times New Roman PS"/>
          <w:sz w:val="21"/>
          <w:szCs w:val="22"/>
        </w:rPr>
        <w:t xml:space="preserve"> n.</w:t>
      </w:r>
      <w:r w:rsidR="00E10CE7">
        <w:rPr>
          <w:rFonts w:ascii="Simoncini Garamond" w:hAnsi="Simoncini Garamond" w:cs="Times New Roman PS"/>
          <w:sz w:val="21"/>
          <w:szCs w:val="22"/>
        </w:rPr>
        <w:t xml:space="preserve"> 144/2022) viene inoltre introdotto un nuovo bonus una tantum da 150 euro erogato nel mese di novembre per </w:t>
      </w:r>
      <w:r w:rsidR="00E10CE7">
        <w:rPr>
          <w:rFonts w:ascii="Simoncini Garamond" w:hAnsi="Simoncini Garamond" w:cs="Times New Roman PS"/>
          <w:sz w:val="21"/>
          <w:szCs w:val="22"/>
        </w:rPr>
        <w:lastRenderedPageBreak/>
        <w:t xml:space="preserve">dipendenti, </w:t>
      </w:r>
      <w:r w:rsidR="000C012D">
        <w:rPr>
          <w:rFonts w:ascii="Simoncini Garamond" w:hAnsi="Simoncini Garamond" w:cs="Times New Roman PS"/>
          <w:sz w:val="21"/>
          <w:szCs w:val="22"/>
        </w:rPr>
        <w:t xml:space="preserve">disoccupati, </w:t>
      </w:r>
      <w:r w:rsidR="00E10CE7">
        <w:rPr>
          <w:rFonts w:ascii="Simoncini Garamond" w:hAnsi="Simoncini Garamond" w:cs="Times New Roman PS"/>
          <w:sz w:val="21"/>
          <w:szCs w:val="22"/>
        </w:rPr>
        <w:t xml:space="preserve">autonomi e pensionati con reddito lordo fino a 20mila euro. </w:t>
      </w:r>
      <w:r w:rsidR="00B15E9A">
        <w:rPr>
          <w:rFonts w:ascii="Simoncini Garamond" w:hAnsi="Simoncini Garamond" w:cs="Times New Roman PS"/>
          <w:sz w:val="21"/>
          <w:szCs w:val="22"/>
        </w:rPr>
        <w:t xml:space="preserve">A novembre il decreto aiuti-quater </w:t>
      </w:r>
      <w:r w:rsidR="00E10CE7">
        <w:rPr>
          <w:rFonts w:ascii="Simoncini Garamond" w:hAnsi="Simoncini Garamond" w:cs="Times New Roman PS"/>
          <w:sz w:val="21"/>
          <w:szCs w:val="22"/>
        </w:rPr>
        <w:t>(dl</w:t>
      </w:r>
      <w:r w:rsidR="00C83D39">
        <w:rPr>
          <w:rFonts w:ascii="Simoncini Garamond" w:hAnsi="Simoncini Garamond" w:cs="Times New Roman PS"/>
          <w:sz w:val="21"/>
          <w:szCs w:val="22"/>
        </w:rPr>
        <w:t xml:space="preserve"> n. </w:t>
      </w:r>
      <w:r w:rsidR="00E10CE7">
        <w:rPr>
          <w:rFonts w:ascii="Simoncini Garamond" w:hAnsi="Simoncini Garamond" w:cs="Times New Roman PS"/>
          <w:sz w:val="21"/>
          <w:szCs w:val="22"/>
        </w:rPr>
        <w:t xml:space="preserve">176/2022) </w:t>
      </w:r>
      <w:r w:rsidR="00B15E9A">
        <w:rPr>
          <w:rFonts w:ascii="Simoncini Garamond" w:hAnsi="Simoncini Garamond" w:cs="Times New Roman PS"/>
          <w:sz w:val="21"/>
          <w:szCs w:val="22"/>
        </w:rPr>
        <w:t xml:space="preserve">del nuovo governo Meloni finanzia </w:t>
      </w:r>
      <w:r w:rsidR="00F47AF4">
        <w:rPr>
          <w:rFonts w:ascii="Simoncini Garamond" w:hAnsi="Simoncini Garamond" w:cs="Times New Roman PS"/>
          <w:sz w:val="21"/>
          <w:szCs w:val="22"/>
        </w:rPr>
        <w:t xml:space="preserve">ulteriori </w:t>
      </w:r>
      <w:r w:rsidR="00B15E9A">
        <w:rPr>
          <w:rFonts w:ascii="Simoncini Garamond" w:hAnsi="Simoncini Garamond" w:cs="Times New Roman PS"/>
          <w:sz w:val="21"/>
          <w:szCs w:val="22"/>
        </w:rPr>
        <w:t>interventi per 9 miliardi contro il caro-energia, tra cui la proroga del credito d</w:t>
      </w:r>
      <w:r w:rsidR="002B5D95">
        <w:rPr>
          <w:rFonts w:ascii="Simoncini Garamond" w:hAnsi="Simoncini Garamond" w:cs="Times New Roman PS"/>
          <w:sz w:val="21"/>
          <w:szCs w:val="22"/>
        </w:rPr>
        <w:t>’</w:t>
      </w:r>
      <w:r w:rsidR="00B15E9A">
        <w:rPr>
          <w:rFonts w:ascii="Simoncini Garamond" w:hAnsi="Simoncini Garamond" w:cs="Times New Roman PS"/>
          <w:sz w:val="21"/>
          <w:szCs w:val="22"/>
        </w:rPr>
        <w:t xml:space="preserve">imposta per le imprese </w:t>
      </w:r>
      <w:r w:rsidR="002B5D95">
        <w:rPr>
          <w:rFonts w:ascii="Simoncini Garamond" w:hAnsi="Simoncini Garamond" w:cs="Times New Roman PS"/>
          <w:sz w:val="21"/>
          <w:szCs w:val="22"/>
        </w:rPr>
        <w:t xml:space="preserve">sugli acquisti di </w:t>
      </w:r>
      <w:r w:rsidR="00B15E9A">
        <w:rPr>
          <w:rFonts w:ascii="Simoncini Garamond" w:hAnsi="Simoncini Garamond" w:cs="Times New Roman PS"/>
          <w:sz w:val="21"/>
          <w:szCs w:val="22"/>
        </w:rPr>
        <w:t xml:space="preserve">energia e l’estensione fino al termine dell’anno dello sconto sulle accise sui carburanti. </w:t>
      </w:r>
      <w:r w:rsidR="005539E8">
        <w:rPr>
          <w:rFonts w:ascii="Simoncini Garamond" w:hAnsi="Simoncini Garamond" w:cs="Times New Roman PS"/>
          <w:sz w:val="21"/>
          <w:szCs w:val="22"/>
        </w:rPr>
        <w:t>La legge di bilancio per il 2023</w:t>
      </w:r>
      <w:r w:rsidR="002B5D95">
        <w:rPr>
          <w:rFonts w:ascii="Simoncini Garamond" w:hAnsi="Simoncini Garamond" w:cs="Times New Roman PS"/>
          <w:sz w:val="21"/>
          <w:szCs w:val="22"/>
        </w:rPr>
        <w:t>, infine,</w:t>
      </w:r>
      <w:r w:rsidR="005539E8">
        <w:rPr>
          <w:rFonts w:ascii="Simoncini Garamond" w:hAnsi="Simoncini Garamond" w:cs="Times New Roman PS"/>
          <w:sz w:val="21"/>
          <w:szCs w:val="22"/>
        </w:rPr>
        <w:t xml:space="preserve"> stanzia direttamente a favore delle famiglie ulteriori 7,4 miliardi per mitigare l’inflazione, prorogando molte delle misure già adottate precedentemente (estensione bonus energia, riduzione aliquota Iva sul gas, decontribuzione, riduzione oneri di sistema</w:t>
      </w:r>
      <w:r w:rsidR="004E5BE8">
        <w:rPr>
          <w:rFonts w:ascii="Simoncini Garamond" w:hAnsi="Simoncini Garamond" w:cs="Times New Roman PS"/>
          <w:sz w:val="21"/>
          <w:szCs w:val="22"/>
        </w:rPr>
        <w:t>, riduzione del 2% dei contributi previdenziali dei dipendenti fino a 35mila euro</w:t>
      </w:r>
      <w:r w:rsidR="005539E8">
        <w:rPr>
          <w:rFonts w:ascii="Simoncini Garamond" w:hAnsi="Simoncini Garamond" w:cs="Times New Roman PS"/>
          <w:sz w:val="21"/>
          <w:szCs w:val="22"/>
        </w:rPr>
        <w:t>).</w:t>
      </w:r>
      <w:r w:rsidR="00BF2F85">
        <w:rPr>
          <w:rFonts w:ascii="Simoncini Garamond" w:hAnsi="Simoncini Garamond" w:cs="Times New Roman PS"/>
          <w:sz w:val="21"/>
          <w:szCs w:val="22"/>
        </w:rPr>
        <w:t xml:space="preserve"> </w:t>
      </w:r>
    </w:p>
    <w:p w14:paraId="139E241A" w14:textId="77777777" w:rsidR="00500F87" w:rsidRPr="00862961" w:rsidRDefault="00500F87" w:rsidP="00500F87">
      <w:pPr>
        <w:rPr>
          <w:rFonts w:ascii="Simoncini Garamond" w:hAnsi="Simoncini Garamond" w:cs="Times New Roman PS"/>
          <w:sz w:val="21"/>
          <w:szCs w:val="22"/>
        </w:rPr>
      </w:pPr>
      <w:r w:rsidRPr="00862961">
        <w:rPr>
          <w:rFonts w:ascii="Simoncini Garamond" w:hAnsi="Simoncini Garamond" w:cs="Times New Roman PS"/>
          <w:sz w:val="21"/>
          <w:szCs w:val="22"/>
        </w:rPr>
        <w:t xml:space="preserve">La legge di bilancio per il 2023 ha introdotto inoltre un nuovo trasferimento monetario destinato all’acquisto di beni alimentari da parte di nuclei con almeno tre componenti e Isee non superiore a 15mila euro, finanziato con un fondo di 500 milioni di euro per il 2023. Il contributo è incompatibile con la fruizione del reddito di cittadinanza, della Naspi, della Cassa integrazione e di ogni altra misura di contrasto alla povertà. Il trasferimento è un importo una tantum di 382,50 euro caricato su una carta prepagata rilasciata da Poste italiane che potrà essere usata nei negozi aderenti a una specifica convenzione. Le famiglie non devono presentare domanda, perché l’Inps trasmette ai Comuni i nomi dei possibili beneficiari traendoli dall’elenco delle dichiarazioni Isee in vigore, poi i Comuni costruiscono una graduatoria dando priorità ai nuclei con Isee più basso e con bambini di minore età. Non è chiaro se questa carta sarà rifinanziata negli anni successivi. Se il suo obiettivo è contrastare gli effetti dell’aumento dei prezzi, è possibile che non lo sarà se in futuro l’inflazione si ridimensionerà. Il limite superiore di 15mila euro di Isee individua anche nuclei che non possono essere considerati in povertà. </w:t>
      </w:r>
    </w:p>
    <w:p w14:paraId="5E6472D5" w14:textId="1348D8D7" w:rsidR="003423FE" w:rsidRDefault="003423FE" w:rsidP="00F47AF4">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A questi interventi pensati per ridurre gli effetti avversi dell’inflazione, che hanno </w:t>
      </w:r>
      <w:r w:rsidR="00500F87">
        <w:rPr>
          <w:rFonts w:ascii="Simoncini Garamond" w:hAnsi="Simoncini Garamond" w:cs="Times New Roman PS"/>
          <w:sz w:val="21"/>
          <w:szCs w:val="22"/>
        </w:rPr>
        <w:t xml:space="preserve">in genere </w:t>
      </w:r>
      <w:r>
        <w:rPr>
          <w:rFonts w:ascii="Simoncini Garamond" w:hAnsi="Simoncini Garamond" w:cs="Times New Roman PS"/>
          <w:sz w:val="21"/>
          <w:szCs w:val="22"/>
        </w:rPr>
        <w:t xml:space="preserve">carattere temporaneo, durante il 2022 si sono aggiunte almeno altre </w:t>
      </w:r>
      <w:r w:rsidR="00500F87">
        <w:rPr>
          <w:rFonts w:ascii="Simoncini Garamond" w:hAnsi="Simoncini Garamond" w:cs="Times New Roman PS"/>
          <w:sz w:val="21"/>
          <w:szCs w:val="22"/>
        </w:rPr>
        <w:t xml:space="preserve">due </w:t>
      </w:r>
      <w:r>
        <w:rPr>
          <w:rFonts w:ascii="Simoncini Garamond" w:hAnsi="Simoncini Garamond" w:cs="Times New Roman PS"/>
          <w:sz w:val="21"/>
          <w:szCs w:val="22"/>
        </w:rPr>
        <w:t xml:space="preserve">riforme con conseguenze significative – e strutturali - sulla distribuzione del reddito: la riforma dell’Irpef e l’introduzione dell’assegno unico per le famiglie con figli. </w:t>
      </w:r>
      <w:r w:rsidR="00500F87">
        <w:rPr>
          <w:rFonts w:ascii="Simoncini Garamond" w:hAnsi="Simoncini Garamond" w:cs="Times New Roman PS"/>
          <w:sz w:val="21"/>
          <w:szCs w:val="22"/>
        </w:rPr>
        <w:t xml:space="preserve">A partire dal 2023, infine, la modifica al </w:t>
      </w:r>
      <w:r w:rsidR="00500F87">
        <w:rPr>
          <w:rFonts w:ascii="Simoncini Garamond" w:hAnsi="Simoncini Garamond" w:cs="Times New Roman PS"/>
          <w:sz w:val="21"/>
          <w:szCs w:val="22"/>
        </w:rPr>
        <w:lastRenderedPageBreak/>
        <w:t xml:space="preserve">meccanismo di indicizzazione delle pensioni (si veda il contributo di C. Mazzaferro) avrà modifiche di grande rilievo sia sui saldi di bilancio </w:t>
      </w:r>
      <w:r w:rsidR="00862961">
        <w:rPr>
          <w:rFonts w:ascii="Simoncini Garamond" w:hAnsi="Simoncini Garamond" w:cs="Times New Roman PS"/>
          <w:sz w:val="21"/>
          <w:szCs w:val="22"/>
        </w:rPr>
        <w:t xml:space="preserve">pubblico </w:t>
      </w:r>
      <w:r w:rsidR="00500F87">
        <w:rPr>
          <w:rFonts w:ascii="Simoncini Garamond" w:hAnsi="Simoncini Garamond" w:cs="Times New Roman PS"/>
          <w:sz w:val="21"/>
          <w:szCs w:val="22"/>
        </w:rPr>
        <w:t>sia sulla distribuzione del reddito tra i pensionati e tra i pensionati e i lavoratori.</w:t>
      </w:r>
    </w:p>
    <w:p w14:paraId="0059B0E2" w14:textId="7A5473A4" w:rsidR="003423FE" w:rsidRDefault="003423FE" w:rsidP="003423FE">
      <w:pPr>
        <w:ind w:firstLine="360"/>
        <w:rPr>
          <w:rFonts w:ascii="Simoncini Garamond" w:hAnsi="Simoncini Garamond"/>
          <w:sz w:val="21"/>
        </w:rPr>
      </w:pPr>
      <w:r>
        <w:rPr>
          <w:rFonts w:ascii="Simoncini Garamond" w:hAnsi="Simoncini Garamond"/>
          <w:sz w:val="21"/>
        </w:rPr>
        <w:t xml:space="preserve">La riforma dell’Irpef disposta dalla legge di bilancio per il 2022 (l. n. 234/2021) ha ridisegnato gli scaglioni e le aliquote marginali legali, oltre a rimodulare le detrazioni da lavoro dipendente, da lavoro autonomo e da pensione. Le aliquote marginali legali sono passate da cinque a quattro, mantenendo inalterati i livelli dell’aliquota d’ingresso (23%) e di quella massima (43%). </w:t>
      </w:r>
      <w:r w:rsidR="007E234E">
        <w:rPr>
          <w:rFonts w:ascii="Simoncini Garamond" w:hAnsi="Simoncini Garamond"/>
          <w:sz w:val="21"/>
        </w:rPr>
        <w:t>È</w:t>
      </w:r>
      <w:r>
        <w:rPr>
          <w:rFonts w:ascii="Simoncini Garamond" w:hAnsi="Simoncini Garamond"/>
          <w:sz w:val="21"/>
        </w:rPr>
        <w:t xml:space="preserve"> scomparsa l’aliquota del 41%, mentre sono state ridotte sia quella relativa al secondo scaglione di reddito (scesa dal 27 al 25%), sia quella del terzo (dal 38 al 35%), il cui limite superiore è sceso da 55.000 a 50.000 euro. Importanti rimodulazioni hanno anche interessato le detrazioni per redditi da lavoro dipendente. La riforma dell’Irpef ha perseguito un duplice obiettivo: sostenere la ripresa economica con un alleggerimento della tassazione a carico dei redditi da lavoro, da un lato, ridurre l’erraticità e l’elevatezza delle aliquote marginali e medie effettive e quindi gli effetti distorsivi dell’imposizione personale sull’offerta dei fattori produttivi, dall’altro.</w:t>
      </w:r>
    </w:p>
    <w:p w14:paraId="0BE37272" w14:textId="77777777" w:rsidR="003423FE" w:rsidRDefault="003423FE" w:rsidP="003423FE">
      <w:pPr>
        <w:ind w:firstLine="360"/>
        <w:rPr>
          <w:rFonts w:ascii="Simoncini Garamond" w:hAnsi="Simoncini Garamond"/>
          <w:sz w:val="21"/>
        </w:rPr>
      </w:pPr>
      <w:r>
        <w:rPr>
          <w:rFonts w:ascii="Simoncini Garamond" w:hAnsi="Simoncini Garamond"/>
          <w:sz w:val="21"/>
        </w:rPr>
        <w:t xml:space="preserve">Il 2022 ha segnato anche l’introduzione, a partire dal mese di marzo, dell’assegno unico e universale per i figli, un istituto che ha comportato il ridisegno radicale delle politiche vigenti di sostegno dei carichi di famiglia e la contemporanea abolizione delle detrazioni Irpef per figli a carico, dell’assegno al nucleo familiare e di altre misure minori. La riforma introduce forti elementi di universalismo selettivo in un comparto del sistema </w:t>
      </w:r>
      <w:r w:rsidRPr="00837187">
        <w:rPr>
          <w:rFonts w:ascii="Simoncini Garamond" w:hAnsi="Simoncini Garamond"/>
          <w:i/>
          <w:sz w:val="21"/>
        </w:rPr>
        <w:t>tax-benefit</w:t>
      </w:r>
      <w:r>
        <w:rPr>
          <w:rFonts w:ascii="Simoncini Garamond" w:hAnsi="Simoncini Garamond"/>
          <w:sz w:val="21"/>
        </w:rPr>
        <w:t xml:space="preserve"> storicamente afflitto dalla categorialità (il diritto all’assegno al nucleo familiare era riservato ai nuclei in cui prevaleva il reddito da lavoro dipendente), soggetto al problema dell’incapienza fiscale e caratterizzato da una molteplicità di criteri di </w:t>
      </w:r>
      <w:r w:rsidRPr="009079C9">
        <w:rPr>
          <w:rFonts w:ascii="Simoncini Garamond" w:hAnsi="Simoncini Garamond"/>
          <w:i/>
          <w:sz w:val="21"/>
        </w:rPr>
        <w:t>means-testing</w:t>
      </w:r>
      <w:r>
        <w:rPr>
          <w:rFonts w:ascii="Simoncini Garamond" w:hAnsi="Simoncini Garamond"/>
          <w:sz w:val="21"/>
        </w:rPr>
        <w:t xml:space="preserve"> non coerenti tra loro. </w:t>
      </w:r>
      <w:r w:rsidRPr="00892BAE">
        <w:rPr>
          <w:rFonts w:ascii="Simoncini Garamond" w:hAnsi="Simoncini Garamond"/>
          <w:sz w:val="21"/>
        </w:rPr>
        <w:t>La riforma</w:t>
      </w:r>
      <w:r>
        <w:rPr>
          <w:rFonts w:ascii="Simoncini Garamond" w:hAnsi="Simoncini Garamond"/>
          <w:sz w:val="21"/>
        </w:rPr>
        <w:t xml:space="preserve"> </w:t>
      </w:r>
      <w:r w:rsidRPr="00892BAE">
        <w:rPr>
          <w:rFonts w:ascii="Simoncini Garamond" w:hAnsi="Simoncini Garamond"/>
          <w:sz w:val="21"/>
        </w:rPr>
        <w:t>ha avuto il merito di aumentare in misura significativa l’intervento pubblico in questo campo della spesa sociale.</w:t>
      </w:r>
      <w:r>
        <w:rPr>
          <w:rFonts w:ascii="Simoncini Garamond" w:hAnsi="Simoncini Garamond"/>
          <w:sz w:val="21"/>
        </w:rPr>
        <w:t xml:space="preserve"> </w:t>
      </w:r>
    </w:p>
    <w:p w14:paraId="56EE4F28" w14:textId="49BC289B" w:rsidR="00D95993" w:rsidRDefault="00D95993" w:rsidP="00D95993">
      <w:pPr>
        <w:ind w:firstLine="360"/>
        <w:rPr>
          <w:rFonts w:ascii="Simoncini Garamond" w:hAnsi="Simoncini Garamond"/>
          <w:sz w:val="21"/>
        </w:rPr>
      </w:pPr>
      <w:r>
        <w:rPr>
          <w:rFonts w:ascii="Simoncini Garamond" w:hAnsi="Simoncini Garamond"/>
          <w:sz w:val="21"/>
        </w:rPr>
        <w:t xml:space="preserve">Secondo le stime compiute dall’Istat con il modello FaMiMod che simula il funzionamento del sistema </w:t>
      </w:r>
      <w:r w:rsidRPr="004D05B7">
        <w:rPr>
          <w:rFonts w:ascii="Simoncini Garamond" w:hAnsi="Simoncini Garamond"/>
          <w:i/>
          <w:sz w:val="21"/>
        </w:rPr>
        <w:t>tax-benefit</w:t>
      </w:r>
      <w:r>
        <w:rPr>
          <w:rFonts w:ascii="Simoncini Garamond" w:hAnsi="Simoncini Garamond"/>
          <w:sz w:val="21"/>
        </w:rPr>
        <w:t xml:space="preserve"> applicandolo </w:t>
      </w:r>
      <w:r>
        <w:rPr>
          <w:rFonts w:ascii="Simoncini Garamond" w:hAnsi="Simoncini Garamond"/>
          <w:sz w:val="21"/>
        </w:rPr>
        <w:lastRenderedPageBreak/>
        <w:t>ai micro-dati individuali provenienti dall’indagine campionaria Eurostat sui redditi e le condizioni di vita delle famiglie (Eu-Silc), le modifiche introdotte nel 2022, se congiuntamente considerate, hanno esercitato un impatto perequativo sulla distribuzione del reddito disponibile equivalente delle famiglie [Istat 2022c]. La dis</w:t>
      </w:r>
      <w:r w:rsidR="00C83D39">
        <w:rPr>
          <w:rFonts w:ascii="Simoncini Garamond" w:hAnsi="Simoncini Garamond"/>
          <w:sz w:val="21"/>
        </w:rPr>
        <w:t>e</w:t>
      </w:r>
      <w:r>
        <w:rPr>
          <w:rFonts w:ascii="Simoncini Garamond" w:hAnsi="Simoncini Garamond"/>
          <w:sz w:val="21"/>
        </w:rPr>
        <w:t xml:space="preserve">guaglianza, misurata dall’indice di Gini, si è ridotta dal 30,4% al 29,6%, il </w:t>
      </w:r>
      <w:r w:rsidRPr="001708C6">
        <w:rPr>
          <w:rFonts w:ascii="Simoncini Garamond" w:hAnsi="Simoncini Garamond"/>
          <w:i/>
          <w:sz w:val="21"/>
        </w:rPr>
        <w:t>rischio di povertà</w:t>
      </w:r>
      <w:r>
        <w:rPr>
          <w:rFonts w:ascii="Simoncini Garamond" w:hAnsi="Simoncini Garamond"/>
          <w:sz w:val="21"/>
        </w:rPr>
        <w:t xml:space="preserve"> di quasi due punti, dal 18,6% al 16,8%, e il </w:t>
      </w:r>
      <w:r w:rsidRPr="004D05B7">
        <w:rPr>
          <w:rFonts w:ascii="Simoncini Garamond" w:hAnsi="Simoncini Garamond"/>
          <w:i/>
          <w:sz w:val="21"/>
        </w:rPr>
        <w:t>poverty gap</w:t>
      </w:r>
      <w:r>
        <w:rPr>
          <w:rFonts w:ascii="Simoncini Garamond" w:hAnsi="Simoncini Garamond"/>
          <w:sz w:val="21"/>
        </w:rPr>
        <w:t xml:space="preserve"> (un indice che tiene conto della distanza media del reddito dei poveri dalla soglia) di quasi un punto, dal 5,2% al 4,4%</w:t>
      </w:r>
      <w:r>
        <w:rPr>
          <w:rStyle w:val="Rimandonotaapidipagina"/>
          <w:rFonts w:ascii="Simoncini Garamond" w:hAnsi="Simoncini Garamond"/>
          <w:sz w:val="21"/>
        </w:rPr>
        <w:footnoteReference w:id="4"/>
      </w:r>
      <w:r>
        <w:rPr>
          <w:rFonts w:ascii="Simoncini Garamond" w:hAnsi="Simoncini Garamond"/>
          <w:sz w:val="21"/>
        </w:rPr>
        <w:t xml:space="preserve">. La riforma dell’Irpef </w:t>
      </w:r>
      <w:r w:rsidR="00C00F20">
        <w:rPr>
          <w:rFonts w:ascii="Simoncini Garamond" w:hAnsi="Simoncini Garamond"/>
          <w:sz w:val="21"/>
        </w:rPr>
        <w:t xml:space="preserve">di per sé </w:t>
      </w:r>
      <w:r>
        <w:rPr>
          <w:rFonts w:ascii="Simoncini Garamond" w:hAnsi="Simoncini Garamond"/>
          <w:sz w:val="21"/>
        </w:rPr>
        <w:t xml:space="preserve">ha determinato una diminuzione delle aliquote medie effettive </w:t>
      </w:r>
      <w:r w:rsidR="00A269C6">
        <w:rPr>
          <w:rFonts w:ascii="Simoncini Garamond" w:hAnsi="Simoncini Garamond"/>
          <w:sz w:val="21"/>
        </w:rPr>
        <w:t xml:space="preserve">d’imposta </w:t>
      </w:r>
      <w:r>
        <w:rPr>
          <w:rFonts w:ascii="Simoncini Garamond" w:hAnsi="Simoncini Garamond"/>
          <w:sz w:val="21"/>
        </w:rPr>
        <w:t xml:space="preserve">dell’1,5% per l’intera popolazione, con un calo più pronunciato per i tre quintili di famiglie con reddito più elevato. La riduzione del </w:t>
      </w:r>
      <w:r w:rsidRPr="001A1EE1">
        <w:rPr>
          <w:rFonts w:ascii="Simoncini Garamond" w:hAnsi="Simoncini Garamond"/>
          <w:i/>
          <w:sz w:val="21"/>
        </w:rPr>
        <w:t>rischio di povertà</w:t>
      </w:r>
      <w:r>
        <w:rPr>
          <w:rFonts w:ascii="Simoncini Garamond" w:hAnsi="Simoncini Garamond"/>
          <w:sz w:val="21"/>
        </w:rPr>
        <w:t xml:space="preserve"> riguarda tutte le classi di età ed è più consistente per le famiglie con figli minori, soprattutto grazie all’introduzione dell’assegno unico e universale per i figli. A risultati simili, sul piano qualitativo, giungono altri studi di fonte Banca d’Italia, che si avvalgono anch’essi di modelli di micro-simulazione </w:t>
      </w:r>
      <w:r w:rsidRPr="00E077DF">
        <w:rPr>
          <w:rFonts w:ascii="Simoncini Garamond" w:hAnsi="Simoncini Garamond"/>
          <w:i/>
          <w:sz w:val="21"/>
        </w:rPr>
        <w:t>tax-benefit</w:t>
      </w:r>
      <w:r>
        <w:rPr>
          <w:rFonts w:ascii="Simoncini Garamond" w:hAnsi="Simoncini Garamond"/>
          <w:sz w:val="21"/>
        </w:rPr>
        <w:t>, che sottolineano come la riforma dell’assegno unico e universale per i figli abbia avuto il pregio di migliorare gli incentivi monetari all’offerta di lavoro femminile [Dicarlo et al. 2023].</w:t>
      </w:r>
    </w:p>
    <w:p w14:paraId="6AB73677" w14:textId="60939260" w:rsidR="00BF2F85" w:rsidRDefault="00D95993" w:rsidP="00C67FFD">
      <w:pPr>
        <w:ind w:firstLine="360"/>
        <w:rPr>
          <w:rFonts w:ascii="Simoncini Garamond" w:hAnsi="Simoncini Garamond" w:cs="Times New Roman PS"/>
          <w:sz w:val="21"/>
          <w:szCs w:val="22"/>
        </w:rPr>
      </w:pPr>
      <w:r>
        <w:rPr>
          <w:rFonts w:ascii="Simoncini Garamond" w:hAnsi="Simoncini Garamond" w:cs="Times New Roman PS"/>
          <w:sz w:val="21"/>
          <w:szCs w:val="22"/>
        </w:rPr>
        <w:t>Per quanto riguarda invece le tante misure di mitigazione dell’inflazione adottate dagli ultimi due governi tra metà 2021 e fine 2022, l</w:t>
      </w:r>
      <w:r w:rsidR="00BF2F85">
        <w:rPr>
          <w:rFonts w:ascii="Simoncini Garamond" w:hAnsi="Simoncini Garamond" w:cs="Times New Roman PS"/>
          <w:sz w:val="21"/>
          <w:szCs w:val="22"/>
        </w:rPr>
        <w:t xml:space="preserve">’Ufficio Parlamentare di Bilancio </w:t>
      </w:r>
      <w:r>
        <w:rPr>
          <w:rFonts w:ascii="Simoncini Garamond" w:hAnsi="Simoncini Garamond" w:cs="Times New Roman PS"/>
          <w:sz w:val="21"/>
          <w:szCs w:val="22"/>
        </w:rPr>
        <w:t xml:space="preserve">ne </w:t>
      </w:r>
      <w:r w:rsidR="00BF2F85">
        <w:rPr>
          <w:rFonts w:ascii="Simoncini Garamond" w:hAnsi="Simoncini Garamond" w:cs="Times New Roman PS"/>
          <w:sz w:val="21"/>
          <w:szCs w:val="22"/>
        </w:rPr>
        <w:t xml:space="preserve">ha simulato </w:t>
      </w:r>
      <w:r w:rsidR="003603AA">
        <w:rPr>
          <w:rFonts w:ascii="Simoncini Garamond" w:hAnsi="Simoncini Garamond" w:cs="Times New Roman PS"/>
          <w:sz w:val="21"/>
          <w:szCs w:val="22"/>
        </w:rPr>
        <w:t>a</w:t>
      </w:r>
      <w:r w:rsidR="00BF2F85">
        <w:rPr>
          <w:rFonts w:ascii="Simoncini Garamond" w:hAnsi="Simoncini Garamond" w:cs="Times New Roman PS"/>
          <w:sz w:val="21"/>
          <w:szCs w:val="22"/>
        </w:rPr>
        <w:t xml:space="preserve"> più riprese l’effetto redistributivo complessivo sui bilanci delle famiglie italiane </w:t>
      </w:r>
      <w:r w:rsidR="001C12B1">
        <w:rPr>
          <w:rFonts w:ascii="Simoncini Garamond" w:hAnsi="Simoncini Garamond" w:cs="Times New Roman PS"/>
          <w:sz w:val="21"/>
          <w:szCs w:val="22"/>
        </w:rPr>
        <w:t>[</w:t>
      </w:r>
      <w:r w:rsidR="00BF2F85">
        <w:rPr>
          <w:rFonts w:ascii="Simoncini Garamond" w:hAnsi="Simoncini Garamond" w:cs="Times New Roman PS"/>
          <w:sz w:val="21"/>
          <w:szCs w:val="22"/>
        </w:rPr>
        <w:t>U</w:t>
      </w:r>
      <w:r w:rsidR="00C83D39">
        <w:rPr>
          <w:rFonts w:ascii="Simoncini Garamond" w:hAnsi="Simoncini Garamond" w:cs="Times New Roman PS"/>
          <w:sz w:val="21"/>
          <w:szCs w:val="22"/>
        </w:rPr>
        <w:t>pb</w:t>
      </w:r>
      <w:r w:rsidR="00BF2F85">
        <w:rPr>
          <w:rFonts w:ascii="Simoncini Garamond" w:hAnsi="Simoncini Garamond" w:cs="Times New Roman PS"/>
          <w:sz w:val="21"/>
          <w:szCs w:val="22"/>
        </w:rPr>
        <w:t xml:space="preserve"> 2022</w:t>
      </w:r>
      <w:r w:rsidR="001C12B1">
        <w:rPr>
          <w:rFonts w:ascii="Simoncini Garamond" w:hAnsi="Simoncini Garamond" w:cs="Times New Roman PS"/>
          <w:sz w:val="21"/>
          <w:szCs w:val="22"/>
        </w:rPr>
        <w:t>]</w:t>
      </w:r>
      <w:r w:rsidR="00BF2F85">
        <w:rPr>
          <w:rFonts w:ascii="Simoncini Garamond" w:hAnsi="Simoncini Garamond" w:cs="Times New Roman PS"/>
          <w:sz w:val="21"/>
          <w:szCs w:val="22"/>
        </w:rPr>
        <w:t xml:space="preserve">. </w:t>
      </w:r>
      <w:r w:rsidR="003603AA">
        <w:rPr>
          <w:rFonts w:ascii="Simoncini Garamond" w:hAnsi="Simoncini Garamond" w:cs="Times New Roman PS"/>
          <w:sz w:val="21"/>
          <w:szCs w:val="22"/>
        </w:rPr>
        <w:t xml:space="preserve">In media, l’inflazione avrebbe determinato un aumento della spesa delle famiglie del 9%, ma le misure del governo hanno ridotto la perdita di potere d’acquisto al 5,4%. Le stime confermano che l’effetto redistributivo dell’inflazione è nettamente regressivo, pesando per circa il 15% sulla spesa del 10% più povero e solo </w:t>
      </w:r>
      <w:r w:rsidR="00CC7473">
        <w:rPr>
          <w:rFonts w:ascii="Simoncini Garamond" w:hAnsi="Simoncini Garamond" w:cs="Times New Roman PS"/>
          <w:sz w:val="21"/>
          <w:szCs w:val="22"/>
        </w:rPr>
        <w:t xml:space="preserve">per </w:t>
      </w:r>
      <w:r w:rsidR="003603AA">
        <w:rPr>
          <w:rFonts w:ascii="Simoncini Garamond" w:hAnsi="Simoncini Garamond" w:cs="Times New Roman PS"/>
          <w:sz w:val="21"/>
          <w:szCs w:val="22"/>
        </w:rPr>
        <w:t xml:space="preserve">il 6,8% </w:t>
      </w:r>
      <w:r w:rsidR="00CC7473">
        <w:rPr>
          <w:rFonts w:ascii="Simoncini Garamond" w:hAnsi="Simoncini Garamond" w:cs="Times New Roman PS"/>
          <w:sz w:val="21"/>
          <w:szCs w:val="22"/>
        </w:rPr>
        <w:t>sul decile</w:t>
      </w:r>
      <w:r w:rsidR="003603AA">
        <w:rPr>
          <w:rFonts w:ascii="Simoncini Garamond" w:hAnsi="Simoncini Garamond" w:cs="Times New Roman PS"/>
          <w:sz w:val="21"/>
          <w:szCs w:val="22"/>
        </w:rPr>
        <w:t xml:space="preserve"> più benestante. Ma le misure del governo sono state decisamente progressive, tanto che la spesa netta</w:t>
      </w:r>
      <w:r w:rsidR="002B5D95">
        <w:rPr>
          <w:rFonts w:ascii="Simoncini Garamond" w:hAnsi="Simoncini Garamond" w:cs="Times New Roman PS"/>
          <w:sz w:val="21"/>
          <w:szCs w:val="22"/>
        </w:rPr>
        <w:t xml:space="preserve"> familiare reale</w:t>
      </w:r>
      <w:r w:rsidR="003603AA">
        <w:rPr>
          <w:rFonts w:ascii="Simoncini Garamond" w:hAnsi="Simoncini Garamond" w:cs="Times New Roman PS"/>
          <w:sz w:val="21"/>
          <w:szCs w:val="22"/>
        </w:rPr>
        <w:t xml:space="preserve">, tenendo conto sia dell’inflazione che </w:t>
      </w:r>
      <w:r w:rsidR="003603AA">
        <w:rPr>
          <w:rFonts w:ascii="Simoncini Garamond" w:hAnsi="Simoncini Garamond" w:cs="Times New Roman PS"/>
          <w:sz w:val="21"/>
          <w:szCs w:val="22"/>
        </w:rPr>
        <w:lastRenderedPageBreak/>
        <w:t xml:space="preserve">degli interventi pubblici, diminuisce approssimativamente </w:t>
      </w:r>
      <w:r w:rsidR="002B5D95">
        <w:rPr>
          <w:rFonts w:ascii="Simoncini Garamond" w:hAnsi="Simoncini Garamond" w:cs="Times New Roman PS"/>
          <w:sz w:val="21"/>
          <w:szCs w:val="22"/>
        </w:rPr>
        <w:t>n</w:t>
      </w:r>
      <w:r w:rsidR="003603AA">
        <w:rPr>
          <w:rFonts w:ascii="Simoncini Garamond" w:hAnsi="Simoncini Garamond" w:cs="Times New Roman PS"/>
          <w:sz w:val="21"/>
          <w:szCs w:val="22"/>
        </w:rPr>
        <w:t>ella stessa percentuale sia per i redditi bassi che per quelli alti.</w:t>
      </w:r>
      <w:r w:rsidR="00AA10B1">
        <w:rPr>
          <w:rFonts w:ascii="Simoncini Garamond" w:hAnsi="Simoncini Garamond" w:cs="Times New Roman PS"/>
          <w:sz w:val="21"/>
          <w:szCs w:val="22"/>
        </w:rPr>
        <w:t xml:space="preserve"> La spesa pubblica non è riuscita a compensare gli effetti negativi dell’inflazione sui redditi delle famiglie, ma ha aiutato le classi più deboli molto più delle altre.</w:t>
      </w:r>
      <w:r w:rsidR="003603AA">
        <w:rPr>
          <w:rFonts w:ascii="Simoncini Garamond" w:hAnsi="Simoncini Garamond" w:cs="Times New Roman PS"/>
          <w:sz w:val="21"/>
          <w:szCs w:val="22"/>
        </w:rPr>
        <w:t xml:space="preserve"> </w:t>
      </w:r>
      <w:r w:rsidR="00CC7473">
        <w:rPr>
          <w:rFonts w:ascii="Simoncini Garamond" w:hAnsi="Simoncini Garamond" w:cs="Times New Roman PS"/>
          <w:sz w:val="21"/>
          <w:szCs w:val="22"/>
        </w:rPr>
        <w:t xml:space="preserve">Gli interventi più progressivi sono stati i bonus da 150 e 200 euro e la rivalutazione straordinaria delle pensioni. </w:t>
      </w:r>
      <w:r w:rsidR="0013220C">
        <w:rPr>
          <w:rFonts w:ascii="Simoncini Garamond" w:hAnsi="Simoncini Garamond" w:cs="Times New Roman PS"/>
          <w:sz w:val="21"/>
          <w:szCs w:val="22"/>
        </w:rPr>
        <w:t xml:space="preserve">Se da un punto di vista redistributivo gli interventi di sostegno al reddito sono stati </w:t>
      </w:r>
      <w:r w:rsidR="00DE6131">
        <w:rPr>
          <w:rFonts w:ascii="Simoncini Garamond" w:hAnsi="Simoncini Garamond" w:cs="Times New Roman PS"/>
          <w:sz w:val="21"/>
          <w:szCs w:val="22"/>
        </w:rPr>
        <w:t>appannaggio dei primi decili (i più poveri)</w:t>
      </w:r>
      <w:r w:rsidR="0013220C">
        <w:rPr>
          <w:rFonts w:ascii="Simoncini Garamond" w:hAnsi="Simoncini Garamond" w:cs="Times New Roman PS"/>
          <w:sz w:val="21"/>
          <w:szCs w:val="22"/>
        </w:rPr>
        <w:t xml:space="preserve">, in termini assoluti invece una parte rilevante </w:t>
      </w:r>
      <w:r>
        <w:rPr>
          <w:rFonts w:ascii="Simoncini Garamond" w:hAnsi="Simoncini Garamond" w:cs="Times New Roman PS"/>
          <w:sz w:val="21"/>
          <w:szCs w:val="22"/>
        </w:rPr>
        <w:t xml:space="preserve">del loro costo </w:t>
      </w:r>
      <w:r w:rsidR="0013220C">
        <w:rPr>
          <w:rFonts w:ascii="Simoncini Garamond" w:hAnsi="Simoncini Garamond" w:cs="Times New Roman PS"/>
          <w:sz w:val="21"/>
          <w:szCs w:val="22"/>
        </w:rPr>
        <w:t>totale è andata alla parte alta della distribuzione del reddito. Ciò è vero in particolare per gli sconti sulle imposte sui carburanti, che hanno anche avuto il difetto di attenuare i segnali derivanti dai cambiamenti nei prezzi relativi</w:t>
      </w:r>
      <w:r w:rsidR="000C012D">
        <w:rPr>
          <w:rFonts w:ascii="Simoncini Garamond" w:hAnsi="Simoncini Garamond" w:cs="Times New Roman PS"/>
          <w:sz w:val="21"/>
          <w:szCs w:val="22"/>
        </w:rPr>
        <w:t xml:space="preserve">: per favorire la transizione energetica, è importante che i consumatori </w:t>
      </w:r>
      <w:r>
        <w:rPr>
          <w:rFonts w:ascii="Simoncini Garamond" w:hAnsi="Simoncini Garamond" w:cs="Times New Roman PS"/>
          <w:sz w:val="21"/>
          <w:szCs w:val="22"/>
        </w:rPr>
        <w:t xml:space="preserve">si rendano conto </w:t>
      </w:r>
      <w:r w:rsidR="000C012D">
        <w:rPr>
          <w:rFonts w:ascii="Simoncini Garamond" w:hAnsi="Simoncini Garamond" w:cs="Times New Roman PS"/>
          <w:sz w:val="21"/>
          <w:szCs w:val="22"/>
        </w:rPr>
        <w:t xml:space="preserve">che i prezzi relativi stanno cambiando in favore delle fonti energetiche pulite. </w:t>
      </w:r>
    </w:p>
    <w:p w14:paraId="623D469C" w14:textId="77777777" w:rsidR="00BF2F85" w:rsidRDefault="00BF2F85" w:rsidP="00BF2F85">
      <w:pPr>
        <w:rPr>
          <w:rFonts w:ascii="Simoncini Garamond" w:hAnsi="Simoncini Garamond" w:cs="Times New Roman PS"/>
          <w:sz w:val="21"/>
          <w:szCs w:val="22"/>
        </w:rPr>
      </w:pPr>
    </w:p>
    <w:p w14:paraId="2BD9659F" w14:textId="77777777" w:rsidR="00333900" w:rsidRDefault="00333900" w:rsidP="0048293E">
      <w:pPr>
        <w:ind w:firstLine="360"/>
        <w:rPr>
          <w:rFonts w:ascii="Simoncini Garamond" w:hAnsi="Simoncini Garamond"/>
          <w:sz w:val="21"/>
        </w:rPr>
      </w:pPr>
    </w:p>
    <w:p w14:paraId="41B22C5F" w14:textId="05993ACB" w:rsidR="007C62F9" w:rsidRPr="00147F74" w:rsidRDefault="007C62F9" w:rsidP="00147F74">
      <w:pPr>
        <w:pStyle w:val="Paragrafoelenco"/>
        <w:numPr>
          <w:ilvl w:val="0"/>
          <w:numId w:val="1"/>
        </w:numPr>
        <w:rPr>
          <w:rFonts w:ascii="Simoncini Garamond" w:hAnsi="Simoncini Garamond"/>
          <w:i/>
          <w:sz w:val="21"/>
        </w:rPr>
      </w:pPr>
      <w:r w:rsidRPr="00147F74">
        <w:rPr>
          <w:rFonts w:ascii="Simoncini Garamond" w:hAnsi="Simoncini Garamond"/>
          <w:i/>
          <w:sz w:val="21"/>
        </w:rPr>
        <w:t xml:space="preserve">Il </w:t>
      </w:r>
      <w:r w:rsidR="006A5F52" w:rsidRPr="00147F74">
        <w:rPr>
          <w:rFonts w:ascii="Simoncini Garamond" w:hAnsi="Simoncini Garamond"/>
          <w:i/>
          <w:sz w:val="21"/>
        </w:rPr>
        <w:t>R</w:t>
      </w:r>
      <w:r w:rsidRPr="00147F74">
        <w:rPr>
          <w:rFonts w:ascii="Simoncini Garamond" w:hAnsi="Simoncini Garamond"/>
          <w:i/>
          <w:sz w:val="21"/>
        </w:rPr>
        <w:t>eddito di cittadinanza</w:t>
      </w:r>
    </w:p>
    <w:p w14:paraId="6B5D17BE" w14:textId="77777777" w:rsidR="007C62F9" w:rsidRPr="0048293E" w:rsidRDefault="007C62F9" w:rsidP="0048293E">
      <w:pPr>
        <w:ind w:firstLine="360"/>
        <w:rPr>
          <w:rFonts w:ascii="Simoncini Garamond" w:hAnsi="Simoncini Garamond"/>
          <w:sz w:val="21"/>
        </w:rPr>
      </w:pPr>
    </w:p>
    <w:p w14:paraId="4AA2E3EB" w14:textId="499A5879" w:rsidR="006A5F52" w:rsidRPr="00905EA7" w:rsidRDefault="006A5F52" w:rsidP="0048293E">
      <w:pPr>
        <w:ind w:firstLine="360"/>
        <w:rPr>
          <w:rFonts w:ascii="Simoncini Garamond" w:hAnsi="Simoncini Garamond" w:cs="Times New Roman PS"/>
          <w:sz w:val="21"/>
          <w:szCs w:val="22"/>
        </w:rPr>
      </w:pPr>
      <w:r w:rsidRPr="00905EA7">
        <w:rPr>
          <w:rFonts w:ascii="Simoncini Garamond" w:hAnsi="Simoncini Garamond" w:cs="Times New Roman PS"/>
          <w:sz w:val="21"/>
          <w:szCs w:val="22"/>
        </w:rPr>
        <w:t xml:space="preserve">Durante la campagna elettorale per le elezioni </w:t>
      </w:r>
      <w:r w:rsidR="00D66BD7">
        <w:rPr>
          <w:rFonts w:ascii="Simoncini Garamond" w:hAnsi="Simoncini Garamond" w:cs="Times New Roman PS"/>
          <w:sz w:val="21"/>
          <w:szCs w:val="22"/>
        </w:rPr>
        <w:t xml:space="preserve">di settembre </w:t>
      </w:r>
      <w:r w:rsidR="00E25A08" w:rsidRPr="00905EA7">
        <w:rPr>
          <w:rFonts w:ascii="Simoncini Garamond" w:hAnsi="Simoncini Garamond" w:cs="Times New Roman PS"/>
          <w:sz w:val="21"/>
          <w:szCs w:val="22"/>
        </w:rPr>
        <w:t>2022</w:t>
      </w:r>
      <w:r w:rsidRPr="00905EA7">
        <w:rPr>
          <w:rFonts w:ascii="Simoncini Garamond" w:hAnsi="Simoncini Garamond" w:cs="Times New Roman PS"/>
          <w:sz w:val="21"/>
          <w:szCs w:val="22"/>
        </w:rPr>
        <w:t xml:space="preserve"> la leader di Fratelli d’Italia aveva dichiarato più volte l’intenzione di rivedere in profondità </w:t>
      </w:r>
      <w:r w:rsidR="007540AC" w:rsidRPr="00905EA7">
        <w:rPr>
          <w:rFonts w:ascii="Simoncini Garamond" w:hAnsi="Simoncini Garamond" w:cs="Times New Roman PS"/>
          <w:sz w:val="21"/>
          <w:szCs w:val="22"/>
        </w:rPr>
        <w:t>il Reddito di cittadinanza (Rdc)</w:t>
      </w:r>
      <w:r w:rsidR="009300E5" w:rsidRPr="00905EA7">
        <w:rPr>
          <w:rFonts w:ascii="Simoncini Garamond" w:hAnsi="Simoncini Garamond" w:cs="Times New Roman PS"/>
          <w:sz w:val="21"/>
          <w:szCs w:val="22"/>
        </w:rPr>
        <w:t xml:space="preserve"> in caso di vittoria</w:t>
      </w:r>
      <w:r w:rsidR="00E25A08" w:rsidRPr="00905EA7">
        <w:rPr>
          <w:rFonts w:ascii="Simoncini Garamond" w:hAnsi="Simoncini Garamond" w:cs="Times New Roman PS"/>
          <w:sz w:val="21"/>
          <w:szCs w:val="22"/>
        </w:rPr>
        <w:t xml:space="preserve">. In un intervento tenuto il 20 settembre 2022, ad esempio, individuò il difetto principale del Rdc nel mettere sullo stesso piano poveri </w:t>
      </w:r>
      <w:r w:rsidR="009300E5" w:rsidRPr="00905EA7">
        <w:rPr>
          <w:rFonts w:ascii="Simoncini Garamond" w:hAnsi="Simoncini Garamond" w:cs="Times New Roman PS"/>
          <w:sz w:val="21"/>
          <w:szCs w:val="22"/>
        </w:rPr>
        <w:t xml:space="preserve">che hanno possibilità </w:t>
      </w:r>
      <w:r w:rsidR="00E25A08" w:rsidRPr="00905EA7">
        <w:rPr>
          <w:rFonts w:ascii="Simoncini Garamond" w:hAnsi="Simoncini Garamond" w:cs="Times New Roman PS"/>
          <w:sz w:val="21"/>
          <w:szCs w:val="22"/>
        </w:rPr>
        <w:t>molto diverse di svolgere un lavoro</w:t>
      </w:r>
      <w:r w:rsidR="00DD5202" w:rsidRPr="00905EA7">
        <w:rPr>
          <w:rFonts w:ascii="Simoncini Garamond" w:hAnsi="Simoncini Garamond" w:cs="Times New Roman PS"/>
          <w:sz w:val="21"/>
          <w:szCs w:val="22"/>
        </w:rPr>
        <w:t xml:space="preserve">: </w:t>
      </w:r>
      <w:r w:rsidR="00D66BD7">
        <w:rPr>
          <w:rFonts w:ascii="Simoncini Garamond" w:hAnsi="Simoncini Garamond" w:cs="Times New Roman PS"/>
          <w:sz w:val="21"/>
          <w:szCs w:val="22"/>
        </w:rPr>
        <w:t xml:space="preserve">è </w:t>
      </w:r>
      <w:r w:rsidR="00DD5202" w:rsidRPr="00905EA7">
        <w:rPr>
          <w:rFonts w:ascii="Simoncini Garamond" w:hAnsi="Simoncini Garamond" w:cs="Times New Roman PS"/>
          <w:sz w:val="21"/>
          <w:szCs w:val="22"/>
        </w:rPr>
        <w:t>giusto continuare a proteggere i più fragili, mentre chi è in condizione di lavorare deve essere aiutato a trovare un posto di lavoro</w:t>
      </w:r>
      <w:r w:rsidR="009300E5" w:rsidRPr="00905EA7">
        <w:rPr>
          <w:rFonts w:ascii="Simoncini Garamond" w:hAnsi="Simoncini Garamond" w:cs="Times New Roman PS"/>
          <w:sz w:val="21"/>
          <w:szCs w:val="22"/>
        </w:rPr>
        <w:t xml:space="preserve">, anche fornendo incentivi alle aziende che li assumono. In effetti la legge di bilancio per il 2023 e </w:t>
      </w:r>
      <w:r w:rsidR="00D66BD7">
        <w:rPr>
          <w:rFonts w:ascii="Simoncini Garamond" w:hAnsi="Simoncini Garamond" w:cs="Times New Roman PS"/>
          <w:sz w:val="21"/>
          <w:szCs w:val="22"/>
        </w:rPr>
        <w:t xml:space="preserve">il decreto lavoro del </w:t>
      </w:r>
      <w:r w:rsidR="00F55C8A">
        <w:rPr>
          <w:rFonts w:ascii="Simoncini Garamond" w:hAnsi="Simoncini Garamond" w:cs="Times New Roman PS"/>
          <w:sz w:val="21"/>
          <w:szCs w:val="22"/>
        </w:rPr>
        <w:t xml:space="preserve">4 </w:t>
      </w:r>
      <w:r w:rsidR="00D66BD7">
        <w:rPr>
          <w:rFonts w:ascii="Simoncini Garamond" w:hAnsi="Simoncini Garamond" w:cs="Times New Roman PS"/>
          <w:sz w:val="21"/>
          <w:szCs w:val="22"/>
        </w:rPr>
        <w:t xml:space="preserve">maggio 2023 (n. 48/2023) </w:t>
      </w:r>
      <w:r w:rsidR="009300E5" w:rsidRPr="00905EA7">
        <w:rPr>
          <w:rFonts w:ascii="Simoncini Garamond" w:hAnsi="Simoncini Garamond" w:cs="Times New Roman PS"/>
          <w:sz w:val="21"/>
          <w:szCs w:val="22"/>
        </w:rPr>
        <w:t xml:space="preserve">seguono fedelmente queste dichiarazioni, come vedremo tra breve. Iniziamo però presentando alcune evidenze relative all’esperienza del Rdc. </w:t>
      </w:r>
    </w:p>
    <w:p w14:paraId="491EFA2E" w14:textId="3E5EAF0E" w:rsidR="009300E5" w:rsidRDefault="009300E5" w:rsidP="009300E5">
      <w:pPr>
        <w:rPr>
          <w:rFonts w:ascii="Simoncini Garamond" w:hAnsi="Simoncini Garamond"/>
          <w:sz w:val="21"/>
        </w:rPr>
      </w:pPr>
    </w:p>
    <w:p w14:paraId="516E6F85" w14:textId="77777777" w:rsidR="00FB3231" w:rsidRDefault="00FB3231" w:rsidP="009300E5">
      <w:pPr>
        <w:rPr>
          <w:rFonts w:ascii="Simoncini Garamond" w:hAnsi="Simoncini Garamond"/>
          <w:sz w:val="21"/>
        </w:rPr>
      </w:pPr>
    </w:p>
    <w:p w14:paraId="2FB396C5" w14:textId="787D9ECD" w:rsidR="009300E5" w:rsidRPr="00905EA7" w:rsidRDefault="00561204" w:rsidP="009300E5">
      <w:pPr>
        <w:rPr>
          <w:rFonts w:ascii="Simoncini Garamond" w:hAnsi="Simoncini Garamond"/>
          <w:i/>
          <w:iCs/>
          <w:sz w:val="21"/>
        </w:rPr>
      </w:pPr>
      <w:r>
        <w:rPr>
          <w:rFonts w:ascii="Simoncini Garamond" w:hAnsi="Simoncini Garamond"/>
          <w:i/>
          <w:iCs/>
          <w:sz w:val="21"/>
        </w:rPr>
        <w:t>4</w:t>
      </w:r>
      <w:r w:rsidR="009300E5" w:rsidRPr="00905EA7">
        <w:rPr>
          <w:rFonts w:ascii="Simoncini Garamond" w:hAnsi="Simoncini Garamond"/>
          <w:i/>
          <w:iCs/>
          <w:sz w:val="21"/>
        </w:rPr>
        <w:t xml:space="preserve">.1 Il Rdc dalle origini </w:t>
      </w:r>
      <w:r w:rsidR="00905EA7">
        <w:rPr>
          <w:rFonts w:ascii="Simoncini Garamond" w:hAnsi="Simoncini Garamond"/>
          <w:i/>
          <w:iCs/>
          <w:sz w:val="21"/>
        </w:rPr>
        <w:t>ai primi mesi del 2023</w:t>
      </w:r>
    </w:p>
    <w:p w14:paraId="45ADC2F5" w14:textId="77777777" w:rsidR="006A5F52" w:rsidRPr="00905EA7" w:rsidRDefault="006A5F52" w:rsidP="0048293E">
      <w:pPr>
        <w:ind w:firstLine="360"/>
        <w:rPr>
          <w:rFonts w:ascii="Simoncini Garamond" w:hAnsi="Simoncini Garamond" w:cs="Times New Roman PS"/>
          <w:sz w:val="21"/>
          <w:szCs w:val="22"/>
        </w:rPr>
      </w:pPr>
    </w:p>
    <w:p w14:paraId="436C2800" w14:textId="345A85E0" w:rsidR="00DD5259" w:rsidRPr="00905EA7" w:rsidRDefault="00905EA7" w:rsidP="00FA4B11">
      <w:pPr>
        <w:ind w:firstLine="360"/>
        <w:rPr>
          <w:rFonts w:ascii="Simoncini Garamond" w:hAnsi="Simoncini Garamond" w:cs="Times New Roman PS"/>
          <w:sz w:val="21"/>
          <w:szCs w:val="22"/>
        </w:rPr>
      </w:pPr>
      <w:r w:rsidRPr="00905EA7">
        <w:rPr>
          <w:rFonts w:ascii="Simoncini Garamond" w:hAnsi="Simoncini Garamond" w:cs="Times New Roman PS"/>
          <w:sz w:val="21"/>
          <w:szCs w:val="22"/>
        </w:rPr>
        <w:lastRenderedPageBreak/>
        <w:t xml:space="preserve"> </w:t>
      </w:r>
      <w:r w:rsidR="00DD5259" w:rsidRPr="00905EA7">
        <w:rPr>
          <w:rFonts w:ascii="Simoncini Garamond" w:hAnsi="Simoncini Garamond" w:cs="Times New Roman PS"/>
          <w:sz w:val="21"/>
          <w:szCs w:val="22"/>
        </w:rPr>
        <w:t>Il numero di nuclei percettori del Rdc</w:t>
      </w:r>
      <w:r w:rsidR="00DD5259" w:rsidRPr="00D66BD7">
        <w:rPr>
          <w:rFonts w:ascii="Calibri" w:hAnsi="Calibri" w:cs="Times New Roman PS"/>
          <w:szCs w:val="22"/>
          <w:vertAlign w:val="superscript"/>
        </w:rPr>
        <w:footnoteReference w:id="5"/>
      </w:r>
      <w:r w:rsidR="00DD5259" w:rsidRPr="00905EA7">
        <w:rPr>
          <w:rFonts w:ascii="Simoncini Garamond" w:hAnsi="Simoncini Garamond" w:cs="Times New Roman PS"/>
          <w:sz w:val="21"/>
          <w:szCs w:val="22"/>
        </w:rPr>
        <w:t xml:space="preserve">, dopo la sua introduzione nel mese di aprile 2019, è rapidamente cresciuto </w:t>
      </w:r>
      <w:r w:rsidR="00D66BD7">
        <w:rPr>
          <w:rFonts w:ascii="Simoncini Garamond" w:hAnsi="Simoncini Garamond" w:cs="Times New Roman PS"/>
          <w:sz w:val="21"/>
          <w:szCs w:val="22"/>
        </w:rPr>
        <w:t xml:space="preserve">nel tempo </w:t>
      </w:r>
      <w:r w:rsidR="00DD5259" w:rsidRPr="00905EA7">
        <w:rPr>
          <w:rFonts w:ascii="Simoncini Garamond" w:hAnsi="Simoncini Garamond" w:cs="Times New Roman PS"/>
          <w:sz w:val="21"/>
          <w:szCs w:val="22"/>
        </w:rPr>
        <w:t xml:space="preserve">dapprima per la fisiologica entrata a regime della misura, ma poi soprattutto a causa dell’incremento dei tassi di povertà causati dalla pandemia e dai </w:t>
      </w:r>
      <w:r w:rsidR="00DD5259" w:rsidRPr="008E7416">
        <w:rPr>
          <w:rFonts w:ascii="Simoncini Garamond" w:hAnsi="Simoncini Garamond" w:cs="Times New Roman PS"/>
          <w:i/>
          <w:sz w:val="21"/>
          <w:szCs w:val="22"/>
        </w:rPr>
        <w:t>lockdown</w:t>
      </w:r>
      <w:r w:rsidR="00DD5259" w:rsidRPr="00905EA7">
        <w:rPr>
          <w:rFonts w:ascii="Simoncini Garamond" w:hAnsi="Simoncini Garamond" w:cs="Times New Roman PS"/>
          <w:sz w:val="21"/>
          <w:szCs w:val="22"/>
        </w:rPr>
        <w:t xml:space="preserve">. Il 2021 segna la sua massima diffusione, con circa 1,4 milioni di nuclei percettori in ciascuno dei mesi della seconda parte dell’anno. Poi nel corso del 2022 il numero delle famiglie beneficiarie scende a circa 1,2 milioni, prima di un ulteriore calo nei primi mesi del 2023. Si notano nella figura </w:t>
      </w:r>
      <w:r w:rsidR="00AA436C">
        <w:rPr>
          <w:rFonts w:ascii="Simoncini Garamond" w:hAnsi="Simoncini Garamond" w:cs="Times New Roman PS"/>
          <w:sz w:val="21"/>
          <w:szCs w:val="22"/>
        </w:rPr>
        <w:t>1</w:t>
      </w:r>
      <w:r w:rsidR="00DF60D1">
        <w:rPr>
          <w:rFonts w:ascii="Simoncini Garamond" w:hAnsi="Simoncini Garamond" w:cs="Times New Roman PS"/>
          <w:sz w:val="21"/>
          <w:szCs w:val="22"/>
        </w:rPr>
        <w:t xml:space="preserve"> </w:t>
      </w:r>
      <w:r w:rsidR="00DD5259" w:rsidRPr="00905EA7">
        <w:rPr>
          <w:rFonts w:ascii="Simoncini Garamond" w:hAnsi="Simoncini Garamond" w:cs="Times New Roman PS"/>
          <w:sz w:val="21"/>
          <w:szCs w:val="22"/>
        </w:rPr>
        <w:t>le riduzioni dovute alla scadenza della misura ogni 18 mesi, con un periodo di attesa di almeno un mese per una nuova richiesta. La minore diffusione della misura durante il 2022 può essere stata causata da diversi motivi, tra i quali il rimbalzo economic</w:t>
      </w:r>
      <w:r w:rsidR="00DF60D1">
        <w:rPr>
          <w:rFonts w:ascii="Simoncini Garamond" w:hAnsi="Simoncini Garamond" w:cs="Times New Roman PS"/>
          <w:sz w:val="21"/>
          <w:szCs w:val="22"/>
        </w:rPr>
        <w:t>o</w:t>
      </w:r>
      <w:r w:rsidR="00DD5259" w:rsidRPr="00905EA7">
        <w:rPr>
          <w:rFonts w:ascii="Simoncini Garamond" w:hAnsi="Simoncini Garamond" w:cs="Times New Roman PS"/>
          <w:sz w:val="21"/>
          <w:szCs w:val="22"/>
        </w:rPr>
        <w:t xml:space="preserve"> all’uscita dalla pandemia, la maggiore severità nei controlli, alcune </w:t>
      </w:r>
      <w:r w:rsidR="001567A9" w:rsidRPr="00905EA7">
        <w:rPr>
          <w:rFonts w:ascii="Simoncini Garamond" w:hAnsi="Simoncini Garamond" w:cs="Times New Roman PS"/>
          <w:sz w:val="21"/>
          <w:szCs w:val="22"/>
        </w:rPr>
        <w:t xml:space="preserve">modifiche in senso restrittivo introdotte nella disciplina dello strumento dalla legge di bilancio per il 2022. La tab. </w:t>
      </w:r>
      <w:r w:rsidR="00D85959">
        <w:rPr>
          <w:rFonts w:ascii="Simoncini Garamond" w:hAnsi="Simoncini Garamond" w:cs="Times New Roman PS"/>
          <w:sz w:val="21"/>
          <w:szCs w:val="22"/>
        </w:rPr>
        <w:t>2</w:t>
      </w:r>
      <w:r w:rsidR="001567A9" w:rsidRPr="00905EA7">
        <w:rPr>
          <w:rFonts w:ascii="Simoncini Garamond" w:hAnsi="Simoncini Garamond" w:cs="Times New Roman PS"/>
          <w:sz w:val="21"/>
          <w:szCs w:val="22"/>
        </w:rPr>
        <w:t xml:space="preserve">, che confronta i percettori del Rdc di inizio 2021 con quelli di fine 2022, ci dice che questa riduzione non è stata omogenea sul territorio nazionale, </w:t>
      </w:r>
      <w:r w:rsidR="00DF60D1">
        <w:rPr>
          <w:rFonts w:ascii="Simoncini Garamond" w:hAnsi="Simoncini Garamond" w:cs="Times New Roman PS"/>
          <w:sz w:val="21"/>
          <w:szCs w:val="22"/>
        </w:rPr>
        <w:t xml:space="preserve">avendo avuto </w:t>
      </w:r>
      <w:r w:rsidR="001567A9" w:rsidRPr="00905EA7">
        <w:rPr>
          <w:rFonts w:ascii="Simoncini Garamond" w:hAnsi="Simoncini Garamond" w:cs="Times New Roman PS"/>
          <w:sz w:val="21"/>
          <w:szCs w:val="22"/>
        </w:rPr>
        <w:t xml:space="preserve">intensità ben maggiore nelle regioni </w:t>
      </w:r>
      <w:r w:rsidR="00635D02" w:rsidRPr="00905EA7">
        <w:rPr>
          <w:rFonts w:ascii="Simoncini Garamond" w:hAnsi="Simoncini Garamond" w:cs="Times New Roman PS"/>
          <w:sz w:val="21"/>
          <w:szCs w:val="22"/>
        </w:rPr>
        <w:t>settentrionali. Non abbiamo ancora dati sulla variazione dell’incidenza della povertà nel 2022 nelle diverse aree geografiche, ma queste differenze possono indicare che le conseguenze della ripresa economica sull</w:t>
      </w:r>
      <w:r w:rsidR="00DF60D1">
        <w:rPr>
          <w:rFonts w:ascii="Simoncini Garamond" w:hAnsi="Simoncini Garamond" w:cs="Times New Roman PS"/>
          <w:sz w:val="21"/>
          <w:szCs w:val="22"/>
        </w:rPr>
        <w:t>’incidenza della</w:t>
      </w:r>
      <w:r w:rsidR="00635D02" w:rsidRPr="00905EA7">
        <w:rPr>
          <w:rFonts w:ascii="Simoncini Garamond" w:hAnsi="Simoncini Garamond" w:cs="Times New Roman PS"/>
          <w:sz w:val="21"/>
          <w:szCs w:val="22"/>
        </w:rPr>
        <w:t xml:space="preserve"> povertà </w:t>
      </w:r>
      <w:r w:rsidR="00DF60D1">
        <w:rPr>
          <w:rFonts w:ascii="Simoncini Garamond" w:hAnsi="Simoncini Garamond" w:cs="Times New Roman PS"/>
          <w:sz w:val="21"/>
          <w:szCs w:val="22"/>
        </w:rPr>
        <w:t xml:space="preserve">potrebbero essere </w:t>
      </w:r>
      <w:r w:rsidR="00635D02" w:rsidRPr="00905EA7">
        <w:rPr>
          <w:rFonts w:ascii="Simoncini Garamond" w:hAnsi="Simoncini Garamond" w:cs="Times New Roman PS"/>
          <w:sz w:val="21"/>
          <w:szCs w:val="22"/>
        </w:rPr>
        <w:t xml:space="preserve">state molto forti nel Nord, </w:t>
      </w:r>
      <w:r w:rsidRPr="00905EA7">
        <w:rPr>
          <w:rFonts w:ascii="Simoncini Garamond" w:hAnsi="Simoncini Garamond" w:cs="Times New Roman PS"/>
          <w:sz w:val="21"/>
          <w:szCs w:val="22"/>
        </w:rPr>
        <w:t>minori</w:t>
      </w:r>
      <w:r w:rsidR="00635D02" w:rsidRPr="00905EA7">
        <w:rPr>
          <w:rFonts w:ascii="Simoncini Garamond" w:hAnsi="Simoncini Garamond" w:cs="Times New Roman PS"/>
          <w:sz w:val="21"/>
          <w:szCs w:val="22"/>
        </w:rPr>
        <w:t xml:space="preserve"> nel Centro e </w:t>
      </w:r>
      <w:r w:rsidR="00DF60D1">
        <w:rPr>
          <w:rFonts w:ascii="Simoncini Garamond" w:hAnsi="Simoncini Garamond" w:cs="Times New Roman PS"/>
          <w:sz w:val="21"/>
          <w:szCs w:val="22"/>
        </w:rPr>
        <w:t xml:space="preserve">modeste </w:t>
      </w:r>
      <w:r w:rsidR="00635D02" w:rsidRPr="00905EA7">
        <w:rPr>
          <w:rFonts w:ascii="Simoncini Garamond" w:hAnsi="Simoncini Garamond" w:cs="Times New Roman PS"/>
          <w:sz w:val="21"/>
          <w:szCs w:val="22"/>
        </w:rPr>
        <w:t xml:space="preserve">al Sud. Campania e Sicilia, le due regioni </w:t>
      </w:r>
      <w:r w:rsidR="00DF60D1">
        <w:rPr>
          <w:rFonts w:ascii="Simoncini Garamond" w:hAnsi="Simoncini Garamond" w:cs="Times New Roman PS"/>
          <w:sz w:val="21"/>
          <w:szCs w:val="22"/>
        </w:rPr>
        <w:t xml:space="preserve">in cui </w:t>
      </w:r>
      <w:r w:rsidR="00635D02" w:rsidRPr="00905EA7">
        <w:rPr>
          <w:rFonts w:ascii="Simoncini Garamond" w:hAnsi="Simoncini Garamond" w:cs="Times New Roman PS"/>
          <w:sz w:val="21"/>
          <w:szCs w:val="22"/>
        </w:rPr>
        <w:t xml:space="preserve">si trova circa il 40% del totale dei nuclei con Rdc, sono anche quelle che registrano la minore riduzione percentuale nella diffusione della misura. </w:t>
      </w:r>
    </w:p>
    <w:p w14:paraId="4EFA2960" w14:textId="77777777" w:rsidR="001567A9" w:rsidRPr="00905EA7" w:rsidRDefault="001567A9" w:rsidP="00DD5259">
      <w:pPr>
        <w:rPr>
          <w:rFonts w:ascii="Simoncini Garamond" w:hAnsi="Simoncini Garamond" w:cs="Times New Roman PS"/>
          <w:sz w:val="21"/>
          <w:szCs w:val="22"/>
        </w:rPr>
      </w:pPr>
    </w:p>
    <w:p w14:paraId="430A18BC" w14:textId="77777777" w:rsidR="009300E5" w:rsidRDefault="009300E5" w:rsidP="0048293E">
      <w:pPr>
        <w:ind w:firstLine="360"/>
        <w:rPr>
          <w:rFonts w:ascii="Simoncini Garamond" w:hAnsi="Simoncini Garamond"/>
          <w:sz w:val="21"/>
        </w:rPr>
      </w:pPr>
    </w:p>
    <w:p w14:paraId="0A595AB6" w14:textId="78B8BE5C" w:rsidR="007E5894" w:rsidRDefault="009300E5" w:rsidP="00375085">
      <w:pPr>
        <w:rPr>
          <w:rFonts w:ascii="Simoncini Garamond" w:hAnsi="Simoncini Garamond" w:cs="Times New Roman PS"/>
          <w:sz w:val="21"/>
          <w:szCs w:val="22"/>
        </w:rPr>
      </w:pPr>
      <w:r>
        <w:rPr>
          <w:rFonts w:ascii="Simoncini Garamond" w:hAnsi="Simoncini Garamond" w:cs="Times New Roman PS"/>
          <w:sz w:val="21"/>
          <w:szCs w:val="22"/>
        </w:rPr>
        <w:t xml:space="preserve"> </w:t>
      </w:r>
      <w:r w:rsidR="001C5878">
        <w:rPr>
          <w:rFonts w:ascii="Simoncini Garamond" w:hAnsi="Simoncini Garamond" w:cs="Times New Roman PS"/>
          <w:sz w:val="21"/>
          <w:szCs w:val="22"/>
        </w:rPr>
        <w:t>Fig. 1</w:t>
      </w:r>
      <w:r w:rsidR="009B4400">
        <w:rPr>
          <w:rFonts w:ascii="Simoncini Garamond" w:hAnsi="Simoncini Garamond" w:cs="Times New Roman PS"/>
          <w:sz w:val="21"/>
          <w:szCs w:val="22"/>
        </w:rPr>
        <w:t xml:space="preserve">. </w:t>
      </w:r>
      <w:r w:rsidR="001C5878">
        <w:rPr>
          <w:rFonts w:ascii="Simoncini Garamond" w:hAnsi="Simoncini Garamond" w:cs="Times New Roman PS"/>
          <w:sz w:val="21"/>
          <w:szCs w:val="22"/>
        </w:rPr>
        <w:t xml:space="preserve">Numero </w:t>
      </w:r>
      <w:r w:rsidR="00FA4B11">
        <w:rPr>
          <w:rFonts w:ascii="Simoncini Garamond" w:hAnsi="Simoncini Garamond" w:cs="Times New Roman PS"/>
          <w:sz w:val="21"/>
          <w:szCs w:val="22"/>
        </w:rPr>
        <w:t xml:space="preserve">dei </w:t>
      </w:r>
      <w:r w:rsidR="00317C8E">
        <w:rPr>
          <w:rFonts w:ascii="Simoncini Garamond" w:hAnsi="Simoncini Garamond" w:cs="Times New Roman PS"/>
          <w:sz w:val="21"/>
          <w:szCs w:val="22"/>
        </w:rPr>
        <w:t>nuclei</w:t>
      </w:r>
      <w:r w:rsidR="00FA4B11">
        <w:rPr>
          <w:rFonts w:ascii="Simoncini Garamond" w:hAnsi="Simoncini Garamond" w:cs="Times New Roman PS"/>
          <w:sz w:val="21"/>
          <w:szCs w:val="22"/>
        </w:rPr>
        <w:t xml:space="preserve"> </w:t>
      </w:r>
      <w:r w:rsidR="001C5878">
        <w:rPr>
          <w:rFonts w:ascii="Simoncini Garamond" w:hAnsi="Simoncini Garamond" w:cs="Times New Roman PS"/>
          <w:sz w:val="21"/>
          <w:szCs w:val="22"/>
        </w:rPr>
        <w:t>percettori di Rdc o Pdc da aprile 2019 a febbraio 2023</w:t>
      </w:r>
    </w:p>
    <w:p w14:paraId="1926BA7D" w14:textId="01E197C7" w:rsidR="001C5878" w:rsidRDefault="001C5878" w:rsidP="00375085">
      <w:pPr>
        <w:rPr>
          <w:rFonts w:ascii="Simoncini Garamond" w:hAnsi="Simoncini Garamond" w:cs="Times New Roman PS"/>
          <w:sz w:val="21"/>
          <w:szCs w:val="22"/>
        </w:rPr>
      </w:pPr>
      <w:r>
        <w:rPr>
          <w:rFonts w:ascii="Simoncini Garamond" w:hAnsi="Simoncini Garamond" w:cs="Times New Roman PS"/>
          <w:noProof/>
          <w:sz w:val="21"/>
          <w:szCs w:val="22"/>
        </w:rPr>
        <w:lastRenderedPageBreak/>
        <w:drawing>
          <wp:inline distT="0" distB="0" distL="0" distR="0" wp14:anchorId="46885455" wp14:editId="640F3E5D">
            <wp:extent cx="3881120" cy="2174240"/>
            <wp:effectExtent l="0" t="0" r="5080" b="16510"/>
            <wp:docPr id="1445238918"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09BA89D" w14:textId="01DB4CEE" w:rsidR="001C5878" w:rsidRDefault="00F55C8A" w:rsidP="00375085">
      <w:pPr>
        <w:rPr>
          <w:rFonts w:ascii="Simoncini Garamond" w:hAnsi="Simoncini Garamond" w:cs="Times New Roman PS"/>
          <w:sz w:val="21"/>
          <w:szCs w:val="22"/>
        </w:rPr>
      </w:pPr>
      <w:r>
        <w:rPr>
          <w:rFonts w:ascii="Simoncini Garamond" w:hAnsi="Simoncini Garamond" w:cs="Times New Roman PS"/>
          <w:sz w:val="21"/>
          <w:szCs w:val="22"/>
        </w:rPr>
        <w:t>Fonte: Osservatorio Inps sul Rdc</w:t>
      </w:r>
    </w:p>
    <w:p w14:paraId="5BEC9F26" w14:textId="77777777" w:rsidR="001C5878" w:rsidRDefault="001C5878" w:rsidP="00375085">
      <w:pPr>
        <w:rPr>
          <w:rFonts w:ascii="Simoncini Garamond" w:hAnsi="Simoncini Garamond" w:cs="Times New Roman PS"/>
          <w:sz w:val="21"/>
          <w:szCs w:val="22"/>
        </w:rPr>
      </w:pPr>
    </w:p>
    <w:p w14:paraId="68A0FFEB" w14:textId="77777777" w:rsidR="001C5878" w:rsidRDefault="001C5878" w:rsidP="00375085">
      <w:pPr>
        <w:rPr>
          <w:rFonts w:ascii="Simoncini Garamond" w:hAnsi="Simoncini Garamond" w:cs="Times New Roman PS"/>
          <w:sz w:val="21"/>
          <w:szCs w:val="22"/>
        </w:rPr>
      </w:pPr>
    </w:p>
    <w:p w14:paraId="6698F54A" w14:textId="77777777" w:rsidR="001C5878" w:rsidRDefault="001C5878" w:rsidP="00375085">
      <w:pPr>
        <w:rPr>
          <w:rFonts w:ascii="Simoncini Garamond" w:hAnsi="Simoncini Garamond" w:cs="Times New Roman PS"/>
          <w:sz w:val="21"/>
          <w:szCs w:val="22"/>
        </w:rPr>
      </w:pPr>
    </w:p>
    <w:p w14:paraId="492E9874" w14:textId="77777777" w:rsidR="001C5878" w:rsidRDefault="001C5878" w:rsidP="00375085">
      <w:pPr>
        <w:rPr>
          <w:rFonts w:ascii="Simoncini Garamond" w:hAnsi="Simoncini Garamond" w:cs="Times New Roman PS"/>
          <w:sz w:val="21"/>
          <w:szCs w:val="22"/>
        </w:rPr>
      </w:pPr>
    </w:p>
    <w:p w14:paraId="35139D7D" w14:textId="7E1A0366" w:rsidR="001C5878" w:rsidRDefault="001C5878" w:rsidP="00375085">
      <w:pPr>
        <w:rPr>
          <w:rFonts w:ascii="Simoncini Garamond" w:hAnsi="Simoncini Garamond" w:cs="Times New Roman PS"/>
          <w:sz w:val="21"/>
          <w:szCs w:val="22"/>
        </w:rPr>
      </w:pPr>
      <w:r>
        <w:rPr>
          <w:rFonts w:ascii="Simoncini Garamond" w:hAnsi="Simoncini Garamond" w:cs="Times New Roman PS"/>
          <w:sz w:val="21"/>
          <w:szCs w:val="22"/>
        </w:rPr>
        <w:t xml:space="preserve">Tab. </w:t>
      </w:r>
      <w:r w:rsidR="00D85959">
        <w:rPr>
          <w:rFonts w:ascii="Simoncini Garamond" w:hAnsi="Simoncini Garamond" w:cs="Times New Roman PS"/>
          <w:sz w:val="21"/>
          <w:szCs w:val="22"/>
        </w:rPr>
        <w:t>2</w:t>
      </w:r>
      <w:r w:rsidR="009B4400">
        <w:rPr>
          <w:rFonts w:ascii="Simoncini Garamond" w:hAnsi="Simoncini Garamond" w:cs="Times New Roman PS"/>
          <w:sz w:val="21"/>
          <w:szCs w:val="22"/>
        </w:rPr>
        <w:t>.</w:t>
      </w:r>
      <w:r>
        <w:rPr>
          <w:rFonts w:ascii="Simoncini Garamond" w:hAnsi="Simoncini Garamond" w:cs="Times New Roman PS"/>
          <w:sz w:val="21"/>
          <w:szCs w:val="22"/>
        </w:rPr>
        <w:t xml:space="preserve"> Numero</w:t>
      </w:r>
      <w:r w:rsidR="00635D02">
        <w:rPr>
          <w:rFonts w:ascii="Simoncini Garamond" w:hAnsi="Simoncini Garamond" w:cs="Times New Roman PS"/>
          <w:sz w:val="21"/>
          <w:szCs w:val="22"/>
        </w:rPr>
        <w:t xml:space="preserve"> dei</w:t>
      </w:r>
      <w:r>
        <w:rPr>
          <w:rFonts w:ascii="Simoncini Garamond" w:hAnsi="Simoncini Garamond" w:cs="Times New Roman PS"/>
          <w:sz w:val="21"/>
          <w:szCs w:val="22"/>
        </w:rPr>
        <w:t xml:space="preserve"> nuclei percettori di Rdc </w:t>
      </w:r>
      <w:r w:rsidR="001567A9">
        <w:rPr>
          <w:rFonts w:ascii="Simoncini Garamond" w:hAnsi="Simoncini Garamond" w:cs="Times New Roman PS"/>
          <w:sz w:val="21"/>
          <w:szCs w:val="22"/>
        </w:rPr>
        <w:t xml:space="preserve">nei mesi di </w:t>
      </w:r>
      <w:r>
        <w:rPr>
          <w:rFonts w:ascii="Simoncini Garamond" w:hAnsi="Simoncini Garamond" w:cs="Times New Roman PS"/>
          <w:sz w:val="21"/>
          <w:szCs w:val="22"/>
        </w:rPr>
        <w:t xml:space="preserve">gennaio 2021 e </w:t>
      </w:r>
      <w:r w:rsidR="001567A9">
        <w:rPr>
          <w:rFonts w:ascii="Simoncini Garamond" w:hAnsi="Simoncini Garamond" w:cs="Times New Roman PS"/>
          <w:sz w:val="21"/>
          <w:szCs w:val="22"/>
        </w:rPr>
        <w:t xml:space="preserve">di </w:t>
      </w:r>
      <w:r>
        <w:rPr>
          <w:rFonts w:ascii="Simoncini Garamond" w:hAnsi="Simoncini Garamond" w:cs="Times New Roman PS"/>
          <w:sz w:val="21"/>
          <w:szCs w:val="22"/>
        </w:rPr>
        <w:t>dicembre 2022</w:t>
      </w:r>
    </w:p>
    <w:p w14:paraId="354758CA" w14:textId="77777777" w:rsidR="001C5878" w:rsidRDefault="001C5878" w:rsidP="00375085">
      <w:pPr>
        <w:rPr>
          <w:rFonts w:ascii="Simoncini Garamond" w:hAnsi="Simoncini Garamond" w:cs="Times New Roman PS"/>
          <w:sz w:val="21"/>
          <w:szCs w:val="22"/>
        </w:rPr>
      </w:pPr>
    </w:p>
    <w:tbl>
      <w:tblPr>
        <w:tblW w:w="5000" w:type="pct"/>
        <w:tblCellMar>
          <w:left w:w="70" w:type="dxa"/>
          <w:right w:w="70" w:type="dxa"/>
        </w:tblCellMar>
        <w:tblLook w:val="04A0" w:firstRow="1" w:lastRow="0" w:firstColumn="1" w:lastColumn="0" w:noHBand="0" w:noVBand="1"/>
      </w:tblPr>
      <w:tblGrid>
        <w:gridCol w:w="2306"/>
        <w:gridCol w:w="1058"/>
        <w:gridCol w:w="1206"/>
        <w:gridCol w:w="1083"/>
      </w:tblGrid>
      <w:tr w:rsidR="001C5878" w:rsidRPr="001C5878" w14:paraId="48DF4D5C" w14:textId="77777777" w:rsidTr="00F55C8A">
        <w:trPr>
          <w:trHeight w:val="276"/>
        </w:trPr>
        <w:tc>
          <w:tcPr>
            <w:tcW w:w="2039" w:type="pct"/>
            <w:tcBorders>
              <w:top w:val="single" w:sz="4" w:space="0" w:color="auto"/>
              <w:left w:val="nil"/>
              <w:bottom w:val="single" w:sz="4" w:space="0" w:color="auto"/>
              <w:right w:val="nil"/>
            </w:tcBorders>
            <w:shd w:val="clear" w:color="auto" w:fill="auto"/>
            <w:noWrap/>
            <w:vAlign w:val="center"/>
            <w:hideMark/>
          </w:tcPr>
          <w:p w14:paraId="29FDCC55" w14:textId="77777777" w:rsidR="001C5878" w:rsidRPr="001C5878" w:rsidRDefault="001C5878" w:rsidP="001C5878">
            <w:pPr>
              <w:spacing w:line="240" w:lineRule="auto"/>
              <w:jc w:val="left"/>
              <w:rPr>
                <w:rFonts w:asciiTheme="minorHAnsi" w:hAnsiTheme="minorHAnsi" w:cstheme="minorHAnsi"/>
                <w:sz w:val="16"/>
                <w:szCs w:val="16"/>
              </w:rPr>
            </w:pPr>
          </w:p>
        </w:tc>
        <w:tc>
          <w:tcPr>
            <w:tcW w:w="936" w:type="pct"/>
            <w:tcBorders>
              <w:top w:val="single" w:sz="4" w:space="0" w:color="auto"/>
              <w:left w:val="nil"/>
              <w:bottom w:val="single" w:sz="4" w:space="0" w:color="auto"/>
              <w:right w:val="nil"/>
            </w:tcBorders>
            <w:shd w:val="clear" w:color="auto" w:fill="auto"/>
            <w:noWrap/>
            <w:vAlign w:val="center"/>
            <w:hideMark/>
          </w:tcPr>
          <w:p w14:paraId="089496B3" w14:textId="68507586" w:rsidR="001C5878" w:rsidRPr="001C5878" w:rsidRDefault="001C5878" w:rsidP="001C5878">
            <w:pPr>
              <w:spacing w:line="240" w:lineRule="auto"/>
              <w:jc w:val="center"/>
              <w:rPr>
                <w:rFonts w:asciiTheme="minorHAnsi" w:hAnsiTheme="minorHAnsi" w:cstheme="minorHAnsi"/>
                <w:color w:val="000000"/>
                <w:sz w:val="16"/>
                <w:szCs w:val="16"/>
              </w:rPr>
            </w:pPr>
            <w:r>
              <w:rPr>
                <w:rFonts w:asciiTheme="minorHAnsi" w:hAnsiTheme="minorHAnsi" w:cstheme="minorHAnsi"/>
                <w:color w:val="000000"/>
                <w:sz w:val="16"/>
                <w:szCs w:val="16"/>
              </w:rPr>
              <w:t>Gennaio 2021</w:t>
            </w:r>
          </w:p>
        </w:tc>
        <w:tc>
          <w:tcPr>
            <w:tcW w:w="1067" w:type="pct"/>
            <w:tcBorders>
              <w:top w:val="single" w:sz="4" w:space="0" w:color="auto"/>
              <w:left w:val="nil"/>
              <w:bottom w:val="single" w:sz="4" w:space="0" w:color="auto"/>
              <w:right w:val="nil"/>
            </w:tcBorders>
            <w:shd w:val="clear" w:color="auto" w:fill="auto"/>
            <w:noWrap/>
            <w:vAlign w:val="center"/>
            <w:hideMark/>
          </w:tcPr>
          <w:p w14:paraId="4765FEE2" w14:textId="3A8CC283" w:rsidR="001C5878" w:rsidRPr="001C5878" w:rsidRDefault="00F75285" w:rsidP="001C5878">
            <w:pPr>
              <w:spacing w:line="240" w:lineRule="auto"/>
              <w:jc w:val="center"/>
              <w:rPr>
                <w:rFonts w:asciiTheme="minorHAnsi" w:hAnsiTheme="minorHAnsi" w:cstheme="minorHAnsi"/>
                <w:color w:val="000000"/>
                <w:sz w:val="16"/>
                <w:szCs w:val="16"/>
              </w:rPr>
            </w:pPr>
            <w:r>
              <w:rPr>
                <w:rFonts w:asciiTheme="minorHAnsi" w:hAnsiTheme="minorHAnsi" w:cstheme="minorHAnsi"/>
                <w:color w:val="000000"/>
                <w:sz w:val="16"/>
                <w:szCs w:val="16"/>
              </w:rPr>
              <w:t>Dicembre</w:t>
            </w:r>
            <w:r w:rsidR="001C5878">
              <w:rPr>
                <w:rFonts w:asciiTheme="minorHAnsi" w:hAnsiTheme="minorHAnsi" w:cstheme="minorHAnsi"/>
                <w:color w:val="000000"/>
                <w:sz w:val="16"/>
                <w:szCs w:val="16"/>
              </w:rPr>
              <w:t xml:space="preserve"> 2022</w:t>
            </w:r>
          </w:p>
        </w:tc>
        <w:tc>
          <w:tcPr>
            <w:tcW w:w="959" w:type="pct"/>
            <w:tcBorders>
              <w:top w:val="single" w:sz="4" w:space="0" w:color="auto"/>
              <w:left w:val="nil"/>
              <w:bottom w:val="single" w:sz="4" w:space="0" w:color="auto"/>
              <w:right w:val="nil"/>
            </w:tcBorders>
            <w:shd w:val="clear" w:color="auto" w:fill="auto"/>
            <w:noWrap/>
            <w:vAlign w:val="center"/>
            <w:hideMark/>
          </w:tcPr>
          <w:p w14:paraId="2EF0043C" w14:textId="7B2B794C" w:rsidR="001C5878" w:rsidRPr="001C5878" w:rsidRDefault="00F55C8A" w:rsidP="001C5878">
            <w:pPr>
              <w:spacing w:line="240" w:lineRule="auto"/>
              <w:jc w:val="right"/>
              <w:rPr>
                <w:rFonts w:asciiTheme="minorHAnsi" w:hAnsiTheme="minorHAnsi" w:cstheme="minorHAnsi"/>
                <w:color w:val="000000"/>
                <w:sz w:val="16"/>
                <w:szCs w:val="16"/>
              </w:rPr>
            </w:pPr>
            <w:r>
              <w:rPr>
                <w:rFonts w:asciiTheme="minorHAnsi" w:hAnsiTheme="minorHAnsi" w:cstheme="minorHAnsi"/>
                <w:color w:val="000000"/>
                <w:sz w:val="16"/>
                <w:szCs w:val="16"/>
              </w:rPr>
              <w:t>Var. %</w:t>
            </w:r>
          </w:p>
        </w:tc>
      </w:tr>
      <w:tr w:rsidR="001C5878" w:rsidRPr="001C5878" w14:paraId="1C9D91B4" w14:textId="77777777" w:rsidTr="00F55C8A">
        <w:trPr>
          <w:trHeight w:val="252"/>
        </w:trPr>
        <w:tc>
          <w:tcPr>
            <w:tcW w:w="2039" w:type="pct"/>
            <w:tcBorders>
              <w:top w:val="single" w:sz="4" w:space="0" w:color="auto"/>
              <w:left w:val="nil"/>
              <w:bottom w:val="nil"/>
              <w:right w:val="nil"/>
            </w:tcBorders>
            <w:shd w:val="clear" w:color="auto" w:fill="auto"/>
            <w:vAlign w:val="center"/>
            <w:hideMark/>
          </w:tcPr>
          <w:p w14:paraId="39A79AEA"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Piemonte</w:t>
            </w:r>
          </w:p>
        </w:tc>
        <w:tc>
          <w:tcPr>
            <w:tcW w:w="936" w:type="pct"/>
            <w:tcBorders>
              <w:top w:val="single" w:sz="4" w:space="0" w:color="auto"/>
              <w:left w:val="nil"/>
              <w:bottom w:val="nil"/>
              <w:right w:val="nil"/>
            </w:tcBorders>
            <w:shd w:val="clear" w:color="auto" w:fill="auto"/>
            <w:vAlign w:val="center"/>
            <w:hideMark/>
          </w:tcPr>
          <w:p w14:paraId="6DEECA56"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68,224 </w:t>
            </w:r>
          </w:p>
        </w:tc>
        <w:tc>
          <w:tcPr>
            <w:tcW w:w="1067" w:type="pct"/>
            <w:tcBorders>
              <w:top w:val="single" w:sz="4" w:space="0" w:color="auto"/>
              <w:left w:val="nil"/>
              <w:bottom w:val="nil"/>
              <w:right w:val="nil"/>
            </w:tcBorders>
            <w:shd w:val="clear" w:color="auto" w:fill="auto"/>
            <w:vAlign w:val="center"/>
            <w:hideMark/>
          </w:tcPr>
          <w:p w14:paraId="7CD54272"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58,771 </w:t>
            </w:r>
          </w:p>
        </w:tc>
        <w:tc>
          <w:tcPr>
            <w:tcW w:w="959" w:type="pct"/>
            <w:tcBorders>
              <w:top w:val="single" w:sz="4" w:space="0" w:color="auto"/>
              <w:left w:val="nil"/>
              <w:bottom w:val="nil"/>
              <w:right w:val="nil"/>
            </w:tcBorders>
            <w:shd w:val="clear" w:color="auto" w:fill="auto"/>
            <w:noWrap/>
            <w:vAlign w:val="center"/>
            <w:hideMark/>
          </w:tcPr>
          <w:p w14:paraId="1C62FD56"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-14%</w:t>
            </w:r>
          </w:p>
        </w:tc>
      </w:tr>
      <w:tr w:rsidR="001C5878" w:rsidRPr="001C5878" w14:paraId="6BE50BF7" w14:textId="77777777" w:rsidTr="00F55C8A">
        <w:trPr>
          <w:trHeight w:val="252"/>
        </w:trPr>
        <w:tc>
          <w:tcPr>
            <w:tcW w:w="2039" w:type="pct"/>
            <w:tcBorders>
              <w:top w:val="nil"/>
              <w:left w:val="nil"/>
              <w:bottom w:val="nil"/>
              <w:right w:val="nil"/>
            </w:tcBorders>
            <w:shd w:val="clear" w:color="auto" w:fill="auto"/>
            <w:vAlign w:val="center"/>
            <w:hideMark/>
          </w:tcPr>
          <w:p w14:paraId="63EB687A" w14:textId="58DBFC53"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Valle d'Aosta</w:t>
            </w:r>
          </w:p>
        </w:tc>
        <w:tc>
          <w:tcPr>
            <w:tcW w:w="936" w:type="pct"/>
            <w:tcBorders>
              <w:top w:val="nil"/>
              <w:left w:val="nil"/>
              <w:bottom w:val="nil"/>
              <w:right w:val="nil"/>
            </w:tcBorders>
            <w:shd w:val="clear" w:color="auto" w:fill="auto"/>
            <w:vAlign w:val="center"/>
            <w:hideMark/>
          </w:tcPr>
          <w:p w14:paraId="5913F21A"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1,002 </w:t>
            </w:r>
          </w:p>
        </w:tc>
        <w:tc>
          <w:tcPr>
            <w:tcW w:w="1067" w:type="pct"/>
            <w:tcBorders>
              <w:top w:val="nil"/>
              <w:left w:val="nil"/>
              <w:bottom w:val="nil"/>
              <w:right w:val="nil"/>
            </w:tcBorders>
            <w:shd w:val="clear" w:color="auto" w:fill="auto"/>
            <w:vAlign w:val="center"/>
            <w:hideMark/>
          </w:tcPr>
          <w:p w14:paraId="6D3BAADB"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832 </w:t>
            </w:r>
          </w:p>
        </w:tc>
        <w:tc>
          <w:tcPr>
            <w:tcW w:w="959" w:type="pct"/>
            <w:tcBorders>
              <w:top w:val="nil"/>
              <w:left w:val="nil"/>
              <w:bottom w:val="nil"/>
              <w:right w:val="nil"/>
            </w:tcBorders>
            <w:shd w:val="clear" w:color="auto" w:fill="auto"/>
            <w:noWrap/>
            <w:vAlign w:val="center"/>
            <w:hideMark/>
          </w:tcPr>
          <w:p w14:paraId="2516847A"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-17%</w:t>
            </w:r>
          </w:p>
        </w:tc>
      </w:tr>
      <w:tr w:rsidR="001C5878" w:rsidRPr="001C5878" w14:paraId="05E069D6" w14:textId="77777777" w:rsidTr="00F55C8A">
        <w:trPr>
          <w:trHeight w:val="252"/>
        </w:trPr>
        <w:tc>
          <w:tcPr>
            <w:tcW w:w="2039" w:type="pct"/>
            <w:tcBorders>
              <w:top w:val="nil"/>
              <w:left w:val="nil"/>
              <w:bottom w:val="nil"/>
              <w:right w:val="nil"/>
            </w:tcBorders>
            <w:shd w:val="clear" w:color="auto" w:fill="auto"/>
            <w:vAlign w:val="center"/>
            <w:hideMark/>
          </w:tcPr>
          <w:p w14:paraId="4D090627"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Lombardia</w:t>
            </w:r>
          </w:p>
        </w:tc>
        <w:tc>
          <w:tcPr>
            <w:tcW w:w="936" w:type="pct"/>
            <w:tcBorders>
              <w:top w:val="nil"/>
              <w:left w:val="nil"/>
              <w:bottom w:val="nil"/>
              <w:right w:val="nil"/>
            </w:tcBorders>
            <w:shd w:val="clear" w:color="auto" w:fill="auto"/>
            <w:vAlign w:val="center"/>
            <w:hideMark/>
          </w:tcPr>
          <w:p w14:paraId="6E3DF715"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106,380 </w:t>
            </w:r>
          </w:p>
        </w:tc>
        <w:tc>
          <w:tcPr>
            <w:tcW w:w="1067" w:type="pct"/>
            <w:tcBorders>
              <w:top w:val="nil"/>
              <w:left w:val="nil"/>
              <w:bottom w:val="nil"/>
              <w:right w:val="nil"/>
            </w:tcBorders>
            <w:shd w:val="clear" w:color="auto" w:fill="auto"/>
            <w:vAlign w:val="center"/>
            <w:hideMark/>
          </w:tcPr>
          <w:p w14:paraId="5A3CD69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81,115 </w:t>
            </w:r>
          </w:p>
        </w:tc>
        <w:tc>
          <w:tcPr>
            <w:tcW w:w="959" w:type="pct"/>
            <w:tcBorders>
              <w:top w:val="nil"/>
              <w:left w:val="nil"/>
              <w:bottom w:val="nil"/>
              <w:right w:val="nil"/>
            </w:tcBorders>
            <w:shd w:val="clear" w:color="auto" w:fill="auto"/>
            <w:noWrap/>
            <w:vAlign w:val="center"/>
            <w:hideMark/>
          </w:tcPr>
          <w:p w14:paraId="6B004EEA"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-24%</w:t>
            </w:r>
          </w:p>
        </w:tc>
      </w:tr>
      <w:tr w:rsidR="001C5878" w:rsidRPr="001C5878" w14:paraId="69D7FE75" w14:textId="77777777" w:rsidTr="00F55C8A">
        <w:trPr>
          <w:trHeight w:val="252"/>
        </w:trPr>
        <w:tc>
          <w:tcPr>
            <w:tcW w:w="2039" w:type="pct"/>
            <w:tcBorders>
              <w:top w:val="nil"/>
              <w:left w:val="nil"/>
              <w:bottom w:val="nil"/>
              <w:right w:val="nil"/>
            </w:tcBorders>
            <w:shd w:val="clear" w:color="auto" w:fill="auto"/>
            <w:vAlign w:val="center"/>
            <w:hideMark/>
          </w:tcPr>
          <w:p w14:paraId="0D48EFEA" w14:textId="7A4D7ED6"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Trentino-Alto Adige</w:t>
            </w:r>
          </w:p>
        </w:tc>
        <w:tc>
          <w:tcPr>
            <w:tcW w:w="936" w:type="pct"/>
            <w:tcBorders>
              <w:top w:val="nil"/>
              <w:left w:val="nil"/>
              <w:bottom w:val="nil"/>
              <w:right w:val="nil"/>
            </w:tcBorders>
            <w:shd w:val="clear" w:color="auto" w:fill="auto"/>
            <w:vAlign w:val="center"/>
            <w:hideMark/>
          </w:tcPr>
          <w:p w14:paraId="4228AE30"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3,690 </w:t>
            </w:r>
          </w:p>
        </w:tc>
        <w:tc>
          <w:tcPr>
            <w:tcW w:w="1067" w:type="pct"/>
            <w:tcBorders>
              <w:top w:val="nil"/>
              <w:left w:val="nil"/>
              <w:bottom w:val="nil"/>
              <w:right w:val="nil"/>
            </w:tcBorders>
            <w:shd w:val="clear" w:color="auto" w:fill="auto"/>
            <w:vAlign w:val="center"/>
            <w:hideMark/>
          </w:tcPr>
          <w:p w14:paraId="2DAF3A89"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3,395 </w:t>
            </w:r>
          </w:p>
        </w:tc>
        <w:tc>
          <w:tcPr>
            <w:tcW w:w="959" w:type="pct"/>
            <w:tcBorders>
              <w:top w:val="nil"/>
              <w:left w:val="nil"/>
              <w:bottom w:val="nil"/>
              <w:right w:val="nil"/>
            </w:tcBorders>
            <w:shd w:val="clear" w:color="auto" w:fill="auto"/>
            <w:noWrap/>
            <w:vAlign w:val="center"/>
            <w:hideMark/>
          </w:tcPr>
          <w:p w14:paraId="36655E1B"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-8%</w:t>
            </w:r>
          </w:p>
        </w:tc>
      </w:tr>
      <w:tr w:rsidR="001C5878" w:rsidRPr="001C5878" w14:paraId="4D72A626" w14:textId="77777777" w:rsidTr="00F55C8A">
        <w:trPr>
          <w:trHeight w:val="252"/>
        </w:trPr>
        <w:tc>
          <w:tcPr>
            <w:tcW w:w="2039" w:type="pct"/>
            <w:tcBorders>
              <w:top w:val="nil"/>
              <w:left w:val="nil"/>
              <w:bottom w:val="nil"/>
              <w:right w:val="nil"/>
            </w:tcBorders>
            <w:shd w:val="clear" w:color="auto" w:fill="auto"/>
            <w:vAlign w:val="center"/>
            <w:hideMark/>
          </w:tcPr>
          <w:p w14:paraId="1E49C7BE"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Veneto</w:t>
            </w:r>
          </w:p>
        </w:tc>
        <w:tc>
          <w:tcPr>
            <w:tcW w:w="936" w:type="pct"/>
            <w:tcBorders>
              <w:top w:val="nil"/>
              <w:left w:val="nil"/>
              <w:bottom w:val="nil"/>
              <w:right w:val="nil"/>
            </w:tcBorders>
            <w:shd w:val="clear" w:color="auto" w:fill="auto"/>
            <w:noWrap/>
            <w:vAlign w:val="center"/>
            <w:hideMark/>
          </w:tcPr>
          <w:p w14:paraId="0F807375"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33,017 </w:t>
            </w:r>
          </w:p>
        </w:tc>
        <w:tc>
          <w:tcPr>
            <w:tcW w:w="1067" w:type="pct"/>
            <w:tcBorders>
              <w:top w:val="nil"/>
              <w:left w:val="nil"/>
              <w:bottom w:val="nil"/>
              <w:right w:val="nil"/>
            </w:tcBorders>
            <w:shd w:val="clear" w:color="auto" w:fill="auto"/>
            <w:noWrap/>
            <w:vAlign w:val="center"/>
            <w:hideMark/>
          </w:tcPr>
          <w:p w14:paraId="4DDA0228"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26,692 </w:t>
            </w:r>
          </w:p>
        </w:tc>
        <w:tc>
          <w:tcPr>
            <w:tcW w:w="959" w:type="pct"/>
            <w:tcBorders>
              <w:top w:val="nil"/>
              <w:left w:val="nil"/>
              <w:bottom w:val="nil"/>
              <w:right w:val="nil"/>
            </w:tcBorders>
            <w:shd w:val="clear" w:color="auto" w:fill="auto"/>
            <w:noWrap/>
            <w:vAlign w:val="center"/>
            <w:hideMark/>
          </w:tcPr>
          <w:p w14:paraId="3F918A47"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-19%</w:t>
            </w:r>
          </w:p>
        </w:tc>
      </w:tr>
      <w:tr w:rsidR="001C5878" w:rsidRPr="001C5878" w14:paraId="7A9189D7" w14:textId="77777777" w:rsidTr="00F55C8A">
        <w:trPr>
          <w:trHeight w:val="252"/>
        </w:trPr>
        <w:tc>
          <w:tcPr>
            <w:tcW w:w="2039" w:type="pct"/>
            <w:tcBorders>
              <w:top w:val="nil"/>
              <w:left w:val="nil"/>
              <w:bottom w:val="nil"/>
              <w:right w:val="nil"/>
            </w:tcBorders>
            <w:shd w:val="clear" w:color="auto" w:fill="auto"/>
            <w:vAlign w:val="center"/>
            <w:hideMark/>
          </w:tcPr>
          <w:p w14:paraId="425CF046"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Friuli-Venezia Giulia</w:t>
            </w:r>
          </w:p>
        </w:tc>
        <w:tc>
          <w:tcPr>
            <w:tcW w:w="936" w:type="pct"/>
            <w:tcBorders>
              <w:top w:val="nil"/>
              <w:left w:val="nil"/>
              <w:bottom w:val="nil"/>
              <w:right w:val="nil"/>
            </w:tcBorders>
            <w:shd w:val="clear" w:color="auto" w:fill="auto"/>
            <w:noWrap/>
            <w:vAlign w:val="center"/>
            <w:hideMark/>
          </w:tcPr>
          <w:p w14:paraId="027A7990"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11,032 </w:t>
            </w:r>
          </w:p>
        </w:tc>
        <w:tc>
          <w:tcPr>
            <w:tcW w:w="1067" w:type="pct"/>
            <w:tcBorders>
              <w:top w:val="nil"/>
              <w:left w:val="nil"/>
              <w:bottom w:val="nil"/>
              <w:right w:val="nil"/>
            </w:tcBorders>
            <w:shd w:val="clear" w:color="auto" w:fill="auto"/>
            <w:noWrap/>
            <w:vAlign w:val="center"/>
            <w:hideMark/>
          </w:tcPr>
          <w:p w14:paraId="2F962B68"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9,525 </w:t>
            </w:r>
          </w:p>
        </w:tc>
        <w:tc>
          <w:tcPr>
            <w:tcW w:w="959" w:type="pct"/>
            <w:tcBorders>
              <w:top w:val="nil"/>
              <w:left w:val="nil"/>
              <w:bottom w:val="nil"/>
              <w:right w:val="nil"/>
            </w:tcBorders>
            <w:shd w:val="clear" w:color="auto" w:fill="auto"/>
            <w:noWrap/>
            <w:vAlign w:val="center"/>
            <w:hideMark/>
          </w:tcPr>
          <w:p w14:paraId="2F0C0110"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-14%</w:t>
            </w:r>
          </w:p>
        </w:tc>
      </w:tr>
      <w:tr w:rsidR="001C5878" w:rsidRPr="001C5878" w14:paraId="2CBF564C" w14:textId="77777777" w:rsidTr="00F55C8A">
        <w:trPr>
          <w:trHeight w:val="252"/>
        </w:trPr>
        <w:tc>
          <w:tcPr>
            <w:tcW w:w="2039" w:type="pct"/>
            <w:tcBorders>
              <w:top w:val="nil"/>
              <w:left w:val="nil"/>
              <w:bottom w:val="nil"/>
              <w:right w:val="nil"/>
            </w:tcBorders>
            <w:shd w:val="clear" w:color="auto" w:fill="auto"/>
            <w:vAlign w:val="center"/>
            <w:hideMark/>
          </w:tcPr>
          <w:p w14:paraId="3C6204CD"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Liguria</w:t>
            </w:r>
          </w:p>
        </w:tc>
        <w:tc>
          <w:tcPr>
            <w:tcW w:w="936" w:type="pct"/>
            <w:tcBorders>
              <w:top w:val="nil"/>
              <w:left w:val="nil"/>
              <w:bottom w:val="nil"/>
              <w:right w:val="nil"/>
            </w:tcBorders>
            <w:shd w:val="clear" w:color="auto" w:fill="auto"/>
            <w:noWrap/>
            <w:vAlign w:val="center"/>
            <w:hideMark/>
          </w:tcPr>
          <w:p w14:paraId="175F0484"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26,277 </w:t>
            </w:r>
          </w:p>
        </w:tc>
        <w:tc>
          <w:tcPr>
            <w:tcW w:w="1067" w:type="pct"/>
            <w:tcBorders>
              <w:top w:val="nil"/>
              <w:left w:val="nil"/>
              <w:bottom w:val="nil"/>
              <w:right w:val="nil"/>
            </w:tcBorders>
            <w:shd w:val="clear" w:color="auto" w:fill="auto"/>
            <w:noWrap/>
            <w:vAlign w:val="center"/>
            <w:hideMark/>
          </w:tcPr>
          <w:p w14:paraId="333CFFD7"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21,114 </w:t>
            </w:r>
          </w:p>
        </w:tc>
        <w:tc>
          <w:tcPr>
            <w:tcW w:w="959" w:type="pct"/>
            <w:tcBorders>
              <w:top w:val="nil"/>
              <w:left w:val="nil"/>
              <w:bottom w:val="nil"/>
              <w:right w:val="nil"/>
            </w:tcBorders>
            <w:shd w:val="clear" w:color="auto" w:fill="auto"/>
            <w:noWrap/>
            <w:vAlign w:val="center"/>
            <w:hideMark/>
          </w:tcPr>
          <w:p w14:paraId="462FA44F"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-20%</w:t>
            </w:r>
          </w:p>
        </w:tc>
      </w:tr>
      <w:tr w:rsidR="001C5878" w:rsidRPr="001C5878" w14:paraId="673BB196" w14:textId="77777777" w:rsidTr="00F55C8A">
        <w:trPr>
          <w:trHeight w:val="252"/>
        </w:trPr>
        <w:tc>
          <w:tcPr>
            <w:tcW w:w="2039" w:type="pct"/>
            <w:tcBorders>
              <w:top w:val="nil"/>
              <w:left w:val="nil"/>
              <w:bottom w:val="nil"/>
              <w:right w:val="nil"/>
            </w:tcBorders>
            <w:shd w:val="clear" w:color="auto" w:fill="auto"/>
            <w:vAlign w:val="center"/>
            <w:hideMark/>
          </w:tcPr>
          <w:p w14:paraId="435E7528"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Emilia-Romagna</w:t>
            </w:r>
          </w:p>
        </w:tc>
        <w:tc>
          <w:tcPr>
            <w:tcW w:w="936" w:type="pct"/>
            <w:tcBorders>
              <w:top w:val="nil"/>
              <w:left w:val="nil"/>
              <w:bottom w:val="nil"/>
              <w:right w:val="nil"/>
            </w:tcBorders>
            <w:shd w:val="clear" w:color="auto" w:fill="auto"/>
            <w:noWrap/>
            <w:vAlign w:val="center"/>
            <w:hideMark/>
          </w:tcPr>
          <w:p w14:paraId="19C1475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38,728 </w:t>
            </w:r>
          </w:p>
        </w:tc>
        <w:tc>
          <w:tcPr>
            <w:tcW w:w="1067" w:type="pct"/>
            <w:tcBorders>
              <w:top w:val="nil"/>
              <w:left w:val="nil"/>
              <w:bottom w:val="nil"/>
              <w:right w:val="nil"/>
            </w:tcBorders>
            <w:shd w:val="clear" w:color="auto" w:fill="auto"/>
            <w:noWrap/>
            <w:vAlign w:val="center"/>
            <w:hideMark/>
          </w:tcPr>
          <w:p w14:paraId="26D9A25A"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33,086 </w:t>
            </w:r>
          </w:p>
        </w:tc>
        <w:tc>
          <w:tcPr>
            <w:tcW w:w="959" w:type="pct"/>
            <w:tcBorders>
              <w:top w:val="nil"/>
              <w:left w:val="nil"/>
              <w:bottom w:val="nil"/>
              <w:right w:val="nil"/>
            </w:tcBorders>
            <w:shd w:val="clear" w:color="auto" w:fill="auto"/>
            <w:noWrap/>
            <w:vAlign w:val="center"/>
            <w:hideMark/>
          </w:tcPr>
          <w:p w14:paraId="06362BD1"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-15%</w:t>
            </w:r>
          </w:p>
        </w:tc>
      </w:tr>
      <w:tr w:rsidR="001C5878" w:rsidRPr="001C5878" w14:paraId="55E535C9" w14:textId="77777777" w:rsidTr="00F55C8A">
        <w:trPr>
          <w:trHeight w:val="252"/>
        </w:trPr>
        <w:tc>
          <w:tcPr>
            <w:tcW w:w="2039" w:type="pct"/>
            <w:tcBorders>
              <w:top w:val="nil"/>
              <w:left w:val="nil"/>
              <w:bottom w:val="nil"/>
              <w:right w:val="nil"/>
            </w:tcBorders>
            <w:shd w:val="clear" w:color="auto" w:fill="auto"/>
            <w:vAlign w:val="center"/>
            <w:hideMark/>
          </w:tcPr>
          <w:p w14:paraId="7818BE53"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Toscana</w:t>
            </w:r>
          </w:p>
        </w:tc>
        <w:tc>
          <w:tcPr>
            <w:tcW w:w="936" w:type="pct"/>
            <w:tcBorders>
              <w:top w:val="nil"/>
              <w:left w:val="nil"/>
              <w:bottom w:val="nil"/>
              <w:right w:val="nil"/>
            </w:tcBorders>
            <w:shd w:val="clear" w:color="auto" w:fill="auto"/>
            <w:vAlign w:val="center"/>
            <w:hideMark/>
          </w:tcPr>
          <w:p w14:paraId="684A7980"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41,680 </w:t>
            </w:r>
          </w:p>
        </w:tc>
        <w:tc>
          <w:tcPr>
            <w:tcW w:w="1067" w:type="pct"/>
            <w:tcBorders>
              <w:top w:val="nil"/>
              <w:left w:val="nil"/>
              <w:bottom w:val="nil"/>
              <w:right w:val="nil"/>
            </w:tcBorders>
            <w:shd w:val="clear" w:color="auto" w:fill="auto"/>
            <w:vAlign w:val="center"/>
            <w:hideMark/>
          </w:tcPr>
          <w:p w14:paraId="0C240D6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33,659 </w:t>
            </w:r>
          </w:p>
        </w:tc>
        <w:tc>
          <w:tcPr>
            <w:tcW w:w="959" w:type="pct"/>
            <w:tcBorders>
              <w:top w:val="nil"/>
              <w:left w:val="nil"/>
              <w:bottom w:val="nil"/>
              <w:right w:val="nil"/>
            </w:tcBorders>
            <w:shd w:val="clear" w:color="auto" w:fill="auto"/>
            <w:noWrap/>
            <w:vAlign w:val="center"/>
            <w:hideMark/>
          </w:tcPr>
          <w:p w14:paraId="5E21E89A"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-19%</w:t>
            </w:r>
          </w:p>
        </w:tc>
      </w:tr>
      <w:tr w:rsidR="001C5878" w:rsidRPr="001C5878" w14:paraId="4DAC5C16" w14:textId="77777777" w:rsidTr="00F55C8A">
        <w:trPr>
          <w:trHeight w:val="252"/>
        </w:trPr>
        <w:tc>
          <w:tcPr>
            <w:tcW w:w="2039" w:type="pct"/>
            <w:tcBorders>
              <w:top w:val="nil"/>
              <w:left w:val="nil"/>
              <w:bottom w:val="nil"/>
              <w:right w:val="nil"/>
            </w:tcBorders>
            <w:shd w:val="clear" w:color="auto" w:fill="auto"/>
            <w:vAlign w:val="center"/>
            <w:hideMark/>
          </w:tcPr>
          <w:p w14:paraId="554D31B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Umbria</w:t>
            </w:r>
          </w:p>
        </w:tc>
        <w:tc>
          <w:tcPr>
            <w:tcW w:w="936" w:type="pct"/>
            <w:tcBorders>
              <w:top w:val="nil"/>
              <w:left w:val="nil"/>
              <w:bottom w:val="nil"/>
              <w:right w:val="nil"/>
            </w:tcBorders>
            <w:shd w:val="clear" w:color="auto" w:fill="auto"/>
            <w:noWrap/>
            <w:vAlign w:val="center"/>
            <w:hideMark/>
          </w:tcPr>
          <w:p w14:paraId="0D782CB2"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12,324 </w:t>
            </w:r>
          </w:p>
        </w:tc>
        <w:tc>
          <w:tcPr>
            <w:tcW w:w="1067" w:type="pct"/>
            <w:tcBorders>
              <w:top w:val="nil"/>
              <w:left w:val="nil"/>
              <w:bottom w:val="nil"/>
              <w:right w:val="nil"/>
            </w:tcBorders>
            <w:shd w:val="clear" w:color="auto" w:fill="auto"/>
            <w:noWrap/>
            <w:vAlign w:val="center"/>
            <w:hideMark/>
          </w:tcPr>
          <w:p w14:paraId="56575086"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10,406 </w:t>
            </w:r>
          </w:p>
        </w:tc>
        <w:tc>
          <w:tcPr>
            <w:tcW w:w="959" w:type="pct"/>
            <w:tcBorders>
              <w:top w:val="nil"/>
              <w:left w:val="nil"/>
              <w:bottom w:val="nil"/>
              <w:right w:val="nil"/>
            </w:tcBorders>
            <w:shd w:val="clear" w:color="auto" w:fill="auto"/>
            <w:noWrap/>
            <w:vAlign w:val="center"/>
            <w:hideMark/>
          </w:tcPr>
          <w:p w14:paraId="6EB916CB"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-16%</w:t>
            </w:r>
          </w:p>
        </w:tc>
      </w:tr>
      <w:tr w:rsidR="001C5878" w:rsidRPr="001C5878" w14:paraId="554DD404" w14:textId="77777777" w:rsidTr="00F55C8A">
        <w:trPr>
          <w:trHeight w:val="252"/>
        </w:trPr>
        <w:tc>
          <w:tcPr>
            <w:tcW w:w="2039" w:type="pct"/>
            <w:tcBorders>
              <w:top w:val="nil"/>
              <w:left w:val="nil"/>
              <w:bottom w:val="nil"/>
              <w:right w:val="nil"/>
            </w:tcBorders>
            <w:shd w:val="clear" w:color="auto" w:fill="auto"/>
            <w:vAlign w:val="center"/>
            <w:hideMark/>
          </w:tcPr>
          <w:p w14:paraId="68559906"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Marche</w:t>
            </w:r>
          </w:p>
        </w:tc>
        <w:tc>
          <w:tcPr>
            <w:tcW w:w="936" w:type="pct"/>
            <w:tcBorders>
              <w:top w:val="nil"/>
              <w:left w:val="nil"/>
              <w:bottom w:val="nil"/>
              <w:right w:val="nil"/>
            </w:tcBorders>
            <w:shd w:val="clear" w:color="auto" w:fill="auto"/>
            <w:vAlign w:val="center"/>
            <w:hideMark/>
          </w:tcPr>
          <w:p w14:paraId="36DC5DA3"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16,273 </w:t>
            </w:r>
          </w:p>
        </w:tc>
        <w:tc>
          <w:tcPr>
            <w:tcW w:w="1067" w:type="pct"/>
            <w:tcBorders>
              <w:top w:val="nil"/>
              <w:left w:val="nil"/>
              <w:bottom w:val="nil"/>
              <w:right w:val="nil"/>
            </w:tcBorders>
            <w:shd w:val="clear" w:color="auto" w:fill="auto"/>
            <w:vAlign w:val="center"/>
            <w:hideMark/>
          </w:tcPr>
          <w:p w14:paraId="3F01039E"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13,037 </w:t>
            </w:r>
          </w:p>
        </w:tc>
        <w:tc>
          <w:tcPr>
            <w:tcW w:w="959" w:type="pct"/>
            <w:tcBorders>
              <w:top w:val="nil"/>
              <w:left w:val="nil"/>
              <w:bottom w:val="nil"/>
              <w:right w:val="nil"/>
            </w:tcBorders>
            <w:shd w:val="clear" w:color="auto" w:fill="auto"/>
            <w:noWrap/>
            <w:vAlign w:val="center"/>
            <w:hideMark/>
          </w:tcPr>
          <w:p w14:paraId="24F4903A"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-20%</w:t>
            </w:r>
          </w:p>
        </w:tc>
      </w:tr>
      <w:tr w:rsidR="001C5878" w:rsidRPr="001C5878" w14:paraId="71D0AF64" w14:textId="77777777" w:rsidTr="00F55C8A">
        <w:trPr>
          <w:trHeight w:val="252"/>
        </w:trPr>
        <w:tc>
          <w:tcPr>
            <w:tcW w:w="2039" w:type="pct"/>
            <w:tcBorders>
              <w:top w:val="nil"/>
              <w:left w:val="nil"/>
              <w:bottom w:val="nil"/>
              <w:right w:val="nil"/>
            </w:tcBorders>
            <w:shd w:val="clear" w:color="auto" w:fill="auto"/>
            <w:vAlign w:val="center"/>
            <w:hideMark/>
          </w:tcPr>
          <w:p w14:paraId="25CB7A37"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Lazio</w:t>
            </w:r>
          </w:p>
        </w:tc>
        <w:tc>
          <w:tcPr>
            <w:tcW w:w="936" w:type="pct"/>
            <w:tcBorders>
              <w:top w:val="nil"/>
              <w:left w:val="nil"/>
              <w:bottom w:val="nil"/>
              <w:right w:val="nil"/>
            </w:tcBorders>
            <w:shd w:val="clear" w:color="auto" w:fill="auto"/>
            <w:noWrap/>
            <w:vAlign w:val="center"/>
            <w:hideMark/>
          </w:tcPr>
          <w:p w14:paraId="0A1C64E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124,418 </w:t>
            </w:r>
          </w:p>
        </w:tc>
        <w:tc>
          <w:tcPr>
            <w:tcW w:w="1067" w:type="pct"/>
            <w:tcBorders>
              <w:top w:val="nil"/>
              <w:left w:val="nil"/>
              <w:bottom w:val="nil"/>
              <w:right w:val="nil"/>
            </w:tcBorders>
            <w:shd w:val="clear" w:color="auto" w:fill="auto"/>
            <w:noWrap/>
            <w:vAlign w:val="center"/>
            <w:hideMark/>
          </w:tcPr>
          <w:p w14:paraId="7E56B77E"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117,323 </w:t>
            </w:r>
          </w:p>
        </w:tc>
        <w:tc>
          <w:tcPr>
            <w:tcW w:w="959" w:type="pct"/>
            <w:tcBorders>
              <w:top w:val="nil"/>
              <w:left w:val="nil"/>
              <w:bottom w:val="nil"/>
              <w:right w:val="nil"/>
            </w:tcBorders>
            <w:shd w:val="clear" w:color="auto" w:fill="auto"/>
            <w:noWrap/>
            <w:vAlign w:val="center"/>
            <w:hideMark/>
          </w:tcPr>
          <w:p w14:paraId="5FCA5FF9"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-6%</w:t>
            </w:r>
          </w:p>
        </w:tc>
      </w:tr>
      <w:tr w:rsidR="001C5878" w:rsidRPr="001C5878" w14:paraId="7086900A" w14:textId="77777777" w:rsidTr="00F55C8A">
        <w:trPr>
          <w:trHeight w:val="252"/>
        </w:trPr>
        <w:tc>
          <w:tcPr>
            <w:tcW w:w="2039" w:type="pct"/>
            <w:tcBorders>
              <w:top w:val="nil"/>
              <w:left w:val="nil"/>
              <w:bottom w:val="nil"/>
              <w:right w:val="nil"/>
            </w:tcBorders>
            <w:shd w:val="clear" w:color="auto" w:fill="auto"/>
            <w:vAlign w:val="center"/>
            <w:hideMark/>
          </w:tcPr>
          <w:p w14:paraId="6DE58AA8"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Abruzzo</w:t>
            </w:r>
          </w:p>
        </w:tc>
        <w:tc>
          <w:tcPr>
            <w:tcW w:w="936" w:type="pct"/>
            <w:tcBorders>
              <w:top w:val="nil"/>
              <w:left w:val="nil"/>
              <w:bottom w:val="nil"/>
              <w:right w:val="nil"/>
            </w:tcBorders>
            <w:shd w:val="clear" w:color="auto" w:fill="auto"/>
            <w:noWrap/>
            <w:vAlign w:val="center"/>
            <w:hideMark/>
          </w:tcPr>
          <w:p w14:paraId="1A054EA3"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24,191 </w:t>
            </w:r>
          </w:p>
        </w:tc>
        <w:tc>
          <w:tcPr>
            <w:tcW w:w="1067" w:type="pct"/>
            <w:tcBorders>
              <w:top w:val="nil"/>
              <w:left w:val="nil"/>
              <w:bottom w:val="nil"/>
              <w:right w:val="nil"/>
            </w:tcBorders>
            <w:shd w:val="clear" w:color="auto" w:fill="auto"/>
            <w:noWrap/>
            <w:vAlign w:val="center"/>
            <w:hideMark/>
          </w:tcPr>
          <w:p w14:paraId="58A68394"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21,953 </w:t>
            </w:r>
          </w:p>
        </w:tc>
        <w:tc>
          <w:tcPr>
            <w:tcW w:w="959" w:type="pct"/>
            <w:tcBorders>
              <w:top w:val="nil"/>
              <w:left w:val="nil"/>
              <w:bottom w:val="nil"/>
              <w:right w:val="nil"/>
            </w:tcBorders>
            <w:shd w:val="clear" w:color="auto" w:fill="auto"/>
            <w:noWrap/>
            <w:vAlign w:val="center"/>
            <w:hideMark/>
          </w:tcPr>
          <w:p w14:paraId="07129FBB"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-9%</w:t>
            </w:r>
          </w:p>
        </w:tc>
      </w:tr>
      <w:tr w:rsidR="001C5878" w:rsidRPr="001C5878" w14:paraId="0C8721BE" w14:textId="77777777" w:rsidTr="00F55C8A">
        <w:trPr>
          <w:trHeight w:val="252"/>
        </w:trPr>
        <w:tc>
          <w:tcPr>
            <w:tcW w:w="2039" w:type="pct"/>
            <w:tcBorders>
              <w:top w:val="nil"/>
              <w:left w:val="nil"/>
              <w:bottom w:val="nil"/>
              <w:right w:val="nil"/>
            </w:tcBorders>
            <w:shd w:val="clear" w:color="auto" w:fill="auto"/>
            <w:vAlign w:val="center"/>
            <w:hideMark/>
          </w:tcPr>
          <w:p w14:paraId="7550B7EE"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Molise</w:t>
            </w:r>
          </w:p>
        </w:tc>
        <w:tc>
          <w:tcPr>
            <w:tcW w:w="936" w:type="pct"/>
            <w:tcBorders>
              <w:top w:val="nil"/>
              <w:left w:val="nil"/>
              <w:bottom w:val="nil"/>
              <w:right w:val="nil"/>
            </w:tcBorders>
            <w:shd w:val="clear" w:color="auto" w:fill="auto"/>
            <w:noWrap/>
            <w:vAlign w:val="center"/>
            <w:hideMark/>
          </w:tcPr>
          <w:p w14:paraId="34AD1FAC"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7,022 </w:t>
            </w:r>
          </w:p>
        </w:tc>
        <w:tc>
          <w:tcPr>
            <w:tcW w:w="1067" w:type="pct"/>
            <w:tcBorders>
              <w:top w:val="nil"/>
              <w:left w:val="nil"/>
              <w:bottom w:val="nil"/>
              <w:right w:val="nil"/>
            </w:tcBorders>
            <w:shd w:val="clear" w:color="auto" w:fill="auto"/>
            <w:noWrap/>
            <w:vAlign w:val="center"/>
            <w:hideMark/>
          </w:tcPr>
          <w:p w14:paraId="70A4C6D9"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6,047 </w:t>
            </w:r>
          </w:p>
        </w:tc>
        <w:tc>
          <w:tcPr>
            <w:tcW w:w="959" w:type="pct"/>
            <w:tcBorders>
              <w:top w:val="nil"/>
              <w:left w:val="nil"/>
              <w:bottom w:val="nil"/>
              <w:right w:val="nil"/>
            </w:tcBorders>
            <w:shd w:val="clear" w:color="auto" w:fill="auto"/>
            <w:noWrap/>
            <w:vAlign w:val="center"/>
            <w:hideMark/>
          </w:tcPr>
          <w:p w14:paraId="7C6D69F7"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-14%</w:t>
            </w:r>
          </w:p>
        </w:tc>
      </w:tr>
      <w:tr w:rsidR="001C5878" w:rsidRPr="001C5878" w14:paraId="1A461E9F" w14:textId="77777777" w:rsidTr="00F55C8A">
        <w:trPr>
          <w:trHeight w:val="252"/>
        </w:trPr>
        <w:tc>
          <w:tcPr>
            <w:tcW w:w="2039" w:type="pct"/>
            <w:tcBorders>
              <w:top w:val="nil"/>
              <w:left w:val="nil"/>
              <w:bottom w:val="nil"/>
              <w:right w:val="nil"/>
            </w:tcBorders>
            <w:shd w:val="clear" w:color="auto" w:fill="auto"/>
            <w:vAlign w:val="center"/>
            <w:hideMark/>
          </w:tcPr>
          <w:p w14:paraId="372636FD"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Campania</w:t>
            </w:r>
          </w:p>
        </w:tc>
        <w:tc>
          <w:tcPr>
            <w:tcW w:w="936" w:type="pct"/>
            <w:tcBorders>
              <w:top w:val="nil"/>
              <w:left w:val="nil"/>
              <w:bottom w:val="nil"/>
              <w:right w:val="nil"/>
            </w:tcBorders>
            <w:shd w:val="clear" w:color="auto" w:fill="auto"/>
            <w:noWrap/>
            <w:vAlign w:val="center"/>
            <w:hideMark/>
          </w:tcPr>
          <w:p w14:paraId="50184DE4"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265,598 </w:t>
            </w:r>
          </w:p>
        </w:tc>
        <w:tc>
          <w:tcPr>
            <w:tcW w:w="1067" w:type="pct"/>
            <w:tcBorders>
              <w:top w:val="nil"/>
              <w:left w:val="nil"/>
              <w:bottom w:val="nil"/>
              <w:right w:val="nil"/>
            </w:tcBorders>
            <w:shd w:val="clear" w:color="auto" w:fill="auto"/>
            <w:noWrap/>
            <w:vAlign w:val="center"/>
            <w:hideMark/>
          </w:tcPr>
          <w:p w14:paraId="4F7116B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259,254 </w:t>
            </w:r>
          </w:p>
        </w:tc>
        <w:tc>
          <w:tcPr>
            <w:tcW w:w="959" w:type="pct"/>
            <w:tcBorders>
              <w:top w:val="nil"/>
              <w:left w:val="nil"/>
              <w:bottom w:val="nil"/>
              <w:right w:val="nil"/>
            </w:tcBorders>
            <w:shd w:val="clear" w:color="auto" w:fill="auto"/>
            <w:noWrap/>
            <w:vAlign w:val="center"/>
            <w:hideMark/>
          </w:tcPr>
          <w:p w14:paraId="40806F99"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-2%</w:t>
            </w:r>
          </w:p>
        </w:tc>
      </w:tr>
      <w:tr w:rsidR="001C5878" w:rsidRPr="001C5878" w14:paraId="63705DBF" w14:textId="77777777" w:rsidTr="00F55C8A">
        <w:trPr>
          <w:trHeight w:val="252"/>
        </w:trPr>
        <w:tc>
          <w:tcPr>
            <w:tcW w:w="2039" w:type="pct"/>
            <w:tcBorders>
              <w:top w:val="nil"/>
              <w:left w:val="nil"/>
              <w:bottom w:val="nil"/>
              <w:right w:val="nil"/>
            </w:tcBorders>
            <w:shd w:val="clear" w:color="auto" w:fill="auto"/>
            <w:vAlign w:val="center"/>
            <w:hideMark/>
          </w:tcPr>
          <w:p w14:paraId="0F116BAB"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lastRenderedPageBreak/>
              <w:t>Puglia</w:t>
            </w:r>
          </w:p>
        </w:tc>
        <w:tc>
          <w:tcPr>
            <w:tcW w:w="936" w:type="pct"/>
            <w:tcBorders>
              <w:top w:val="nil"/>
              <w:left w:val="nil"/>
              <w:bottom w:val="nil"/>
              <w:right w:val="nil"/>
            </w:tcBorders>
            <w:shd w:val="clear" w:color="auto" w:fill="auto"/>
            <w:noWrap/>
            <w:vAlign w:val="center"/>
            <w:hideMark/>
          </w:tcPr>
          <w:p w14:paraId="2A5C318D"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115,007 </w:t>
            </w:r>
          </w:p>
        </w:tc>
        <w:tc>
          <w:tcPr>
            <w:tcW w:w="1067" w:type="pct"/>
            <w:tcBorders>
              <w:top w:val="nil"/>
              <w:left w:val="nil"/>
              <w:bottom w:val="nil"/>
              <w:right w:val="nil"/>
            </w:tcBorders>
            <w:shd w:val="clear" w:color="auto" w:fill="auto"/>
            <w:noWrap/>
            <w:vAlign w:val="center"/>
            <w:hideMark/>
          </w:tcPr>
          <w:p w14:paraId="2DE5AB1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110,262 </w:t>
            </w:r>
          </w:p>
        </w:tc>
        <w:tc>
          <w:tcPr>
            <w:tcW w:w="959" w:type="pct"/>
            <w:tcBorders>
              <w:top w:val="nil"/>
              <w:left w:val="nil"/>
              <w:bottom w:val="nil"/>
              <w:right w:val="nil"/>
            </w:tcBorders>
            <w:shd w:val="clear" w:color="auto" w:fill="auto"/>
            <w:noWrap/>
            <w:vAlign w:val="center"/>
            <w:hideMark/>
          </w:tcPr>
          <w:p w14:paraId="5EE07188"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-4%</w:t>
            </w:r>
          </w:p>
        </w:tc>
      </w:tr>
      <w:tr w:rsidR="001C5878" w:rsidRPr="001C5878" w14:paraId="25D41D7B" w14:textId="77777777" w:rsidTr="00F55C8A">
        <w:trPr>
          <w:trHeight w:val="252"/>
        </w:trPr>
        <w:tc>
          <w:tcPr>
            <w:tcW w:w="2039" w:type="pct"/>
            <w:tcBorders>
              <w:top w:val="nil"/>
              <w:left w:val="nil"/>
              <w:bottom w:val="nil"/>
              <w:right w:val="nil"/>
            </w:tcBorders>
            <w:shd w:val="clear" w:color="auto" w:fill="auto"/>
            <w:vAlign w:val="center"/>
            <w:hideMark/>
          </w:tcPr>
          <w:p w14:paraId="68C9657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Basilicata</w:t>
            </w:r>
          </w:p>
        </w:tc>
        <w:tc>
          <w:tcPr>
            <w:tcW w:w="936" w:type="pct"/>
            <w:tcBorders>
              <w:top w:val="nil"/>
              <w:left w:val="nil"/>
              <w:bottom w:val="nil"/>
              <w:right w:val="nil"/>
            </w:tcBorders>
            <w:shd w:val="clear" w:color="auto" w:fill="auto"/>
            <w:noWrap/>
            <w:vAlign w:val="center"/>
            <w:hideMark/>
          </w:tcPr>
          <w:p w14:paraId="11457FF6"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10,610 </w:t>
            </w:r>
          </w:p>
        </w:tc>
        <w:tc>
          <w:tcPr>
            <w:tcW w:w="1067" w:type="pct"/>
            <w:tcBorders>
              <w:top w:val="nil"/>
              <w:left w:val="nil"/>
              <w:bottom w:val="nil"/>
              <w:right w:val="nil"/>
            </w:tcBorders>
            <w:shd w:val="clear" w:color="auto" w:fill="auto"/>
            <w:noWrap/>
            <w:vAlign w:val="center"/>
            <w:hideMark/>
          </w:tcPr>
          <w:p w14:paraId="324AC707"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 xml:space="preserve">            10,245 </w:t>
            </w:r>
          </w:p>
        </w:tc>
        <w:tc>
          <w:tcPr>
            <w:tcW w:w="959" w:type="pct"/>
            <w:tcBorders>
              <w:top w:val="nil"/>
              <w:left w:val="nil"/>
              <w:bottom w:val="nil"/>
              <w:right w:val="nil"/>
            </w:tcBorders>
            <w:shd w:val="clear" w:color="auto" w:fill="auto"/>
            <w:noWrap/>
            <w:vAlign w:val="center"/>
            <w:hideMark/>
          </w:tcPr>
          <w:p w14:paraId="79C21608"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-3%</w:t>
            </w:r>
          </w:p>
        </w:tc>
      </w:tr>
      <w:tr w:rsidR="001C5878" w:rsidRPr="001C5878" w14:paraId="21DE59CF" w14:textId="77777777" w:rsidTr="00F55C8A">
        <w:trPr>
          <w:trHeight w:val="252"/>
        </w:trPr>
        <w:tc>
          <w:tcPr>
            <w:tcW w:w="2039" w:type="pct"/>
            <w:tcBorders>
              <w:top w:val="nil"/>
              <w:left w:val="nil"/>
              <w:bottom w:val="nil"/>
              <w:right w:val="nil"/>
            </w:tcBorders>
            <w:shd w:val="clear" w:color="auto" w:fill="auto"/>
            <w:vAlign w:val="center"/>
            <w:hideMark/>
          </w:tcPr>
          <w:p w14:paraId="557BB2CD"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Calabria</w:t>
            </w:r>
          </w:p>
        </w:tc>
        <w:tc>
          <w:tcPr>
            <w:tcW w:w="936" w:type="pct"/>
            <w:tcBorders>
              <w:top w:val="nil"/>
              <w:left w:val="nil"/>
              <w:bottom w:val="nil"/>
              <w:right w:val="nil"/>
            </w:tcBorders>
            <w:shd w:val="clear" w:color="auto" w:fill="auto"/>
            <w:noWrap/>
            <w:vAlign w:val="center"/>
            <w:hideMark/>
          </w:tcPr>
          <w:p w14:paraId="05874861"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82,887 </w:t>
            </w:r>
          </w:p>
        </w:tc>
        <w:tc>
          <w:tcPr>
            <w:tcW w:w="1067" w:type="pct"/>
            <w:tcBorders>
              <w:top w:val="nil"/>
              <w:left w:val="nil"/>
              <w:bottom w:val="nil"/>
              <w:right w:val="nil"/>
            </w:tcBorders>
            <w:shd w:val="clear" w:color="auto" w:fill="auto"/>
            <w:noWrap/>
            <w:vAlign w:val="center"/>
            <w:hideMark/>
          </w:tcPr>
          <w:p w14:paraId="31F065EA"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80,588 </w:t>
            </w:r>
          </w:p>
        </w:tc>
        <w:tc>
          <w:tcPr>
            <w:tcW w:w="959" w:type="pct"/>
            <w:tcBorders>
              <w:top w:val="nil"/>
              <w:left w:val="nil"/>
              <w:bottom w:val="nil"/>
              <w:right w:val="nil"/>
            </w:tcBorders>
            <w:shd w:val="clear" w:color="auto" w:fill="auto"/>
            <w:noWrap/>
            <w:vAlign w:val="center"/>
            <w:hideMark/>
          </w:tcPr>
          <w:p w14:paraId="6E829015"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-3%</w:t>
            </w:r>
          </w:p>
        </w:tc>
      </w:tr>
      <w:tr w:rsidR="001C5878" w:rsidRPr="001C5878" w14:paraId="03D88F90" w14:textId="77777777" w:rsidTr="00F55C8A">
        <w:trPr>
          <w:trHeight w:val="252"/>
        </w:trPr>
        <w:tc>
          <w:tcPr>
            <w:tcW w:w="2039" w:type="pct"/>
            <w:tcBorders>
              <w:top w:val="nil"/>
              <w:left w:val="nil"/>
              <w:bottom w:val="nil"/>
              <w:right w:val="nil"/>
            </w:tcBorders>
            <w:shd w:val="clear" w:color="auto" w:fill="auto"/>
            <w:vAlign w:val="center"/>
            <w:hideMark/>
          </w:tcPr>
          <w:p w14:paraId="6A282E7E"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Sicilia</w:t>
            </w:r>
          </w:p>
        </w:tc>
        <w:tc>
          <w:tcPr>
            <w:tcW w:w="936" w:type="pct"/>
            <w:tcBorders>
              <w:top w:val="nil"/>
              <w:left w:val="nil"/>
              <w:bottom w:val="nil"/>
              <w:right w:val="nil"/>
            </w:tcBorders>
            <w:shd w:val="clear" w:color="auto" w:fill="auto"/>
            <w:noWrap/>
            <w:vAlign w:val="center"/>
            <w:hideMark/>
          </w:tcPr>
          <w:p w14:paraId="228C7EE0"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230,596 </w:t>
            </w:r>
          </w:p>
        </w:tc>
        <w:tc>
          <w:tcPr>
            <w:tcW w:w="1067" w:type="pct"/>
            <w:tcBorders>
              <w:top w:val="nil"/>
              <w:left w:val="nil"/>
              <w:bottom w:val="nil"/>
              <w:right w:val="nil"/>
            </w:tcBorders>
            <w:shd w:val="clear" w:color="auto" w:fill="auto"/>
            <w:noWrap/>
            <w:vAlign w:val="center"/>
            <w:hideMark/>
          </w:tcPr>
          <w:p w14:paraId="02EC2ED2"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228,189 </w:t>
            </w:r>
          </w:p>
        </w:tc>
        <w:tc>
          <w:tcPr>
            <w:tcW w:w="959" w:type="pct"/>
            <w:tcBorders>
              <w:top w:val="nil"/>
              <w:left w:val="nil"/>
              <w:bottom w:val="nil"/>
              <w:right w:val="nil"/>
            </w:tcBorders>
            <w:shd w:val="clear" w:color="auto" w:fill="auto"/>
            <w:noWrap/>
            <w:vAlign w:val="center"/>
            <w:hideMark/>
          </w:tcPr>
          <w:p w14:paraId="39CCE0CB"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w:t>
            </w:r>
          </w:p>
        </w:tc>
      </w:tr>
      <w:tr w:rsidR="001C5878" w:rsidRPr="001C5878" w14:paraId="75ECD8A8" w14:textId="77777777" w:rsidTr="00F55C8A">
        <w:trPr>
          <w:trHeight w:val="252"/>
        </w:trPr>
        <w:tc>
          <w:tcPr>
            <w:tcW w:w="2039" w:type="pct"/>
            <w:tcBorders>
              <w:top w:val="nil"/>
              <w:left w:val="nil"/>
              <w:bottom w:val="single" w:sz="4" w:space="0" w:color="auto"/>
              <w:right w:val="nil"/>
            </w:tcBorders>
            <w:shd w:val="clear" w:color="auto" w:fill="auto"/>
            <w:vAlign w:val="center"/>
            <w:hideMark/>
          </w:tcPr>
          <w:p w14:paraId="26083A31"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Sardegna</w:t>
            </w:r>
          </w:p>
        </w:tc>
        <w:tc>
          <w:tcPr>
            <w:tcW w:w="936" w:type="pct"/>
            <w:tcBorders>
              <w:top w:val="nil"/>
              <w:left w:val="nil"/>
              <w:bottom w:val="single" w:sz="4" w:space="0" w:color="auto"/>
              <w:right w:val="nil"/>
            </w:tcBorders>
            <w:shd w:val="clear" w:color="auto" w:fill="auto"/>
            <w:noWrap/>
            <w:vAlign w:val="center"/>
            <w:hideMark/>
          </w:tcPr>
          <w:p w14:paraId="24AD2A17"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47,970 </w:t>
            </w:r>
          </w:p>
        </w:tc>
        <w:tc>
          <w:tcPr>
            <w:tcW w:w="1067" w:type="pct"/>
            <w:tcBorders>
              <w:top w:val="nil"/>
              <w:left w:val="nil"/>
              <w:bottom w:val="single" w:sz="4" w:space="0" w:color="auto"/>
              <w:right w:val="nil"/>
            </w:tcBorders>
            <w:shd w:val="clear" w:color="auto" w:fill="auto"/>
            <w:noWrap/>
            <w:vAlign w:val="center"/>
            <w:hideMark/>
          </w:tcPr>
          <w:p w14:paraId="2234885A"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43,229 </w:t>
            </w:r>
          </w:p>
        </w:tc>
        <w:tc>
          <w:tcPr>
            <w:tcW w:w="959" w:type="pct"/>
            <w:tcBorders>
              <w:top w:val="nil"/>
              <w:left w:val="nil"/>
              <w:bottom w:val="single" w:sz="4" w:space="0" w:color="auto"/>
              <w:right w:val="nil"/>
            </w:tcBorders>
            <w:shd w:val="clear" w:color="auto" w:fill="auto"/>
            <w:noWrap/>
            <w:vAlign w:val="center"/>
            <w:hideMark/>
          </w:tcPr>
          <w:p w14:paraId="545FAFEC"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-10%</w:t>
            </w:r>
          </w:p>
        </w:tc>
      </w:tr>
      <w:tr w:rsidR="001C5878" w:rsidRPr="001C5878" w14:paraId="22F335EA" w14:textId="77777777" w:rsidTr="00F55C8A">
        <w:trPr>
          <w:trHeight w:val="252"/>
        </w:trPr>
        <w:tc>
          <w:tcPr>
            <w:tcW w:w="2039" w:type="pct"/>
            <w:tcBorders>
              <w:top w:val="single" w:sz="4" w:space="0" w:color="auto"/>
              <w:left w:val="nil"/>
              <w:right w:val="nil"/>
            </w:tcBorders>
            <w:shd w:val="clear" w:color="auto" w:fill="auto"/>
            <w:vAlign w:val="center"/>
            <w:hideMark/>
          </w:tcPr>
          <w:p w14:paraId="1A40A2C3" w14:textId="77777777" w:rsidR="001C5878" w:rsidRPr="001C5878" w:rsidRDefault="001C5878" w:rsidP="001C5878">
            <w:pPr>
              <w:spacing w:line="240" w:lineRule="auto"/>
              <w:jc w:val="left"/>
              <w:rPr>
                <w:rFonts w:asciiTheme="minorHAnsi" w:hAnsiTheme="minorHAnsi" w:cstheme="minorHAnsi"/>
                <w:b/>
                <w:bCs/>
                <w:i/>
                <w:iCs/>
                <w:sz w:val="16"/>
                <w:szCs w:val="16"/>
              </w:rPr>
            </w:pPr>
            <w:r w:rsidRPr="001C5878">
              <w:rPr>
                <w:rFonts w:asciiTheme="minorHAnsi" w:hAnsiTheme="minorHAnsi" w:cstheme="minorHAnsi"/>
                <w:b/>
                <w:bCs/>
                <w:i/>
                <w:iCs/>
                <w:sz w:val="16"/>
                <w:szCs w:val="16"/>
              </w:rPr>
              <w:t>Italia</w:t>
            </w:r>
          </w:p>
        </w:tc>
        <w:tc>
          <w:tcPr>
            <w:tcW w:w="936" w:type="pct"/>
            <w:tcBorders>
              <w:top w:val="single" w:sz="4" w:space="0" w:color="auto"/>
              <w:left w:val="nil"/>
              <w:right w:val="nil"/>
            </w:tcBorders>
            <w:shd w:val="clear" w:color="auto" w:fill="auto"/>
            <w:noWrap/>
            <w:vAlign w:val="center"/>
            <w:hideMark/>
          </w:tcPr>
          <w:p w14:paraId="3CB0E4E3" w14:textId="77777777" w:rsidR="001C5878" w:rsidRPr="001C5878" w:rsidRDefault="001C5878" w:rsidP="001C5878">
            <w:pPr>
              <w:spacing w:line="240" w:lineRule="auto"/>
              <w:jc w:val="left"/>
              <w:rPr>
                <w:rFonts w:asciiTheme="minorHAnsi" w:hAnsiTheme="minorHAnsi" w:cstheme="minorHAnsi"/>
                <w:b/>
                <w:bCs/>
                <w:i/>
                <w:iCs/>
                <w:color w:val="000000"/>
                <w:sz w:val="16"/>
                <w:szCs w:val="16"/>
              </w:rPr>
            </w:pPr>
            <w:r w:rsidRPr="001C5878">
              <w:rPr>
                <w:rFonts w:asciiTheme="minorHAnsi" w:hAnsiTheme="minorHAnsi" w:cstheme="minorHAnsi"/>
                <w:b/>
                <w:bCs/>
                <w:i/>
                <w:iCs/>
                <w:color w:val="000000"/>
                <w:sz w:val="16"/>
                <w:szCs w:val="16"/>
              </w:rPr>
              <w:t xml:space="preserve">   1,266,926 </w:t>
            </w:r>
          </w:p>
        </w:tc>
        <w:tc>
          <w:tcPr>
            <w:tcW w:w="1067" w:type="pct"/>
            <w:tcBorders>
              <w:top w:val="single" w:sz="4" w:space="0" w:color="auto"/>
              <w:left w:val="nil"/>
              <w:right w:val="nil"/>
            </w:tcBorders>
            <w:shd w:val="clear" w:color="auto" w:fill="auto"/>
            <w:noWrap/>
            <w:vAlign w:val="center"/>
            <w:hideMark/>
          </w:tcPr>
          <w:p w14:paraId="6949AE55" w14:textId="77777777" w:rsidR="001C5878" w:rsidRPr="001C5878" w:rsidRDefault="001C5878" w:rsidP="001C5878">
            <w:pPr>
              <w:spacing w:line="240" w:lineRule="auto"/>
              <w:jc w:val="left"/>
              <w:rPr>
                <w:rFonts w:asciiTheme="minorHAnsi" w:hAnsiTheme="minorHAnsi" w:cstheme="minorHAnsi"/>
                <w:b/>
                <w:bCs/>
                <w:i/>
                <w:iCs/>
                <w:color w:val="000000"/>
                <w:sz w:val="16"/>
                <w:szCs w:val="16"/>
              </w:rPr>
            </w:pPr>
            <w:r w:rsidRPr="001C5878">
              <w:rPr>
                <w:rFonts w:asciiTheme="minorHAnsi" w:hAnsiTheme="minorHAnsi" w:cstheme="minorHAnsi"/>
                <w:b/>
                <w:bCs/>
                <w:i/>
                <w:iCs/>
                <w:color w:val="000000"/>
                <w:sz w:val="16"/>
                <w:szCs w:val="16"/>
              </w:rPr>
              <w:t xml:space="preserve">      1,168,722 </w:t>
            </w:r>
          </w:p>
        </w:tc>
        <w:tc>
          <w:tcPr>
            <w:tcW w:w="959" w:type="pct"/>
            <w:tcBorders>
              <w:top w:val="single" w:sz="4" w:space="0" w:color="auto"/>
              <w:left w:val="nil"/>
              <w:right w:val="nil"/>
            </w:tcBorders>
            <w:shd w:val="clear" w:color="auto" w:fill="auto"/>
            <w:noWrap/>
            <w:vAlign w:val="center"/>
            <w:hideMark/>
          </w:tcPr>
          <w:p w14:paraId="4AB1D2DD"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-8%</w:t>
            </w:r>
          </w:p>
        </w:tc>
      </w:tr>
      <w:tr w:rsidR="001C5878" w:rsidRPr="001C5878" w14:paraId="55C312E1" w14:textId="77777777" w:rsidTr="00F55C8A">
        <w:trPr>
          <w:trHeight w:val="252"/>
        </w:trPr>
        <w:tc>
          <w:tcPr>
            <w:tcW w:w="2039" w:type="pct"/>
            <w:tcBorders>
              <w:left w:val="nil"/>
              <w:bottom w:val="nil"/>
              <w:right w:val="nil"/>
            </w:tcBorders>
            <w:shd w:val="clear" w:color="auto" w:fill="auto"/>
            <w:vAlign w:val="center"/>
            <w:hideMark/>
          </w:tcPr>
          <w:p w14:paraId="67680C60"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Nord</w:t>
            </w:r>
          </w:p>
        </w:tc>
        <w:tc>
          <w:tcPr>
            <w:tcW w:w="936" w:type="pct"/>
            <w:tcBorders>
              <w:left w:val="nil"/>
              <w:bottom w:val="nil"/>
              <w:right w:val="nil"/>
            </w:tcBorders>
            <w:shd w:val="clear" w:color="auto" w:fill="auto"/>
            <w:noWrap/>
            <w:vAlign w:val="center"/>
            <w:hideMark/>
          </w:tcPr>
          <w:p w14:paraId="1DAFABD3"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288,350 </w:t>
            </w:r>
          </w:p>
        </w:tc>
        <w:tc>
          <w:tcPr>
            <w:tcW w:w="1067" w:type="pct"/>
            <w:tcBorders>
              <w:left w:val="nil"/>
              <w:bottom w:val="nil"/>
              <w:right w:val="nil"/>
            </w:tcBorders>
            <w:shd w:val="clear" w:color="auto" w:fill="auto"/>
            <w:noWrap/>
            <w:vAlign w:val="center"/>
            <w:hideMark/>
          </w:tcPr>
          <w:p w14:paraId="775F752C"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234,530 </w:t>
            </w:r>
          </w:p>
        </w:tc>
        <w:tc>
          <w:tcPr>
            <w:tcW w:w="959" w:type="pct"/>
            <w:tcBorders>
              <w:left w:val="nil"/>
              <w:bottom w:val="nil"/>
              <w:right w:val="nil"/>
            </w:tcBorders>
            <w:shd w:val="clear" w:color="auto" w:fill="auto"/>
            <w:noWrap/>
            <w:vAlign w:val="center"/>
            <w:hideMark/>
          </w:tcPr>
          <w:p w14:paraId="241F09AE"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-19%</w:t>
            </w:r>
          </w:p>
        </w:tc>
      </w:tr>
      <w:tr w:rsidR="001C5878" w:rsidRPr="001C5878" w14:paraId="477C1DF6" w14:textId="77777777" w:rsidTr="00F55C8A">
        <w:trPr>
          <w:trHeight w:val="252"/>
        </w:trPr>
        <w:tc>
          <w:tcPr>
            <w:tcW w:w="2039" w:type="pct"/>
            <w:tcBorders>
              <w:top w:val="nil"/>
              <w:left w:val="nil"/>
              <w:right w:val="nil"/>
            </w:tcBorders>
            <w:shd w:val="clear" w:color="auto" w:fill="auto"/>
            <w:vAlign w:val="center"/>
            <w:hideMark/>
          </w:tcPr>
          <w:p w14:paraId="37B82432"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Centro</w:t>
            </w:r>
          </w:p>
        </w:tc>
        <w:tc>
          <w:tcPr>
            <w:tcW w:w="936" w:type="pct"/>
            <w:tcBorders>
              <w:top w:val="nil"/>
              <w:left w:val="nil"/>
              <w:right w:val="nil"/>
            </w:tcBorders>
            <w:shd w:val="clear" w:color="auto" w:fill="auto"/>
            <w:noWrap/>
            <w:vAlign w:val="center"/>
            <w:hideMark/>
          </w:tcPr>
          <w:p w14:paraId="2E515F91"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194,695 </w:t>
            </w:r>
          </w:p>
        </w:tc>
        <w:tc>
          <w:tcPr>
            <w:tcW w:w="1067" w:type="pct"/>
            <w:tcBorders>
              <w:top w:val="nil"/>
              <w:left w:val="nil"/>
              <w:right w:val="nil"/>
            </w:tcBorders>
            <w:shd w:val="clear" w:color="auto" w:fill="auto"/>
            <w:noWrap/>
            <w:vAlign w:val="center"/>
            <w:hideMark/>
          </w:tcPr>
          <w:p w14:paraId="02CC0982"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174,425 </w:t>
            </w:r>
          </w:p>
        </w:tc>
        <w:tc>
          <w:tcPr>
            <w:tcW w:w="959" w:type="pct"/>
            <w:tcBorders>
              <w:top w:val="nil"/>
              <w:left w:val="nil"/>
              <w:right w:val="nil"/>
            </w:tcBorders>
            <w:shd w:val="clear" w:color="auto" w:fill="auto"/>
            <w:noWrap/>
            <w:vAlign w:val="center"/>
            <w:hideMark/>
          </w:tcPr>
          <w:p w14:paraId="68956CCF"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-10%</w:t>
            </w:r>
          </w:p>
        </w:tc>
      </w:tr>
      <w:tr w:rsidR="001C5878" w:rsidRPr="001C5878" w14:paraId="02A536CA" w14:textId="77777777" w:rsidTr="00F55C8A">
        <w:trPr>
          <w:trHeight w:val="264"/>
        </w:trPr>
        <w:tc>
          <w:tcPr>
            <w:tcW w:w="2039" w:type="pct"/>
            <w:tcBorders>
              <w:top w:val="nil"/>
              <w:left w:val="nil"/>
              <w:bottom w:val="single" w:sz="4" w:space="0" w:color="auto"/>
              <w:right w:val="nil"/>
            </w:tcBorders>
            <w:shd w:val="clear" w:color="auto" w:fill="auto"/>
            <w:vAlign w:val="center"/>
            <w:hideMark/>
          </w:tcPr>
          <w:p w14:paraId="7F965243" w14:textId="77777777" w:rsidR="001C5878" w:rsidRPr="001C5878" w:rsidRDefault="001C5878" w:rsidP="001C5878">
            <w:pPr>
              <w:spacing w:line="240" w:lineRule="auto"/>
              <w:jc w:val="left"/>
              <w:rPr>
                <w:rFonts w:asciiTheme="minorHAnsi" w:hAnsiTheme="minorHAnsi" w:cstheme="minorHAnsi"/>
                <w:sz w:val="16"/>
                <w:szCs w:val="16"/>
              </w:rPr>
            </w:pPr>
            <w:r w:rsidRPr="001C5878">
              <w:rPr>
                <w:rFonts w:asciiTheme="minorHAnsi" w:hAnsiTheme="minorHAnsi" w:cstheme="minorHAnsi"/>
                <w:sz w:val="16"/>
                <w:szCs w:val="16"/>
              </w:rPr>
              <w:t>Sud e Isole</w:t>
            </w:r>
          </w:p>
        </w:tc>
        <w:tc>
          <w:tcPr>
            <w:tcW w:w="936" w:type="pct"/>
            <w:tcBorders>
              <w:top w:val="nil"/>
              <w:left w:val="nil"/>
              <w:bottom w:val="single" w:sz="4" w:space="0" w:color="auto"/>
              <w:right w:val="nil"/>
            </w:tcBorders>
            <w:shd w:val="clear" w:color="auto" w:fill="auto"/>
            <w:noWrap/>
            <w:vAlign w:val="center"/>
            <w:hideMark/>
          </w:tcPr>
          <w:p w14:paraId="44DEC3C2"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783,881 </w:t>
            </w:r>
          </w:p>
        </w:tc>
        <w:tc>
          <w:tcPr>
            <w:tcW w:w="1067" w:type="pct"/>
            <w:tcBorders>
              <w:top w:val="nil"/>
              <w:left w:val="nil"/>
              <w:bottom w:val="single" w:sz="4" w:space="0" w:color="auto"/>
              <w:right w:val="nil"/>
            </w:tcBorders>
            <w:shd w:val="clear" w:color="auto" w:fill="auto"/>
            <w:noWrap/>
            <w:vAlign w:val="center"/>
            <w:hideMark/>
          </w:tcPr>
          <w:p w14:paraId="3108C737" w14:textId="77777777" w:rsidR="001C5878" w:rsidRPr="001C5878" w:rsidRDefault="001C5878" w:rsidP="001C5878">
            <w:pPr>
              <w:spacing w:line="240" w:lineRule="auto"/>
              <w:jc w:val="left"/>
              <w:rPr>
                <w:rFonts w:asciiTheme="minorHAnsi" w:hAnsiTheme="minorHAnsi" w:cstheme="minorHAnsi"/>
                <w:color w:val="000000"/>
                <w:sz w:val="16"/>
                <w:szCs w:val="16"/>
              </w:rPr>
            </w:pPr>
            <w:r w:rsidRPr="001C5878">
              <w:rPr>
                <w:rFonts w:asciiTheme="minorHAnsi" w:hAnsiTheme="minorHAnsi" w:cstheme="minorHAnsi"/>
                <w:color w:val="000000"/>
                <w:sz w:val="16"/>
                <w:szCs w:val="16"/>
              </w:rPr>
              <w:t xml:space="preserve">          759,767 </w:t>
            </w:r>
          </w:p>
        </w:tc>
        <w:tc>
          <w:tcPr>
            <w:tcW w:w="959" w:type="pct"/>
            <w:tcBorders>
              <w:top w:val="nil"/>
              <w:left w:val="nil"/>
              <w:bottom w:val="single" w:sz="4" w:space="0" w:color="auto"/>
              <w:right w:val="nil"/>
            </w:tcBorders>
            <w:shd w:val="clear" w:color="auto" w:fill="auto"/>
            <w:noWrap/>
            <w:vAlign w:val="center"/>
            <w:hideMark/>
          </w:tcPr>
          <w:p w14:paraId="38CF4560" w14:textId="77777777" w:rsidR="001C5878" w:rsidRPr="001C5878" w:rsidRDefault="001C5878" w:rsidP="001C5878">
            <w:pPr>
              <w:spacing w:line="240" w:lineRule="auto"/>
              <w:jc w:val="right"/>
              <w:rPr>
                <w:rFonts w:asciiTheme="minorHAnsi" w:hAnsiTheme="minorHAnsi" w:cstheme="minorHAnsi"/>
                <w:color w:val="000000"/>
                <w:sz w:val="16"/>
                <w:szCs w:val="16"/>
              </w:rPr>
            </w:pPr>
            <w:r w:rsidRPr="001C5878">
              <w:rPr>
                <w:rFonts w:asciiTheme="minorHAnsi" w:hAnsiTheme="minorHAnsi" w:cstheme="minorHAnsi"/>
                <w:color w:val="000000"/>
                <w:sz w:val="16"/>
                <w:szCs w:val="16"/>
              </w:rPr>
              <w:t>-3%</w:t>
            </w:r>
          </w:p>
        </w:tc>
      </w:tr>
    </w:tbl>
    <w:p w14:paraId="3470AF81" w14:textId="77777777" w:rsidR="00F55C8A" w:rsidRDefault="00F55C8A" w:rsidP="00F55C8A">
      <w:pPr>
        <w:rPr>
          <w:rFonts w:ascii="Simoncini Garamond" w:hAnsi="Simoncini Garamond" w:cs="Times New Roman PS"/>
          <w:sz w:val="21"/>
          <w:szCs w:val="22"/>
        </w:rPr>
      </w:pPr>
      <w:r>
        <w:rPr>
          <w:rFonts w:ascii="Simoncini Garamond" w:hAnsi="Simoncini Garamond" w:cs="Times New Roman PS"/>
          <w:sz w:val="21"/>
          <w:szCs w:val="22"/>
        </w:rPr>
        <w:t>Fonte: Osservatorio Inps sul Rdc</w:t>
      </w:r>
    </w:p>
    <w:p w14:paraId="05B82107" w14:textId="77777777" w:rsidR="001C5878" w:rsidRDefault="001C5878" w:rsidP="00375085">
      <w:pPr>
        <w:rPr>
          <w:rFonts w:ascii="Simoncini Garamond" w:hAnsi="Simoncini Garamond" w:cs="Times New Roman PS"/>
          <w:sz w:val="21"/>
          <w:szCs w:val="22"/>
        </w:rPr>
      </w:pPr>
    </w:p>
    <w:p w14:paraId="7AF44C7E" w14:textId="672C5534" w:rsidR="00905EA7" w:rsidRPr="00905EA7" w:rsidRDefault="006E1396" w:rsidP="00C67FFD">
      <w:pPr>
        <w:ind w:firstLine="708"/>
        <w:rPr>
          <w:rFonts w:ascii="Simoncini Garamond" w:hAnsi="Simoncini Garamond" w:cs="Times New Roman PS"/>
          <w:sz w:val="21"/>
          <w:szCs w:val="22"/>
        </w:rPr>
      </w:pPr>
      <w:r>
        <w:rPr>
          <w:rFonts w:ascii="Simoncini Garamond" w:hAnsi="Simoncini Garamond" w:cs="Times New Roman PS"/>
          <w:sz w:val="21"/>
          <w:szCs w:val="22"/>
        </w:rPr>
        <w:t xml:space="preserve">Gli effetti del Rdc su </w:t>
      </w:r>
      <w:r w:rsidR="00905EA7" w:rsidRPr="00905EA7">
        <w:rPr>
          <w:rFonts w:ascii="Simoncini Garamond" w:hAnsi="Simoncini Garamond" w:cs="Times New Roman PS"/>
          <w:sz w:val="21"/>
          <w:szCs w:val="22"/>
        </w:rPr>
        <w:t>povertà e diseguaglianza</w:t>
      </w:r>
      <w:r>
        <w:rPr>
          <w:rFonts w:ascii="Simoncini Garamond" w:hAnsi="Simoncini Garamond" w:cs="Times New Roman PS"/>
          <w:sz w:val="21"/>
          <w:szCs w:val="22"/>
        </w:rPr>
        <w:t xml:space="preserve"> sono stati senza dubbio significativi</w:t>
      </w:r>
      <w:r w:rsidR="00905EA7" w:rsidRPr="00905EA7">
        <w:rPr>
          <w:rFonts w:ascii="Simoncini Garamond" w:hAnsi="Simoncini Garamond" w:cs="Times New Roman PS"/>
          <w:sz w:val="21"/>
          <w:szCs w:val="22"/>
        </w:rPr>
        <w:t>.</w:t>
      </w:r>
      <w:r w:rsidR="00501D02">
        <w:rPr>
          <w:rFonts w:ascii="Simoncini Garamond" w:hAnsi="Simoncini Garamond" w:cs="Times New Roman PS"/>
          <w:sz w:val="21"/>
          <w:szCs w:val="22"/>
        </w:rPr>
        <w:t xml:space="preserve"> </w:t>
      </w:r>
      <w:r>
        <w:rPr>
          <w:rFonts w:ascii="Simoncini Garamond" w:hAnsi="Simoncini Garamond" w:cs="Times New Roman PS"/>
          <w:sz w:val="21"/>
          <w:szCs w:val="22"/>
        </w:rPr>
        <w:t xml:space="preserve">Secondo alcune simulazioni, che confrontano </w:t>
      </w:r>
      <w:r w:rsidR="00905EA7" w:rsidRPr="00905EA7">
        <w:rPr>
          <w:rFonts w:ascii="Simoncini Garamond" w:hAnsi="Simoncini Garamond" w:cs="Times New Roman PS"/>
          <w:sz w:val="21"/>
          <w:szCs w:val="22"/>
        </w:rPr>
        <w:t>la distribuzione del reddito prima e dopo il trasferimento</w:t>
      </w:r>
      <w:r w:rsidR="00525FF2">
        <w:rPr>
          <w:rFonts w:ascii="Simoncini Garamond" w:hAnsi="Simoncini Garamond" w:cs="Times New Roman PS"/>
          <w:sz w:val="21"/>
          <w:szCs w:val="22"/>
        </w:rPr>
        <w:t>,</w:t>
      </w:r>
      <w:r w:rsidR="00905EA7" w:rsidRPr="00905EA7">
        <w:rPr>
          <w:rFonts w:ascii="Simoncini Garamond" w:hAnsi="Simoncini Garamond" w:cs="Times New Roman PS"/>
          <w:sz w:val="21"/>
          <w:szCs w:val="22"/>
        </w:rPr>
        <w:t xml:space="preserve"> </w:t>
      </w:r>
      <w:r>
        <w:rPr>
          <w:rFonts w:ascii="Simoncini Garamond" w:hAnsi="Simoncini Garamond" w:cs="Times New Roman PS"/>
          <w:sz w:val="21"/>
          <w:szCs w:val="22"/>
        </w:rPr>
        <w:t>l</w:t>
      </w:r>
      <w:r w:rsidR="00905EA7" w:rsidRPr="00905EA7">
        <w:rPr>
          <w:rFonts w:ascii="Simoncini Garamond" w:hAnsi="Simoncini Garamond" w:cs="Times New Roman PS"/>
          <w:sz w:val="21"/>
          <w:szCs w:val="22"/>
        </w:rPr>
        <w:t xml:space="preserve">’indice di Gini della distribuzione del reddito equivalente diminuisce di circa 1 punto </w:t>
      </w:r>
      <w:r w:rsidR="009B4400">
        <w:rPr>
          <w:rFonts w:ascii="Simoncini Garamond" w:hAnsi="Simoncini Garamond" w:cs="Times New Roman PS"/>
          <w:sz w:val="21"/>
          <w:szCs w:val="22"/>
        </w:rPr>
        <w:t>[</w:t>
      </w:r>
      <w:r w:rsidR="00905EA7" w:rsidRPr="00905EA7">
        <w:rPr>
          <w:rFonts w:ascii="Simoncini Garamond" w:hAnsi="Simoncini Garamond" w:cs="Times New Roman PS"/>
          <w:sz w:val="21"/>
          <w:szCs w:val="22"/>
        </w:rPr>
        <w:t>Baldini e Gallo</w:t>
      </w:r>
      <w:r>
        <w:rPr>
          <w:rFonts w:ascii="Simoncini Garamond" w:hAnsi="Simoncini Garamond" w:cs="Times New Roman PS"/>
          <w:sz w:val="21"/>
          <w:szCs w:val="22"/>
        </w:rPr>
        <w:t xml:space="preserve"> 2021</w:t>
      </w:r>
      <w:r w:rsidR="009B4400">
        <w:rPr>
          <w:rFonts w:ascii="Simoncini Garamond" w:hAnsi="Simoncini Garamond" w:cs="Times New Roman PS"/>
          <w:sz w:val="21"/>
          <w:szCs w:val="22"/>
        </w:rPr>
        <w:t>;</w:t>
      </w:r>
      <w:r w:rsidR="00905EA7" w:rsidRPr="00905EA7">
        <w:rPr>
          <w:rFonts w:ascii="Simoncini Garamond" w:hAnsi="Simoncini Garamond" w:cs="Times New Roman PS"/>
          <w:sz w:val="21"/>
          <w:szCs w:val="22"/>
        </w:rPr>
        <w:t xml:space="preserve"> Curci </w:t>
      </w:r>
      <w:r w:rsidR="009B4400">
        <w:rPr>
          <w:rFonts w:ascii="Simoncini Garamond" w:hAnsi="Simoncini Garamond" w:cs="Times New Roman PS"/>
          <w:sz w:val="21"/>
          <w:szCs w:val="22"/>
        </w:rPr>
        <w:t>e</w:t>
      </w:r>
      <w:r w:rsidR="00905EA7" w:rsidRPr="00905EA7">
        <w:rPr>
          <w:rFonts w:ascii="Simoncini Garamond" w:hAnsi="Simoncini Garamond" w:cs="Times New Roman PS"/>
          <w:sz w:val="21"/>
          <w:szCs w:val="22"/>
        </w:rPr>
        <w:t>t al. 202</w:t>
      </w:r>
      <w:r w:rsidR="000930C9">
        <w:rPr>
          <w:rFonts w:ascii="Simoncini Garamond" w:hAnsi="Simoncini Garamond" w:cs="Times New Roman PS"/>
          <w:sz w:val="21"/>
          <w:szCs w:val="22"/>
        </w:rPr>
        <w:t>0]</w:t>
      </w:r>
      <w:r w:rsidR="00905EA7" w:rsidRPr="00905EA7">
        <w:rPr>
          <w:rFonts w:ascii="Simoncini Garamond" w:hAnsi="Simoncini Garamond" w:cs="Times New Roman PS"/>
          <w:sz w:val="21"/>
          <w:szCs w:val="22"/>
        </w:rPr>
        <w:t xml:space="preserve">. </w:t>
      </w:r>
      <w:r>
        <w:rPr>
          <w:rFonts w:ascii="Simoncini Garamond" w:hAnsi="Simoncini Garamond" w:cs="Times New Roman PS"/>
          <w:sz w:val="21"/>
          <w:szCs w:val="22"/>
        </w:rPr>
        <w:t xml:space="preserve">Anche l’incidenza della </w:t>
      </w:r>
      <w:r w:rsidR="00905EA7" w:rsidRPr="00905EA7">
        <w:rPr>
          <w:rFonts w:ascii="Simoncini Garamond" w:hAnsi="Simoncini Garamond" w:cs="Times New Roman PS"/>
          <w:sz w:val="21"/>
          <w:szCs w:val="22"/>
        </w:rPr>
        <w:t>povertà assoluta scende: se misurata in base al reddito da 6</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9% a 5</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 xml:space="preserve">2% </w:t>
      </w:r>
      <w:r w:rsidR="000930C9">
        <w:rPr>
          <w:rFonts w:ascii="Simoncini Garamond" w:hAnsi="Simoncini Garamond" w:cs="Times New Roman PS"/>
          <w:sz w:val="21"/>
          <w:szCs w:val="22"/>
        </w:rPr>
        <w:t>[</w:t>
      </w:r>
      <w:r>
        <w:rPr>
          <w:rFonts w:ascii="Simoncini Garamond" w:hAnsi="Simoncini Garamond" w:cs="Times New Roman PS"/>
          <w:sz w:val="21"/>
          <w:szCs w:val="22"/>
        </w:rPr>
        <w:t>Baldini e Gallo 2021</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 se misurata in base al consumo da 8</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5% a 6</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 xml:space="preserve">6% </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Curci et al.</w:t>
      </w:r>
      <w:r>
        <w:rPr>
          <w:rFonts w:ascii="Simoncini Garamond" w:hAnsi="Simoncini Garamond" w:cs="Times New Roman PS"/>
          <w:sz w:val="21"/>
          <w:szCs w:val="22"/>
        </w:rPr>
        <w:t xml:space="preserve"> 2020</w:t>
      </w:r>
      <w:r w:rsidR="000930C9">
        <w:rPr>
          <w:rFonts w:ascii="Simoncini Garamond" w:hAnsi="Simoncini Garamond" w:cs="Times New Roman PS"/>
          <w:sz w:val="21"/>
          <w:szCs w:val="22"/>
        </w:rPr>
        <w:t>]</w:t>
      </w:r>
      <w:r w:rsidR="00905EA7" w:rsidRPr="00905EA7">
        <w:rPr>
          <w:rFonts w:ascii="Simoncini Garamond" w:hAnsi="Simoncini Garamond" w:cs="Times New Roman PS"/>
          <w:sz w:val="21"/>
          <w:szCs w:val="22"/>
        </w:rPr>
        <w:t xml:space="preserve">. Ancora più </w:t>
      </w:r>
      <w:r w:rsidR="00501D02">
        <w:rPr>
          <w:rFonts w:ascii="Simoncini Garamond" w:hAnsi="Simoncini Garamond" w:cs="Times New Roman PS"/>
          <w:sz w:val="21"/>
          <w:szCs w:val="22"/>
        </w:rPr>
        <w:t xml:space="preserve">rilevante </w:t>
      </w:r>
      <w:r w:rsidR="00905EA7" w:rsidRPr="00905EA7">
        <w:rPr>
          <w:rFonts w:ascii="Simoncini Garamond" w:hAnsi="Simoncini Garamond" w:cs="Times New Roman PS"/>
          <w:sz w:val="21"/>
          <w:szCs w:val="22"/>
        </w:rPr>
        <w:t xml:space="preserve">è la riduzione dell’intensità della povertà, cioè della distanza media del reddito dei poveri dalla soglia di povertà. </w:t>
      </w:r>
    </w:p>
    <w:p w14:paraId="09278120" w14:textId="32FBEB22" w:rsidR="00905EA7" w:rsidRPr="00905EA7" w:rsidRDefault="006064E1" w:rsidP="00FA4B11">
      <w:pPr>
        <w:ind w:firstLine="708"/>
        <w:rPr>
          <w:rFonts w:ascii="Simoncini Garamond" w:hAnsi="Simoncini Garamond" w:cs="Times New Roman PS"/>
          <w:sz w:val="21"/>
          <w:szCs w:val="22"/>
        </w:rPr>
      </w:pPr>
      <w:r>
        <w:rPr>
          <w:rFonts w:ascii="Simoncini Garamond" w:hAnsi="Simoncini Garamond" w:cs="Times New Roman PS"/>
          <w:sz w:val="21"/>
          <w:szCs w:val="22"/>
        </w:rPr>
        <w:t>L’adeguatezza della misura nel rispondere all’obiettivo di tutelare i redditi dal rischio di povertà può essere valutata anche confrontando il suo importo con la soglia di povertà. L</w:t>
      </w:r>
      <w:r w:rsidR="00905EA7" w:rsidRPr="00905EA7">
        <w:rPr>
          <w:rFonts w:ascii="Simoncini Garamond" w:hAnsi="Simoncini Garamond" w:cs="Times New Roman PS"/>
          <w:sz w:val="21"/>
          <w:szCs w:val="22"/>
        </w:rPr>
        <w:t xml:space="preserve">a figura </w:t>
      </w:r>
      <w:r>
        <w:rPr>
          <w:rFonts w:ascii="Simoncini Garamond" w:hAnsi="Simoncini Garamond" w:cs="Times New Roman PS"/>
          <w:sz w:val="21"/>
          <w:szCs w:val="22"/>
        </w:rPr>
        <w:t>2</w:t>
      </w:r>
      <w:r w:rsidR="00905EA7" w:rsidRPr="00905EA7">
        <w:rPr>
          <w:rFonts w:ascii="Simoncini Garamond" w:hAnsi="Simoncini Garamond" w:cs="Times New Roman PS"/>
          <w:sz w:val="21"/>
          <w:szCs w:val="22"/>
        </w:rPr>
        <w:t xml:space="preserve"> presenta, per i paesi europei, il rapporto tra il valore dei trasferimenti assistenziali che spettano a una famiglia priva di reddito in affitto e la soglia Eurostat di povertà relativa di reddito (60% del reddito </w:t>
      </w:r>
      <w:r w:rsidR="00202E9C">
        <w:rPr>
          <w:rFonts w:ascii="Simoncini Garamond" w:hAnsi="Simoncini Garamond" w:cs="Times New Roman PS"/>
          <w:sz w:val="21"/>
          <w:szCs w:val="22"/>
        </w:rPr>
        <w:t xml:space="preserve">equivalente </w:t>
      </w:r>
      <w:r w:rsidR="00905EA7" w:rsidRPr="00905EA7">
        <w:rPr>
          <w:rFonts w:ascii="Simoncini Garamond" w:hAnsi="Simoncini Garamond" w:cs="Times New Roman PS"/>
          <w:sz w:val="21"/>
          <w:szCs w:val="22"/>
        </w:rPr>
        <w:t>mediano</w:t>
      </w:r>
      <w:r w:rsidR="00202E9C">
        <w:rPr>
          <w:rFonts w:ascii="Simoncini Garamond" w:hAnsi="Simoncini Garamond" w:cs="Times New Roman PS"/>
          <w:sz w:val="21"/>
          <w:szCs w:val="22"/>
        </w:rPr>
        <w:t xml:space="preserve"> di ciascun paese</w:t>
      </w:r>
      <w:r w:rsidR="00905EA7" w:rsidRPr="00905EA7">
        <w:rPr>
          <w:rFonts w:ascii="Simoncini Garamond" w:hAnsi="Simoncini Garamond" w:cs="Times New Roman PS"/>
          <w:sz w:val="21"/>
          <w:szCs w:val="22"/>
        </w:rPr>
        <w:t>)</w:t>
      </w:r>
      <w:r w:rsidR="00202E9C">
        <w:rPr>
          <w:rFonts w:ascii="Simoncini Garamond" w:hAnsi="Simoncini Garamond" w:cs="Times New Roman PS"/>
          <w:sz w:val="21"/>
          <w:szCs w:val="22"/>
        </w:rPr>
        <w:t xml:space="preserve"> nel 2022</w:t>
      </w:r>
      <w:r w:rsidR="00905EA7" w:rsidRPr="00905EA7">
        <w:rPr>
          <w:rFonts w:ascii="Simoncini Garamond" w:hAnsi="Simoncini Garamond" w:cs="Times New Roman PS"/>
          <w:sz w:val="21"/>
          <w:szCs w:val="22"/>
        </w:rPr>
        <w:t xml:space="preserve">. Le fonti dei dati sono il </w:t>
      </w:r>
      <w:r w:rsidR="00905EA7" w:rsidRPr="009553BB">
        <w:rPr>
          <w:rFonts w:ascii="Simoncini Garamond" w:hAnsi="Simoncini Garamond" w:cs="Times New Roman PS"/>
          <w:i/>
          <w:sz w:val="21"/>
          <w:szCs w:val="22"/>
        </w:rPr>
        <w:t>tax-benefit web calculator</w:t>
      </w:r>
      <w:r w:rsidR="00905EA7" w:rsidRPr="00905EA7">
        <w:rPr>
          <w:rFonts w:ascii="Simoncini Garamond" w:hAnsi="Simoncini Garamond" w:cs="Times New Roman PS"/>
          <w:sz w:val="21"/>
          <w:szCs w:val="22"/>
        </w:rPr>
        <w:t xml:space="preserve"> disponibile nel sito dell’Ocse per i sussidi</w:t>
      </w:r>
      <w:r w:rsidR="00202E9C" w:rsidRPr="00256669">
        <w:rPr>
          <w:vertAlign w:val="superscript"/>
        </w:rPr>
        <w:footnoteReference w:id="6"/>
      </w:r>
      <w:r w:rsidR="00905EA7" w:rsidRPr="00905EA7">
        <w:rPr>
          <w:rFonts w:ascii="Simoncini Garamond" w:hAnsi="Simoncini Garamond" w:cs="Times New Roman PS"/>
          <w:sz w:val="21"/>
          <w:szCs w:val="22"/>
        </w:rPr>
        <w:t xml:space="preserve"> </w:t>
      </w:r>
      <w:r w:rsidR="006B6C4D">
        <w:rPr>
          <w:rFonts w:ascii="Simoncini Garamond" w:hAnsi="Simoncini Garamond" w:cs="Times New Roman PS"/>
          <w:sz w:val="21"/>
          <w:szCs w:val="22"/>
        </w:rPr>
        <w:t xml:space="preserve">ed </w:t>
      </w:r>
      <w:r w:rsidR="00905EA7" w:rsidRPr="00905EA7">
        <w:rPr>
          <w:rFonts w:ascii="Simoncini Garamond" w:hAnsi="Simoncini Garamond" w:cs="Times New Roman PS"/>
          <w:sz w:val="21"/>
          <w:szCs w:val="22"/>
        </w:rPr>
        <w:t xml:space="preserve">Eurostat per la linea di povertà. Per l’Italia questi trasferimenti includono il solo Rdc nel caso del single, mentre per la coppia con figli si aggiunge l’assegno unico ai figli di recente introduzione. L’importo del Rdc, relativamente maggiore per nuclei di piccola dimensione, </w:t>
      </w:r>
      <w:r w:rsidR="00202E9C">
        <w:rPr>
          <w:rFonts w:ascii="Simoncini Garamond" w:hAnsi="Simoncini Garamond" w:cs="Times New Roman PS"/>
          <w:sz w:val="21"/>
          <w:szCs w:val="22"/>
        </w:rPr>
        <w:t xml:space="preserve">è decisamente </w:t>
      </w:r>
      <w:r w:rsidR="00905EA7" w:rsidRPr="00905EA7">
        <w:rPr>
          <w:rFonts w:ascii="Simoncini Garamond" w:hAnsi="Simoncini Garamond" w:cs="Times New Roman PS"/>
          <w:sz w:val="21"/>
          <w:szCs w:val="22"/>
        </w:rPr>
        <w:t xml:space="preserve">adeguato in </w:t>
      </w:r>
      <w:r w:rsidR="00905EA7" w:rsidRPr="00905EA7">
        <w:rPr>
          <w:rFonts w:ascii="Simoncini Garamond" w:hAnsi="Simoncini Garamond" w:cs="Times New Roman PS"/>
          <w:sz w:val="21"/>
          <w:szCs w:val="22"/>
        </w:rPr>
        <w:lastRenderedPageBreak/>
        <w:t xml:space="preserve">termini di quota della linea di povertà che riesce a coprire, in linea con i più generosi paesi europei. </w:t>
      </w:r>
    </w:p>
    <w:p w14:paraId="4B916C23" w14:textId="77777777" w:rsidR="00905EA7" w:rsidRPr="00905EA7" w:rsidRDefault="00905EA7" w:rsidP="003229A2">
      <w:pPr>
        <w:shd w:val="clear" w:color="auto" w:fill="FFFFFF"/>
        <w:contextualSpacing/>
        <w:mirrorIndents/>
        <w:rPr>
          <w:rFonts w:ascii="Simoncini Garamond" w:hAnsi="Simoncini Garamond" w:cs="Times New Roman PS"/>
          <w:sz w:val="21"/>
          <w:szCs w:val="22"/>
        </w:rPr>
      </w:pPr>
    </w:p>
    <w:p w14:paraId="24EE4772" w14:textId="01874973" w:rsidR="00905EA7" w:rsidRPr="00905EA7" w:rsidRDefault="00905EA7" w:rsidP="00905EA7">
      <w:pPr>
        <w:shd w:val="clear" w:color="auto" w:fill="FFFFFF"/>
        <w:spacing w:line="360" w:lineRule="atLeast"/>
        <w:contextualSpacing/>
        <w:mirrorIndents/>
        <w:rPr>
          <w:rFonts w:ascii="Simoncini Garamond" w:hAnsi="Simoncini Garamond" w:cs="Times New Roman PS"/>
          <w:sz w:val="21"/>
          <w:szCs w:val="22"/>
        </w:rPr>
      </w:pPr>
      <w:r w:rsidRPr="00905EA7">
        <w:rPr>
          <w:rFonts w:ascii="Simoncini Garamond" w:hAnsi="Simoncini Garamond" w:cs="Times New Roman PS"/>
          <w:sz w:val="21"/>
          <w:szCs w:val="22"/>
        </w:rPr>
        <w:t xml:space="preserve">Fig. </w:t>
      </w:r>
      <w:r w:rsidR="00202E9C">
        <w:rPr>
          <w:rFonts w:ascii="Simoncini Garamond" w:hAnsi="Simoncini Garamond" w:cs="Times New Roman PS"/>
          <w:sz w:val="21"/>
          <w:szCs w:val="22"/>
        </w:rPr>
        <w:t>2</w:t>
      </w:r>
      <w:r w:rsidR="006B6C4D">
        <w:rPr>
          <w:rFonts w:ascii="Simoncini Garamond" w:hAnsi="Simoncini Garamond" w:cs="Times New Roman PS"/>
          <w:sz w:val="21"/>
          <w:szCs w:val="22"/>
        </w:rPr>
        <w:t>.</w:t>
      </w:r>
      <w:r w:rsidRPr="00905EA7">
        <w:rPr>
          <w:rFonts w:ascii="Simoncini Garamond" w:hAnsi="Simoncini Garamond" w:cs="Times New Roman PS"/>
          <w:sz w:val="21"/>
          <w:szCs w:val="22"/>
        </w:rPr>
        <w:t xml:space="preserve"> Rapporto tra trasferimenti e soglia di povertà relativa per nuclei privi di reddito in affitto</w:t>
      </w:r>
    </w:p>
    <w:p w14:paraId="643793E3" w14:textId="77777777" w:rsidR="00905EA7" w:rsidRPr="009209AC" w:rsidRDefault="00905EA7" w:rsidP="00905EA7">
      <w:pPr>
        <w:shd w:val="clear" w:color="auto" w:fill="FFFFFF"/>
        <w:spacing w:line="360" w:lineRule="atLeast"/>
        <w:contextualSpacing/>
        <w:mirrorIndents/>
        <w:rPr>
          <w:color w:val="222222"/>
          <w:sz w:val="24"/>
          <w:szCs w:val="24"/>
        </w:rPr>
      </w:pPr>
      <w:r w:rsidRPr="009209AC">
        <w:rPr>
          <w:noProof/>
          <w:color w:val="222222"/>
          <w:sz w:val="24"/>
          <w:szCs w:val="24"/>
        </w:rPr>
        <w:drawing>
          <wp:inline distT="0" distB="0" distL="0" distR="0" wp14:anchorId="58C2FEE3" wp14:editId="7106994C">
            <wp:extent cx="4225440" cy="1979183"/>
            <wp:effectExtent l="0" t="0" r="3810" b="2540"/>
            <wp:docPr id="3"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316380" w14:textId="0D66BB86" w:rsidR="00905EA7" w:rsidRPr="002919AC" w:rsidRDefault="00905EA7" w:rsidP="00905EA7">
      <w:pPr>
        <w:shd w:val="clear" w:color="auto" w:fill="FFFFFF"/>
        <w:spacing w:line="360" w:lineRule="atLeast"/>
        <w:contextualSpacing/>
        <w:mirrorIndents/>
        <w:rPr>
          <w:color w:val="222222"/>
          <w:sz w:val="20"/>
          <w:szCs w:val="20"/>
        </w:rPr>
      </w:pPr>
      <w:r w:rsidRPr="002919AC">
        <w:rPr>
          <w:color w:val="222222"/>
          <w:sz w:val="20"/>
          <w:szCs w:val="20"/>
        </w:rPr>
        <w:t>Fonte: nostre elaborazioni su dati Ocse e</w:t>
      </w:r>
      <w:r w:rsidR="00757300">
        <w:rPr>
          <w:color w:val="222222"/>
          <w:sz w:val="20"/>
          <w:szCs w:val="20"/>
        </w:rPr>
        <w:t>d</w:t>
      </w:r>
      <w:r w:rsidRPr="002919AC">
        <w:rPr>
          <w:color w:val="222222"/>
          <w:sz w:val="20"/>
          <w:szCs w:val="20"/>
        </w:rPr>
        <w:t xml:space="preserve"> Eurostat</w:t>
      </w:r>
    </w:p>
    <w:p w14:paraId="03032AD9" w14:textId="77777777" w:rsidR="001C5878" w:rsidRDefault="001C5878" w:rsidP="00375085">
      <w:pPr>
        <w:rPr>
          <w:rFonts w:ascii="Simoncini Garamond" w:hAnsi="Simoncini Garamond" w:cs="Times New Roman PS"/>
          <w:sz w:val="21"/>
          <w:szCs w:val="22"/>
        </w:rPr>
      </w:pPr>
    </w:p>
    <w:p w14:paraId="73F5A17A" w14:textId="531ABB89" w:rsidR="00757300" w:rsidRPr="003229A2" w:rsidRDefault="00757300" w:rsidP="00EA4819">
      <w:pPr>
        <w:ind w:firstLine="708"/>
        <w:rPr>
          <w:rFonts w:ascii="Simoncini Garamond" w:hAnsi="Simoncini Garamond" w:cs="Times New Roman PS"/>
          <w:sz w:val="21"/>
          <w:szCs w:val="22"/>
        </w:rPr>
      </w:pPr>
      <w:r w:rsidRPr="003229A2">
        <w:rPr>
          <w:rFonts w:ascii="Simoncini Garamond" w:hAnsi="Simoncini Garamond" w:cs="Times New Roman PS"/>
          <w:sz w:val="21"/>
          <w:szCs w:val="22"/>
        </w:rPr>
        <w:t xml:space="preserve">Molti poveri però non sono </w:t>
      </w:r>
      <w:r w:rsidR="00A21AB1">
        <w:rPr>
          <w:rFonts w:ascii="Simoncini Garamond" w:hAnsi="Simoncini Garamond" w:cs="Times New Roman PS"/>
          <w:sz w:val="21"/>
          <w:szCs w:val="22"/>
        </w:rPr>
        <w:t xml:space="preserve">stati </w:t>
      </w:r>
      <w:r w:rsidRPr="003229A2">
        <w:rPr>
          <w:rFonts w:ascii="Simoncini Garamond" w:hAnsi="Simoncini Garamond" w:cs="Times New Roman PS"/>
          <w:sz w:val="21"/>
          <w:szCs w:val="22"/>
        </w:rPr>
        <w:t xml:space="preserve">raggiunti dal Rdc, anzitutto per vincoli di </w:t>
      </w:r>
      <w:r w:rsidR="00500F87">
        <w:rPr>
          <w:rFonts w:ascii="Simoncini Garamond" w:hAnsi="Simoncini Garamond" w:cs="Times New Roman PS"/>
          <w:sz w:val="21"/>
          <w:szCs w:val="22"/>
        </w:rPr>
        <w:t>spesa</w:t>
      </w:r>
      <w:r w:rsidRPr="003229A2">
        <w:rPr>
          <w:rFonts w:ascii="Simoncini Garamond" w:hAnsi="Simoncini Garamond" w:cs="Times New Roman PS"/>
          <w:sz w:val="21"/>
          <w:szCs w:val="22"/>
        </w:rPr>
        <w:t>: secondo Istat vi sono circa 1,9 milioni di famiglie in</w:t>
      </w:r>
      <w:r w:rsidR="00586003">
        <w:rPr>
          <w:rFonts w:ascii="Simoncini Garamond" w:hAnsi="Simoncini Garamond" w:cs="Times New Roman PS"/>
          <w:sz w:val="21"/>
          <w:szCs w:val="22"/>
        </w:rPr>
        <w:t xml:space="preserve"> p</w:t>
      </w:r>
      <w:r w:rsidRPr="003229A2">
        <w:rPr>
          <w:rFonts w:ascii="Simoncini Garamond" w:hAnsi="Simoncini Garamond" w:cs="Times New Roman PS"/>
          <w:sz w:val="21"/>
          <w:szCs w:val="22"/>
        </w:rPr>
        <w:t xml:space="preserve">overtà assoluta, mentre i nuclei con Rdc non hanno mai superato, in un singolo mese, quota 1,4 milioni. Considerando che vi sono alcune famiglie che ricevono il Rdc ma non rientrano nel novero dei poveri </w:t>
      </w:r>
      <w:r w:rsidR="00525FF2">
        <w:rPr>
          <w:rFonts w:ascii="Simoncini Garamond" w:hAnsi="Simoncini Garamond" w:cs="Times New Roman PS"/>
          <w:sz w:val="21"/>
          <w:szCs w:val="22"/>
        </w:rPr>
        <w:t xml:space="preserve">assoluti </w:t>
      </w:r>
      <w:r w:rsidRPr="003229A2">
        <w:rPr>
          <w:rFonts w:ascii="Simoncini Garamond" w:hAnsi="Simoncini Garamond" w:cs="Times New Roman PS"/>
          <w:sz w:val="21"/>
          <w:szCs w:val="22"/>
        </w:rPr>
        <w:t xml:space="preserve">secondo le statistiche Istat, si può stimare che </w:t>
      </w:r>
      <w:r w:rsidR="00DC69CD">
        <w:rPr>
          <w:rFonts w:ascii="Simoncini Garamond" w:hAnsi="Simoncini Garamond" w:cs="Times New Roman PS"/>
          <w:sz w:val="21"/>
          <w:szCs w:val="22"/>
        </w:rPr>
        <w:t xml:space="preserve">solo </w:t>
      </w:r>
      <w:r w:rsidRPr="003229A2">
        <w:rPr>
          <w:rFonts w:ascii="Simoncini Garamond" w:hAnsi="Simoncini Garamond" w:cs="Times New Roman PS"/>
          <w:sz w:val="21"/>
          <w:szCs w:val="22"/>
        </w:rPr>
        <w:t xml:space="preserve">circa </w:t>
      </w:r>
      <w:r w:rsidR="00DC69CD">
        <w:rPr>
          <w:rFonts w:ascii="Simoncini Garamond" w:hAnsi="Simoncini Garamond" w:cs="Times New Roman PS"/>
          <w:sz w:val="21"/>
          <w:szCs w:val="22"/>
        </w:rPr>
        <w:t xml:space="preserve">la </w:t>
      </w:r>
      <w:r w:rsidRPr="003229A2">
        <w:rPr>
          <w:rFonts w:ascii="Simoncini Garamond" w:hAnsi="Simoncini Garamond" w:cs="Times New Roman PS"/>
          <w:sz w:val="21"/>
          <w:szCs w:val="22"/>
        </w:rPr>
        <w:t xml:space="preserve">metà di </w:t>
      </w:r>
      <w:r w:rsidR="00DC69CD">
        <w:rPr>
          <w:rFonts w:ascii="Simoncini Garamond" w:hAnsi="Simoncini Garamond" w:cs="Times New Roman PS"/>
          <w:sz w:val="21"/>
          <w:szCs w:val="22"/>
        </w:rPr>
        <w:t xml:space="preserve">questi ultimi </w:t>
      </w:r>
      <w:r w:rsidRPr="003229A2">
        <w:rPr>
          <w:rFonts w:ascii="Simoncini Garamond" w:hAnsi="Simoncini Garamond" w:cs="Times New Roman PS"/>
          <w:sz w:val="21"/>
          <w:szCs w:val="22"/>
        </w:rPr>
        <w:t xml:space="preserve">ottenga il Rdc. Vi sono tante ragioni dietro questo numero. </w:t>
      </w:r>
      <w:r w:rsidRPr="00EA4819">
        <w:rPr>
          <w:rFonts w:ascii="Simoncini Garamond" w:hAnsi="Simoncini Garamond" w:cs="Times New Roman PS"/>
          <w:sz w:val="21"/>
          <w:szCs w:val="22"/>
        </w:rPr>
        <w:t>In primo luogo</w:t>
      </w:r>
      <w:r w:rsidRPr="003229A2">
        <w:rPr>
          <w:rFonts w:ascii="Simoncini Garamond" w:hAnsi="Simoncini Garamond" w:cs="Times New Roman PS"/>
          <w:sz w:val="21"/>
          <w:szCs w:val="22"/>
        </w:rPr>
        <w:t xml:space="preserve"> c’è differenza tra il modo con cui </w:t>
      </w:r>
      <w:r w:rsidR="00DC69CD">
        <w:rPr>
          <w:rFonts w:ascii="Simoncini Garamond" w:hAnsi="Simoncini Garamond" w:cs="Times New Roman PS"/>
          <w:sz w:val="21"/>
          <w:szCs w:val="22"/>
        </w:rPr>
        <w:t xml:space="preserve">l’Istat stima </w:t>
      </w:r>
      <w:r w:rsidRPr="003229A2">
        <w:rPr>
          <w:rFonts w:ascii="Simoncini Garamond" w:hAnsi="Simoncini Garamond" w:cs="Times New Roman PS"/>
          <w:sz w:val="21"/>
          <w:szCs w:val="22"/>
        </w:rPr>
        <w:t xml:space="preserve">la povertà assoluta, </w:t>
      </w:r>
      <w:r w:rsidR="00DC69CD">
        <w:rPr>
          <w:rFonts w:ascii="Simoncini Garamond" w:hAnsi="Simoncini Garamond" w:cs="Times New Roman PS"/>
          <w:sz w:val="21"/>
          <w:szCs w:val="22"/>
        </w:rPr>
        <w:t xml:space="preserve">ossia </w:t>
      </w:r>
      <w:r w:rsidRPr="003229A2">
        <w:rPr>
          <w:rFonts w:ascii="Simoncini Garamond" w:hAnsi="Simoncini Garamond" w:cs="Times New Roman PS"/>
          <w:sz w:val="21"/>
          <w:szCs w:val="22"/>
        </w:rPr>
        <w:t>in base alla spesa</w:t>
      </w:r>
      <w:r w:rsidR="00DC69CD">
        <w:rPr>
          <w:rFonts w:ascii="Simoncini Garamond" w:hAnsi="Simoncini Garamond" w:cs="Times New Roman PS"/>
          <w:sz w:val="21"/>
          <w:szCs w:val="22"/>
        </w:rPr>
        <w:t xml:space="preserve"> per consumi</w:t>
      </w:r>
      <w:r w:rsidRPr="003229A2">
        <w:rPr>
          <w:rFonts w:ascii="Simoncini Garamond" w:hAnsi="Simoncini Garamond" w:cs="Times New Roman PS"/>
          <w:sz w:val="21"/>
          <w:szCs w:val="22"/>
        </w:rPr>
        <w:t xml:space="preserve">, e i criteri per accedere al Rdc, che dipendono da reddito e patrimonio. Inoltre alcune regole di calcolo del Rdc tendono a escludere alcune tipologie di poveri. Ad esempio, le linee di povertà assoluta riflettono il diverso costo della vita tra aree, mentre i parametri del Rdc sono unici, quindi meno generosi verso le famiglie povere che vivono in contesti con alto livello dei prezzi. Inoltre la scala di equivalenza del Rdc è piuttosto </w:t>
      </w:r>
      <w:r w:rsidR="00DC69CD">
        <w:rPr>
          <w:rFonts w:ascii="Simoncini Garamond" w:hAnsi="Simoncini Garamond" w:cs="Times New Roman PS"/>
          <w:sz w:val="21"/>
          <w:szCs w:val="22"/>
        </w:rPr>
        <w:t>piatta</w:t>
      </w:r>
      <w:r w:rsidRPr="003229A2">
        <w:rPr>
          <w:rFonts w:ascii="Simoncini Garamond" w:hAnsi="Simoncini Garamond" w:cs="Times New Roman PS"/>
          <w:sz w:val="21"/>
          <w:szCs w:val="22"/>
        </w:rPr>
        <w:t xml:space="preserve">, favorendo i nuclei di piccola dimensione, e infine la </w:t>
      </w:r>
      <w:r w:rsidRPr="003229A2">
        <w:rPr>
          <w:rFonts w:ascii="Simoncini Garamond" w:hAnsi="Simoncini Garamond" w:cs="Times New Roman PS"/>
          <w:sz w:val="21"/>
          <w:szCs w:val="22"/>
        </w:rPr>
        <w:lastRenderedPageBreak/>
        <w:t>condizione di</w:t>
      </w:r>
      <w:r w:rsidR="00DC69CD">
        <w:rPr>
          <w:rFonts w:ascii="Simoncini Garamond" w:hAnsi="Simoncini Garamond" w:cs="Times New Roman PS"/>
          <w:sz w:val="21"/>
          <w:szCs w:val="22"/>
        </w:rPr>
        <w:t xml:space="preserve"> </w:t>
      </w:r>
      <w:r w:rsidRPr="003229A2">
        <w:rPr>
          <w:rFonts w:ascii="Simoncini Garamond" w:hAnsi="Simoncini Garamond" w:cs="Times New Roman PS"/>
          <w:sz w:val="21"/>
          <w:szCs w:val="22"/>
        </w:rPr>
        <w:t xml:space="preserve">10 anni di residenza </w:t>
      </w:r>
      <w:r w:rsidR="00DC69CD">
        <w:rPr>
          <w:rFonts w:ascii="Simoncini Garamond" w:hAnsi="Simoncini Garamond" w:cs="Times New Roman PS"/>
          <w:sz w:val="21"/>
          <w:szCs w:val="22"/>
        </w:rPr>
        <w:t xml:space="preserve">(di cui gli ultimi due continuativi) </w:t>
      </w:r>
      <w:r w:rsidRPr="003229A2">
        <w:rPr>
          <w:rFonts w:ascii="Simoncini Garamond" w:hAnsi="Simoncini Garamond" w:cs="Times New Roman PS"/>
          <w:sz w:val="21"/>
          <w:szCs w:val="22"/>
        </w:rPr>
        <w:t xml:space="preserve">esclude molti stranieri, gruppo ad alta incidenza di povertà. Tutti questi punti sono stati discussi nel Rapporto 2021, a cui si rimanda. Accade poi sempre che alcuni poveri non domandino un trasferimento ad essi rivolto, per varie ragioni (vergogna, lavoro nero, scarsa conoscenza delle regole), anche se il take-up del Rdc </w:t>
      </w:r>
      <w:r w:rsidR="00561204">
        <w:rPr>
          <w:rFonts w:ascii="Simoncini Garamond" w:hAnsi="Simoncini Garamond" w:cs="Times New Roman PS"/>
          <w:sz w:val="21"/>
          <w:szCs w:val="22"/>
        </w:rPr>
        <w:t xml:space="preserve">dovrebbe essere </w:t>
      </w:r>
      <w:bookmarkStart w:id="0" w:name="_GoBack"/>
      <w:bookmarkEnd w:id="0"/>
      <w:r w:rsidRPr="003229A2">
        <w:rPr>
          <w:rFonts w:ascii="Simoncini Garamond" w:hAnsi="Simoncini Garamond" w:cs="Times New Roman PS"/>
          <w:sz w:val="21"/>
          <w:szCs w:val="22"/>
        </w:rPr>
        <w:t xml:space="preserve">alto.  </w:t>
      </w:r>
    </w:p>
    <w:p w14:paraId="07B81E79" w14:textId="77777777" w:rsidR="00905EA7" w:rsidRDefault="00905EA7" w:rsidP="00EA4819">
      <w:pPr>
        <w:ind w:firstLine="708"/>
        <w:rPr>
          <w:rFonts w:ascii="Simoncini Garamond" w:hAnsi="Simoncini Garamond" w:cs="Times New Roman PS"/>
          <w:sz w:val="21"/>
          <w:szCs w:val="22"/>
        </w:rPr>
      </w:pPr>
    </w:p>
    <w:p w14:paraId="6B61C370" w14:textId="77777777" w:rsidR="00905EA7" w:rsidRDefault="00905EA7" w:rsidP="00EA4819">
      <w:pPr>
        <w:ind w:firstLine="708"/>
        <w:rPr>
          <w:rFonts w:ascii="Simoncini Garamond" w:hAnsi="Simoncini Garamond" w:cs="Times New Roman PS"/>
          <w:sz w:val="21"/>
          <w:szCs w:val="22"/>
        </w:rPr>
      </w:pPr>
    </w:p>
    <w:p w14:paraId="59220E51" w14:textId="65E3AD2A" w:rsidR="00905EA7" w:rsidRPr="00EA4819" w:rsidRDefault="00561204" w:rsidP="00EA4819">
      <w:pPr>
        <w:rPr>
          <w:rFonts w:ascii="Simoncini Garamond" w:hAnsi="Simoncini Garamond" w:cs="Times New Roman PS"/>
          <w:i/>
          <w:sz w:val="21"/>
          <w:szCs w:val="22"/>
        </w:rPr>
      </w:pPr>
      <w:r>
        <w:rPr>
          <w:rFonts w:ascii="Simoncini Garamond" w:hAnsi="Simoncini Garamond" w:cs="Times New Roman PS"/>
          <w:sz w:val="21"/>
          <w:szCs w:val="22"/>
        </w:rPr>
        <w:t>4</w:t>
      </w:r>
      <w:r w:rsidR="00120BF7">
        <w:rPr>
          <w:rFonts w:ascii="Simoncini Garamond" w:hAnsi="Simoncini Garamond" w:cs="Times New Roman PS"/>
          <w:sz w:val="21"/>
          <w:szCs w:val="22"/>
        </w:rPr>
        <w:t xml:space="preserve">.2 </w:t>
      </w:r>
      <w:r w:rsidR="00120BF7" w:rsidRPr="00EA4819">
        <w:rPr>
          <w:rFonts w:ascii="Simoncini Garamond" w:hAnsi="Simoncini Garamond" w:cs="Times New Roman PS"/>
          <w:i/>
          <w:sz w:val="21"/>
          <w:szCs w:val="22"/>
        </w:rPr>
        <w:t>Il Rdc e il governo Meloni</w:t>
      </w:r>
    </w:p>
    <w:p w14:paraId="4A3AF4A1" w14:textId="42E097F9" w:rsidR="00120BF7" w:rsidRDefault="00586003" w:rsidP="00EA4819">
      <w:pPr>
        <w:ind w:firstLine="708"/>
        <w:rPr>
          <w:rFonts w:ascii="Simoncini Garamond" w:hAnsi="Simoncini Garamond" w:cs="Times New Roman PS"/>
          <w:sz w:val="21"/>
          <w:szCs w:val="22"/>
        </w:rPr>
      </w:pPr>
      <w:r>
        <w:rPr>
          <w:rFonts w:ascii="Simoncini Garamond" w:hAnsi="Simoncini Garamond" w:cs="Times New Roman PS"/>
          <w:sz w:val="21"/>
          <w:szCs w:val="22"/>
        </w:rPr>
        <w:t xml:space="preserve"> </w:t>
      </w:r>
    </w:p>
    <w:p w14:paraId="7DAA1ACA" w14:textId="659DBFF8" w:rsidR="00120BF7" w:rsidRDefault="00F9032E" w:rsidP="00586003">
      <w:pPr>
        <w:ind w:firstLine="708"/>
        <w:rPr>
          <w:rFonts w:ascii="Simoncini Garamond" w:hAnsi="Simoncini Garamond" w:cs="Times New Roman PS"/>
          <w:sz w:val="21"/>
          <w:szCs w:val="22"/>
        </w:rPr>
      </w:pPr>
      <w:r>
        <w:rPr>
          <w:rFonts w:ascii="Simoncini Garamond" w:hAnsi="Simoncini Garamond" w:cs="Times New Roman PS"/>
          <w:sz w:val="21"/>
          <w:szCs w:val="22"/>
        </w:rPr>
        <w:t xml:space="preserve">Coerentemente con gli impegni presi in campagna elettorale, il governo Meloni ha introdotto con la legge di bilancio per il 2023 significativi cambiamenti alla normativa riguardante </w:t>
      </w:r>
      <w:r w:rsidR="004E40AD">
        <w:rPr>
          <w:rFonts w:ascii="Simoncini Garamond" w:hAnsi="Simoncini Garamond" w:cs="Times New Roman PS"/>
          <w:sz w:val="21"/>
          <w:szCs w:val="22"/>
        </w:rPr>
        <w:t>il contrasto alla povertà</w:t>
      </w:r>
      <w:r>
        <w:rPr>
          <w:rFonts w:ascii="Simoncini Garamond" w:hAnsi="Simoncini Garamond" w:cs="Times New Roman PS"/>
          <w:sz w:val="21"/>
          <w:szCs w:val="22"/>
        </w:rPr>
        <w:t xml:space="preserve">. I nuclei con Rdc vengono infatti divisi in due gruppi: le famiglie con almeno un minore, un anziano </w:t>
      </w:r>
      <w:r w:rsidR="009D37BD">
        <w:rPr>
          <w:rFonts w:ascii="Simoncini Garamond" w:hAnsi="Simoncini Garamond" w:cs="Times New Roman PS"/>
          <w:sz w:val="21"/>
          <w:szCs w:val="22"/>
        </w:rPr>
        <w:t xml:space="preserve">(con almeno 60 anni) </w:t>
      </w:r>
      <w:r>
        <w:rPr>
          <w:rFonts w:ascii="Simoncini Garamond" w:hAnsi="Simoncini Garamond" w:cs="Times New Roman PS"/>
          <w:sz w:val="21"/>
          <w:szCs w:val="22"/>
        </w:rPr>
        <w:t>o un disabile conserv</w:t>
      </w:r>
      <w:r w:rsidR="00A21AB1">
        <w:rPr>
          <w:rFonts w:ascii="Simoncini Garamond" w:hAnsi="Simoncini Garamond" w:cs="Times New Roman PS"/>
          <w:sz w:val="21"/>
          <w:szCs w:val="22"/>
        </w:rPr>
        <w:t xml:space="preserve">ano </w:t>
      </w:r>
      <w:r>
        <w:rPr>
          <w:rFonts w:ascii="Simoncini Garamond" w:hAnsi="Simoncini Garamond" w:cs="Times New Roman PS"/>
          <w:sz w:val="21"/>
          <w:szCs w:val="22"/>
        </w:rPr>
        <w:t xml:space="preserve">il beneficio per tutto il 2023, mentre per le altre il Rdc cessa da agosto 2023. Nulla cambia per la Pensione di cittadinanza. </w:t>
      </w:r>
      <w:r w:rsidR="004E40AD">
        <w:rPr>
          <w:rFonts w:ascii="Simoncini Garamond" w:hAnsi="Simoncini Garamond" w:cs="Times New Roman PS"/>
          <w:sz w:val="21"/>
          <w:szCs w:val="22"/>
        </w:rPr>
        <w:t>In</w:t>
      </w:r>
      <w:r w:rsidR="00561204">
        <w:rPr>
          <w:rFonts w:ascii="Simoncini Garamond" w:hAnsi="Simoncini Garamond" w:cs="Times New Roman PS"/>
          <w:sz w:val="21"/>
          <w:szCs w:val="22"/>
        </w:rPr>
        <w:t>oltre</w:t>
      </w:r>
      <w:r w:rsidR="004E40AD">
        <w:rPr>
          <w:rFonts w:ascii="Simoncini Garamond" w:hAnsi="Simoncini Garamond" w:cs="Times New Roman PS"/>
          <w:sz w:val="21"/>
          <w:szCs w:val="22"/>
        </w:rPr>
        <w:t xml:space="preserve">, la componente del Rdc che corrisponde al canone di affitto (fino a 3360 euro annui) viene versata direttamente al proprietario dell’immobile. </w:t>
      </w:r>
    </w:p>
    <w:p w14:paraId="4955A668" w14:textId="7741217E" w:rsidR="00F9032E" w:rsidRDefault="00F55C8A" w:rsidP="00A21AB1">
      <w:pPr>
        <w:ind w:firstLine="708"/>
        <w:rPr>
          <w:rFonts w:ascii="Simoncini Garamond" w:hAnsi="Simoncini Garamond" w:cs="Times New Roman PS"/>
          <w:sz w:val="21"/>
          <w:szCs w:val="22"/>
        </w:rPr>
      </w:pPr>
      <w:r>
        <w:rPr>
          <w:rFonts w:ascii="Simoncini Garamond" w:hAnsi="Simoncini Garamond" w:cs="Times New Roman PS"/>
          <w:sz w:val="21"/>
          <w:szCs w:val="22"/>
        </w:rPr>
        <w:t xml:space="preserve">Si introducono </w:t>
      </w:r>
      <w:r w:rsidR="00694E82">
        <w:rPr>
          <w:rFonts w:ascii="Simoncini Garamond" w:hAnsi="Simoncini Garamond" w:cs="Times New Roman PS"/>
          <w:sz w:val="21"/>
          <w:szCs w:val="22"/>
        </w:rPr>
        <w:t xml:space="preserve">con la legge di bilancio </w:t>
      </w:r>
      <w:r w:rsidR="004E40AD">
        <w:rPr>
          <w:rFonts w:ascii="Simoncini Garamond" w:hAnsi="Simoncini Garamond" w:cs="Times New Roman PS"/>
          <w:sz w:val="21"/>
          <w:szCs w:val="22"/>
        </w:rPr>
        <w:t xml:space="preserve">anche alcune novità che riguardano le condizionalità. I percettori tra 18 e </w:t>
      </w:r>
      <w:r>
        <w:rPr>
          <w:rFonts w:ascii="Simoncini Garamond" w:hAnsi="Simoncini Garamond" w:cs="Times New Roman PS"/>
          <w:sz w:val="21"/>
          <w:szCs w:val="22"/>
        </w:rPr>
        <w:t xml:space="preserve">59 </w:t>
      </w:r>
      <w:r w:rsidR="004E40AD">
        <w:rPr>
          <w:rFonts w:ascii="Simoncini Garamond" w:hAnsi="Simoncini Garamond" w:cs="Times New Roman PS"/>
          <w:sz w:val="21"/>
          <w:szCs w:val="22"/>
        </w:rPr>
        <w:t>anni devono frequentare un corso semestrale di formazione e riqualificazione professionale, pena la perdita del beneficio. Chi ha tra 19 e 29 anni deve inoltre seguire corsi di istruzione se non ha ancora adempiuto all’obbligo scolastico. Ancora, i comuni devono impiegare nei P</w:t>
      </w:r>
      <w:r w:rsidR="00A21AB1">
        <w:rPr>
          <w:rFonts w:ascii="Simoncini Garamond" w:hAnsi="Simoncini Garamond" w:cs="Times New Roman PS"/>
          <w:sz w:val="21"/>
          <w:szCs w:val="22"/>
        </w:rPr>
        <w:t>uc</w:t>
      </w:r>
      <w:r w:rsidR="004E40AD">
        <w:rPr>
          <w:rFonts w:ascii="Simoncini Garamond" w:hAnsi="Simoncini Garamond" w:cs="Times New Roman PS"/>
          <w:sz w:val="21"/>
          <w:szCs w:val="22"/>
        </w:rPr>
        <w:t xml:space="preserve"> (Progetti utili alla collettività) tutti i beneficiari del Rdc che abbiano sottoscritto un patto per il lavoro o un patto per l’inclusione sociale, non più solo un terzo di essi. </w:t>
      </w:r>
      <w:r w:rsidR="00D969A5">
        <w:rPr>
          <w:rFonts w:ascii="Simoncini Garamond" w:hAnsi="Simoncini Garamond" w:cs="Times New Roman PS"/>
          <w:sz w:val="21"/>
          <w:szCs w:val="22"/>
        </w:rPr>
        <w:t xml:space="preserve">Infine, il beneficio si perde se si rinuncia alla prima offerta di lavoro, anche se si percepisce il Rdc da meno di 18 mesi (fino a gennaio 2023, nei primi 18 mesi di fruizione il beneficio si perdeva alla seconda rinuncia, oltre i 18 mesi alla prima). La legge di bilancio 2023 potenzia anche gli incentivi per chi assume a tempo indeterminato un beneficiario del Rdc, con l’azzeramento </w:t>
      </w:r>
      <w:r w:rsidR="00BB65E4">
        <w:rPr>
          <w:rFonts w:ascii="Simoncini Garamond" w:hAnsi="Simoncini Garamond" w:cs="Times New Roman PS"/>
          <w:sz w:val="21"/>
          <w:szCs w:val="22"/>
        </w:rPr>
        <w:t xml:space="preserve">per 12 mesi </w:t>
      </w:r>
      <w:r w:rsidR="00D969A5">
        <w:rPr>
          <w:rFonts w:ascii="Simoncini Garamond" w:hAnsi="Simoncini Garamond" w:cs="Times New Roman PS"/>
          <w:sz w:val="21"/>
          <w:szCs w:val="22"/>
        </w:rPr>
        <w:t xml:space="preserve">dei contributi </w:t>
      </w:r>
      <w:r w:rsidR="00BB65E4">
        <w:rPr>
          <w:rFonts w:ascii="Simoncini Garamond" w:hAnsi="Simoncini Garamond" w:cs="Times New Roman PS"/>
          <w:sz w:val="21"/>
          <w:szCs w:val="22"/>
        </w:rPr>
        <w:t xml:space="preserve">previdenziali fino a un massimo di 8000 euro. </w:t>
      </w:r>
    </w:p>
    <w:p w14:paraId="2E38535B" w14:textId="6FDA80B5" w:rsidR="00F9032E" w:rsidRDefault="003A459F" w:rsidP="003A459F">
      <w:pPr>
        <w:ind w:firstLine="708"/>
        <w:rPr>
          <w:rFonts w:ascii="Simoncini Garamond" w:hAnsi="Simoncini Garamond" w:cs="Times New Roman PS"/>
          <w:sz w:val="21"/>
          <w:szCs w:val="22"/>
        </w:rPr>
      </w:pPr>
      <w:r>
        <w:rPr>
          <w:rFonts w:ascii="Simoncini Garamond" w:hAnsi="Simoncini Garamond" w:cs="Times New Roman PS"/>
          <w:sz w:val="21"/>
          <w:szCs w:val="22"/>
        </w:rPr>
        <w:lastRenderedPageBreak/>
        <w:t xml:space="preserve">Si realizza quindi la suddivisione </w:t>
      </w:r>
      <w:r w:rsidR="00561204">
        <w:rPr>
          <w:rFonts w:ascii="Simoncini Garamond" w:hAnsi="Simoncini Garamond" w:cs="Times New Roman PS"/>
          <w:sz w:val="21"/>
          <w:szCs w:val="22"/>
        </w:rPr>
        <w:t xml:space="preserve">in due gruppi </w:t>
      </w:r>
      <w:r>
        <w:rPr>
          <w:rFonts w:ascii="Simoncini Garamond" w:hAnsi="Simoncini Garamond" w:cs="Times New Roman PS"/>
          <w:sz w:val="21"/>
          <w:szCs w:val="22"/>
        </w:rPr>
        <w:t xml:space="preserve">dei nuclei in povertà che era stata preannunciata in campagna elettorale: da un lato i </w:t>
      </w:r>
      <w:r w:rsidR="00A21AB1">
        <w:rPr>
          <w:rFonts w:ascii="Simoncini Garamond" w:hAnsi="Simoncini Garamond" w:cs="Times New Roman PS"/>
          <w:sz w:val="21"/>
          <w:szCs w:val="22"/>
        </w:rPr>
        <w:t xml:space="preserve">nuclei </w:t>
      </w:r>
      <w:r>
        <w:rPr>
          <w:rFonts w:ascii="Simoncini Garamond" w:hAnsi="Simoncini Garamond" w:cs="Times New Roman PS"/>
          <w:sz w:val="21"/>
          <w:szCs w:val="22"/>
        </w:rPr>
        <w:t>più fragili, identificati con la presenza di minori</w:t>
      </w:r>
      <w:r w:rsidR="00A21AB1">
        <w:rPr>
          <w:rFonts w:ascii="Simoncini Garamond" w:hAnsi="Simoncini Garamond" w:cs="Times New Roman PS"/>
          <w:sz w:val="21"/>
          <w:szCs w:val="22"/>
        </w:rPr>
        <w:t>,</w:t>
      </w:r>
      <w:r>
        <w:rPr>
          <w:rFonts w:ascii="Simoncini Garamond" w:hAnsi="Simoncini Garamond" w:cs="Times New Roman PS"/>
          <w:sz w:val="21"/>
          <w:szCs w:val="22"/>
        </w:rPr>
        <w:t xml:space="preserve"> anziani o disabili, a cui viene riservata una maggiore protezione, dall’altro </w:t>
      </w:r>
      <w:r w:rsidR="00A21AB1">
        <w:rPr>
          <w:rFonts w:ascii="Simoncini Garamond" w:hAnsi="Simoncini Garamond" w:cs="Times New Roman PS"/>
          <w:sz w:val="21"/>
          <w:szCs w:val="22"/>
        </w:rPr>
        <w:t xml:space="preserve">i nuclei </w:t>
      </w:r>
      <w:r>
        <w:rPr>
          <w:rFonts w:ascii="Simoncini Garamond" w:hAnsi="Simoncini Garamond" w:cs="Times New Roman PS"/>
          <w:sz w:val="21"/>
          <w:szCs w:val="22"/>
        </w:rPr>
        <w:t xml:space="preserve">più vicini al mercato del lavoro, che nel 2023 hanno diritto al Rdc solo per 7 mesi, in attesa di una riforma organica che rimpiazzerà per tutti il Rdc </w:t>
      </w:r>
      <w:r w:rsidR="00561204">
        <w:rPr>
          <w:rFonts w:ascii="Simoncini Garamond" w:hAnsi="Simoncini Garamond" w:cs="Times New Roman PS"/>
          <w:sz w:val="21"/>
          <w:szCs w:val="22"/>
        </w:rPr>
        <w:t xml:space="preserve">e la Pensione di cittadinanza </w:t>
      </w:r>
      <w:r>
        <w:rPr>
          <w:rFonts w:ascii="Simoncini Garamond" w:hAnsi="Simoncini Garamond" w:cs="Times New Roman PS"/>
          <w:sz w:val="21"/>
          <w:szCs w:val="22"/>
        </w:rPr>
        <w:t>con nuove misure a partire da gennaio 2024. Tutti i soggetti “abili” tra 18 e 59 anni di entrambi i gruppi, con eccezioni limitate solo a chi ha obblighi di cura</w:t>
      </w:r>
      <w:r w:rsidR="00442598">
        <w:rPr>
          <w:rStyle w:val="Rimandonotaapidipagina"/>
          <w:rFonts w:ascii="Simoncini Garamond" w:hAnsi="Simoncini Garamond" w:cs="Times New Roman PS"/>
          <w:sz w:val="21"/>
          <w:szCs w:val="22"/>
        </w:rPr>
        <w:footnoteReference w:id="7"/>
      </w:r>
      <w:r>
        <w:rPr>
          <w:rFonts w:ascii="Simoncini Garamond" w:hAnsi="Simoncini Garamond" w:cs="Times New Roman PS"/>
          <w:sz w:val="21"/>
          <w:szCs w:val="22"/>
        </w:rPr>
        <w:t xml:space="preserve">, devono comunque rispettare gli impegni sottoscritti con i patti per il lavoro </w:t>
      </w:r>
      <w:r w:rsidR="00C2759E">
        <w:rPr>
          <w:rFonts w:ascii="Simoncini Garamond" w:hAnsi="Simoncini Garamond" w:cs="Times New Roman PS"/>
          <w:sz w:val="21"/>
          <w:szCs w:val="22"/>
        </w:rPr>
        <w:t>e</w:t>
      </w:r>
      <w:r>
        <w:rPr>
          <w:rFonts w:ascii="Simoncini Garamond" w:hAnsi="Simoncini Garamond" w:cs="Times New Roman PS"/>
          <w:sz w:val="21"/>
          <w:szCs w:val="22"/>
        </w:rPr>
        <w:t xml:space="preserve"> per l’inclusione. A proposito delle condizionalità, i loro inasprimenti hanno un senso solo se il governo sarà efficiente nell’emanare i necessari piani e protocolli attuativi, altrimenti resterà tutto sulla carta e crescerà ancora la distanza tra le condizionalità previste </w:t>
      </w:r>
      <w:r w:rsidR="005C2095">
        <w:rPr>
          <w:rFonts w:ascii="Simoncini Garamond" w:hAnsi="Simoncini Garamond" w:cs="Times New Roman PS"/>
          <w:sz w:val="21"/>
          <w:szCs w:val="22"/>
        </w:rPr>
        <w:t xml:space="preserve">sul piano formale </w:t>
      </w:r>
      <w:r>
        <w:rPr>
          <w:rFonts w:ascii="Simoncini Garamond" w:hAnsi="Simoncini Garamond" w:cs="Times New Roman PS"/>
          <w:sz w:val="21"/>
          <w:szCs w:val="22"/>
        </w:rPr>
        <w:t>e quelle effettive</w:t>
      </w:r>
      <w:r w:rsidR="00620A15">
        <w:rPr>
          <w:rFonts w:ascii="Simoncini Garamond" w:hAnsi="Simoncini Garamond" w:cs="Times New Roman PS"/>
          <w:sz w:val="21"/>
          <w:szCs w:val="22"/>
        </w:rPr>
        <w:t xml:space="preserve"> [Corte dei Conti 2023]</w:t>
      </w:r>
      <w:r>
        <w:rPr>
          <w:rFonts w:ascii="Simoncini Garamond" w:hAnsi="Simoncini Garamond" w:cs="Times New Roman PS"/>
          <w:sz w:val="21"/>
          <w:szCs w:val="22"/>
        </w:rPr>
        <w:t>.</w:t>
      </w:r>
    </w:p>
    <w:p w14:paraId="17EA4B30" w14:textId="16F3A2DB" w:rsidR="003A459F" w:rsidRDefault="009D37BD" w:rsidP="00C773B2">
      <w:pPr>
        <w:ind w:firstLine="708"/>
        <w:rPr>
          <w:rFonts w:ascii="Simoncini Garamond" w:hAnsi="Simoncini Garamond" w:cs="Times New Roman PS"/>
          <w:sz w:val="21"/>
          <w:szCs w:val="22"/>
        </w:rPr>
      </w:pPr>
      <w:r>
        <w:rPr>
          <w:rFonts w:ascii="Simoncini Garamond" w:hAnsi="Simoncini Garamond" w:cs="Times New Roman PS"/>
          <w:sz w:val="21"/>
          <w:szCs w:val="22"/>
        </w:rPr>
        <w:t>La legge di bilancio ha solo anticipato la riforma strutturale della principale misura contro la povertà del sistema italiano di welfare, che è arrivata con il decreto-legge n. 48 del 4 maggio 202</w:t>
      </w:r>
      <w:r w:rsidR="00C773B2">
        <w:rPr>
          <w:rFonts w:ascii="Simoncini Garamond" w:hAnsi="Simoncini Garamond" w:cs="Times New Roman PS"/>
          <w:sz w:val="21"/>
          <w:szCs w:val="22"/>
        </w:rPr>
        <w:t>3</w:t>
      </w:r>
      <w:r>
        <w:rPr>
          <w:rFonts w:ascii="Simoncini Garamond" w:hAnsi="Simoncini Garamond" w:cs="Times New Roman PS"/>
          <w:sz w:val="21"/>
          <w:szCs w:val="22"/>
        </w:rPr>
        <w:t xml:space="preserve"> (</w:t>
      </w:r>
      <w:r w:rsidR="00E42F30">
        <w:rPr>
          <w:rFonts w:ascii="Simoncini Garamond" w:hAnsi="Simoncini Garamond" w:cs="Times New Roman PS"/>
          <w:sz w:val="21"/>
          <w:szCs w:val="22"/>
        </w:rPr>
        <w:t xml:space="preserve">il </w:t>
      </w:r>
      <w:r>
        <w:rPr>
          <w:rFonts w:ascii="Simoncini Garamond" w:hAnsi="Simoncini Garamond" w:cs="Times New Roman PS"/>
          <w:sz w:val="21"/>
          <w:szCs w:val="22"/>
        </w:rPr>
        <w:t>c</w:t>
      </w:r>
      <w:r w:rsidR="00E42F30">
        <w:rPr>
          <w:rFonts w:ascii="Simoncini Garamond" w:hAnsi="Simoncini Garamond" w:cs="Times New Roman PS"/>
          <w:sz w:val="21"/>
          <w:szCs w:val="22"/>
        </w:rPr>
        <w:t>osid</w:t>
      </w:r>
      <w:r>
        <w:rPr>
          <w:rFonts w:ascii="Simoncini Garamond" w:hAnsi="Simoncini Garamond" w:cs="Times New Roman PS"/>
          <w:sz w:val="21"/>
          <w:szCs w:val="22"/>
        </w:rPr>
        <w:t>d</w:t>
      </w:r>
      <w:r w:rsidR="00E42F30">
        <w:rPr>
          <w:rFonts w:ascii="Simoncini Garamond" w:hAnsi="Simoncini Garamond" w:cs="Times New Roman PS"/>
          <w:sz w:val="21"/>
          <w:szCs w:val="22"/>
        </w:rPr>
        <w:t>etto</w:t>
      </w:r>
      <w:r>
        <w:rPr>
          <w:rFonts w:ascii="Simoncini Garamond" w:hAnsi="Simoncini Garamond" w:cs="Times New Roman PS"/>
          <w:sz w:val="21"/>
          <w:szCs w:val="22"/>
        </w:rPr>
        <w:t xml:space="preserve"> decreto lavoro). Esso prevede </w:t>
      </w:r>
      <w:r w:rsidR="00445DCB">
        <w:rPr>
          <w:rFonts w:ascii="Simoncini Garamond" w:hAnsi="Simoncini Garamond" w:cs="Times New Roman PS"/>
          <w:sz w:val="21"/>
          <w:szCs w:val="22"/>
        </w:rPr>
        <w:t xml:space="preserve">la sostituzione del Rdc con due nuove misure: </w:t>
      </w:r>
    </w:p>
    <w:p w14:paraId="568A52A6" w14:textId="7C2B8948" w:rsidR="00445DCB" w:rsidRDefault="00445DCB" w:rsidP="00445DCB">
      <w:pPr>
        <w:pStyle w:val="Paragrafoelenco"/>
        <w:numPr>
          <w:ilvl w:val="0"/>
          <w:numId w:val="20"/>
        </w:numPr>
        <w:rPr>
          <w:rFonts w:ascii="Simoncini Garamond" w:hAnsi="Simoncini Garamond" w:cs="Times New Roman PS"/>
          <w:sz w:val="21"/>
          <w:szCs w:val="22"/>
        </w:rPr>
      </w:pPr>
      <w:r>
        <w:rPr>
          <w:rFonts w:ascii="Simoncini Garamond" w:hAnsi="Simoncini Garamond" w:cs="Times New Roman PS"/>
          <w:sz w:val="21"/>
          <w:szCs w:val="22"/>
        </w:rPr>
        <w:t>L’</w:t>
      </w:r>
      <w:r w:rsidRPr="00E42F30">
        <w:rPr>
          <w:rFonts w:ascii="Simoncini Garamond" w:hAnsi="Simoncini Garamond" w:cs="Times New Roman PS"/>
          <w:i/>
          <w:sz w:val="21"/>
          <w:szCs w:val="22"/>
        </w:rPr>
        <w:t xml:space="preserve">Assegno di inclusione </w:t>
      </w:r>
      <w:r>
        <w:rPr>
          <w:rFonts w:ascii="Simoncini Garamond" w:hAnsi="Simoncini Garamond" w:cs="Times New Roman PS"/>
          <w:sz w:val="21"/>
          <w:szCs w:val="22"/>
        </w:rPr>
        <w:t>(Adi), che parte dal gennaio 2024 ed è destinato ai nuclei in povertà con almeno un disabile, un anziano (da 60 anni</w:t>
      </w:r>
      <w:r w:rsidR="00E42F30">
        <w:rPr>
          <w:rFonts w:ascii="Simoncini Garamond" w:hAnsi="Simoncini Garamond" w:cs="Times New Roman PS"/>
          <w:sz w:val="21"/>
          <w:szCs w:val="22"/>
        </w:rPr>
        <w:t xml:space="preserve"> in su</w:t>
      </w:r>
      <w:r>
        <w:rPr>
          <w:rFonts w:ascii="Simoncini Garamond" w:hAnsi="Simoncini Garamond" w:cs="Times New Roman PS"/>
          <w:sz w:val="21"/>
          <w:szCs w:val="22"/>
        </w:rPr>
        <w:t xml:space="preserve">) o un minore. </w:t>
      </w:r>
    </w:p>
    <w:p w14:paraId="0DB1B015" w14:textId="50993600" w:rsidR="00491EC1" w:rsidRDefault="00445DCB" w:rsidP="00445DCB">
      <w:pPr>
        <w:pStyle w:val="Paragrafoelenco"/>
        <w:numPr>
          <w:ilvl w:val="0"/>
          <w:numId w:val="20"/>
        </w:numPr>
        <w:rPr>
          <w:rFonts w:ascii="Simoncini Garamond" w:hAnsi="Simoncini Garamond" w:cs="Times New Roman PS"/>
          <w:sz w:val="21"/>
          <w:szCs w:val="22"/>
        </w:rPr>
      </w:pPr>
      <w:r>
        <w:rPr>
          <w:rFonts w:ascii="Simoncini Garamond" w:hAnsi="Simoncini Garamond" w:cs="Times New Roman PS"/>
          <w:sz w:val="21"/>
          <w:szCs w:val="22"/>
        </w:rPr>
        <w:t xml:space="preserve">Il </w:t>
      </w:r>
      <w:r w:rsidRPr="00E42F30">
        <w:rPr>
          <w:rFonts w:ascii="Simoncini Garamond" w:hAnsi="Simoncini Garamond" w:cs="Times New Roman PS"/>
          <w:i/>
          <w:sz w:val="21"/>
          <w:szCs w:val="22"/>
        </w:rPr>
        <w:t>Supporto per la formazione e il lavoro</w:t>
      </w:r>
      <w:r>
        <w:rPr>
          <w:rFonts w:ascii="Simoncini Garamond" w:hAnsi="Simoncini Garamond" w:cs="Times New Roman PS"/>
          <w:sz w:val="21"/>
          <w:szCs w:val="22"/>
        </w:rPr>
        <w:t xml:space="preserve"> (Sfl), a partire da settembre 2023, per persone tra 18 e 59 anni che non convivono con minori, anziani o disabili. Questa misura può essere ricevuta anche dagli adulti che vivono in nuclei beneficiari dell’Adi</w:t>
      </w:r>
      <w:r w:rsidR="00E42F30">
        <w:rPr>
          <w:rFonts w:ascii="Simoncini Garamond" w:hAnsi="Simoncini Garamond" w:cs="Times New Roman PS"/>
          <w:sz w:val="21"/>
          <w:szCs w:val="22"/>
        </w:rPr>
        <w:t xml:space="preserve"> e</w:t>
      </w:r>
      <w:r>
        <w:rPr>
          <w:rFonts w:ascii="Simoncini Garamond" w:hAnsi="Simoncini Garamond" w:cs="Times New Roman PS"/>
          <w:sz w:val="21"/>
          <w:szCs w:val="22"/>
        </w:rPr>
        <w:t xml:space="preserve"> che non concorrono a definir</w:t>
      </w:r>
      <w:r w:rsidR="00694E82">
        <w:rPr>
          <w:rFonts w:ascii="Simoncini Garamond" w:hAnsi="Simoncini Garamond" w:cs="Times New Roman PS"/>
          <w:sz w:val="21"/>
          <w:szCs w:val="22"/>
        </w:rPr>
        <w:t>n</w:t>
      </w:r>
      <w:r>
        <w:rPr>
          <w:rFonts w:ascii="Simoncini Garamond" w:hAnsi="Simoncini Garamond" w:cs="Times New Roman PS"/>
          <w:sz w:val="21"/>
          <w:szCs w:val="22"/>
        </w:rPr>
        <w:t>e la scala di equivalenza.</w:t>
      </w:r>
    </w:p>
    <w:p w14:paraId="7CD2456A" w14:textId="0C3D1C11" w:rsidR="00F71D65" w:rsidRDefault="00445DCB" w:rsidP="00D40533">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Tra </w:t>
      </w:r>
      <w:r w:rsidR="009D37BD">
        <w:rPr>
          <w:rFonts w:ascii="Simoncini Garamond" w:hAnsi="Simoncini Garamond" w:cs="Times New Roman PS"/>
          <w:sz w:val="21"/>
          <w:szCs w:val="22"/>
        </w:rPr>
        <w:t>i due schemi</w:t>
      </w:r>
      <w:r>
        <w:rPr>
          <w:rFonts w:ascii="Simoncini Garamond" w:hAnsi="Simoncini Garamond" w:cs="Times New Roman PS"/>
          <w:sz w:val="21"/>
          <w:szCs w:val="22"/>
        </w:rPr>
        <w:t>, che riprendono la suddivisione tra nuclei “occupabili” e “non occupabili”</w:t>
      </w:r>
      <w:r w:rsidR="00491EC1">
        <w:rPr>
          <w:rFonts w:ascii="Simoncini Garamond" w:hAnsi="Simoncini Garamond" w:cs="Times New Roman PS"/>
          <w:sz w:val="21"/>
          <w:szCs w:val="22"/>
        </w:rPr>
        <w:t xml:space="preserve"> presente in legge di bilancio</w:t>
      </w:r>
      <w:r>
        <w:rPr>
          <w:rFonts w:ascii="Simoncini Garamond" w:hAnsi="Simoncini Garamond" w:cs="Times New Roman PS"/>
          <w:sz w:val="21"/>
          <w:szCs w:val="22"/>
        </w:rPr>
        <w:t xml:space="preserve">, vi sono molte differenze. Tra le soglie di accesso, quella sull’Isee vale </w:t>
      </w:r>
      <w:r>
        <w:rPr>
          <w:rFonts w:ascii="Simoncini Garamond" w:hAnsi="Simoncini Garamond" w:cs="Times New Roman PS"/>
          <w:sz w:val="21"/>
          <w:szCs w:val="22"/>
        </w:rPr>
        <w:lastRenderedPageBreak/>
        <w:t>9360 euro per l’Adi e 6000 per il Sfl, ma la soglia di reddito, più stringente, è in entrambi i casi di 6000 euro</w:t>
      </w:r>
      <w:r w:rsidR="00A50A3B">
        <w:rPr>
          <w:rFonts w:ascii="Simoncini Garamond" w:hAnsi="Simoncini Garamond" w:cs="Times New Roman PS"/>
          <w:sz w:val="21"/>
          <w:szCs w:val="22"/>
        </w:rPr>
        <w:t xml:space="preserve"> (7560 per l’Adi se il nucleo ha solo persone con almeno 67 anni o disabili)</w:t>
      </w:r>
      <w:r w:rsidR="00F71D65">
        <w:rPr>
          <w:rFonts w:ascii="Simoncini Garamond" w:hAnsi="Simoncini Garamond" w:cs="Times New Roman PS"/>
          <w:sz w:val="21"/>
          <w:szCs w:val="22"/>
        </w:rPr>
        <w:t xml:space="preserve">, mentre per il Rdc e la Pdc la soglia di reddito vale 9360 euro per le famiglie in locazione. </w:t>
      </w:r>
    </w:p>
    <w:p w14:paraId="78895D79" w14:textId="0BDECA94" w:rsidR="00445DCB" w:rsidRDefault="0044463B" w:rsidP="00D40533">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Le principali differenze </w:t>
      </w:r>
      <w:r w:rsidR="00694E82">
        <w:rPr>
          <w:rFonts w:ascii="Simoncini Garamond" w:hAnsi="Simoncini Garamond" w:cs="Times New Roman PS"/>
          <w:sz w:val="21"/>
          <w:szCs w:val="22"/>
        </w:rPr>
        <w:t xml:space="preserve">tra le misure </w:t>
      </w:r>
      <w:r>
        <w:rPr>
          <w:rFonts w:ascii="Simoncini Garamond" w:hAnsi="Simoncini Garamond" w:cs="Times New Roman PS"/>
          <w:sz w:val="21"/>
          <w:szCs w:val="22"/>
        </w:rPr>
        <w:t xml:space="preserve">sono due: i) l’Adi ha per il primo periodo di fruizione una durata di 18 mesi ed è rinnovabile per periodi </w:t>
      </w:r>
      <w:r w:rsidR="00E42F30">
        <w:rPr>
          <w:rFonts w:ascii="Simoncini Garamond" w:hAnsi="Simoncini Garamond" w:cs="Times New Roman PS"/>
          <w:sz w:val="21"/>
          <w:szCs w:val="22"/>
        </w:rPr>
        <w:t xml:space="preserve">di </w:t>
      </w:r>
      <w:r>
        <w:rPr>
          <w:rFonts w:ascii="Simoncini Garamond" w:hAnsi="Simoncini Garamond" w:cs="Times New Roman PS"/>
          <w:sz w:val="21"/>
          <w:szCs w:val="22"/>
        </w:rPr>
        <w:t xml:space="preserve">12 mesi un numero indeterminato di volte, con sospensione di un mese tra un rinnovo e il successivo. Il Sfl invece dura </w:t>
      </w:r>
      <w:r w:rsidR="00F71D65">
        <w:rPr>
          <w:rFonts w:ascii="Simoncini Garamond" w:hAnsi="Simoncini Garamond" w:cs="Times New Roman PS"/>
          <w:sz w:val="21"/>
          <w:szCs w:val="22"/>
        </w:rPr>
        <w:t xml:space="preserve">al massimo </w:t>
      </w:r>
      <w:r>
        <w:rPr>
          <w:rFonts w:ascii="Simoncini Garamond" w:hAnsi="Simoncini Garamond" w:cs="Times New Roman PS"/>
          <w:sz w:val="21"/>
          <w:szCs w:val="22"/>
        </w:rPr>
        <w:t>solo 12 mesi e non è rinnovab</w:t>
      </w:r>
      <w:r w:rsidR="00694E82">
        <w:rPr>
          <w:rFonts w:ascii="Simoncini Garamond" w:hAnsi="Simoncini Garamond" w:cs="Times New Roman PS"/>
          <w:sz w:val="21"/>
          <w:szCs w:val="22"/>
        </w:rPr>
        <w:t>i</w:t>
      </w:r>
      <w:r>
        <w:rPr>
          <w:rFonts w:ascii="Simoncini Garamond" w:hAnsi="Simoncini Garamond" w:cs="Times New Roman PS"/>
          <w:sz w:val="21"/>
          <w:szCs w:val="22"/>
        </w:rPr>
        <w:t>le; ii) l’Adi si calcola come differenza tra la soglia massima di 6000 euro moltiplicat</w:t>
      </w:r>
      <w:r w:rsidR="005C2095">
        <w:rPr>
          <w:rFonts w:ascii="Simoncini Garamond" w:hAnsi="Simoncini Garamond" w:cs="Times New Roman PS"/>
          <w:sz w:val="21"/>
          <w:szCs w:val="22"/>
        </w:rPr>
        <w:t>a</w:t>
      </w:r>
      <w:r>
        <w:rPr>
          <w:rFonts w:ascii="Simoncini Garamond" w:hAnsi="Simoncini Garamond" w:cs="Times New Roman PS"/>
          <w:sz w:val="21"/>
          <w:szCs w:val="22"/>
        </w:rPr>
        <w:t xml:space="preserve"> per </w:t>
      </w:r>
      <w:r w:rsidR="005F6C52">
        <w:rPr>
          <w:rFonts w:ascii="Simoncini Garamond" w:hAnsi="Simoncini Garamond" w:cs="Times New Roman PS"/>
          <w:sz w:val="21"/>
          <w:szCs w:val="22"/>
        </w:rPr>
        <w:t xml:space="preserve">il coefficiente </w:t>
      </w:r>
      <w:r w:rsidR="00451508">
        <w:rPr>
          <w:rFonts w:ascii="Simoncini Garamond" w:hAnsi="Simoncini Garamond" w:cs="Times New Roman PS"/>
          <w:sz w:val="21"/>
          <w:szCs w:val="22"/>
        </w:rPr>
        <w:t xml:space="preserve">della scala </w:t>
      </w:r>
      <w:r>
        <w:rPr>
          <w:rFonts w:ascii="Simoncini Garamond" w:hAnsi="Simoncini Garamond" w:cs="Times New Roman PS"/>
          <w:sz w:val="21"/>
          <w:szCs w:val="22"/>
        </w:rPr>
        <w:t xml:space="preserve">di equivalenza e il reddito disponibile del nucleo, a cui si aggiunge un massimo di 3360 euro per chi vive in locazione, mentre il Sfl ha </w:t>
      </w:r>
      <w:r w:rsidR="00E42F30">
        <w:rPr>
          <w:rFonts w:ascii="Simoncini Garamond" w:hAnsi="Simoncini Garamond" w:cs="Times New Roman PS"/>
          <w:sz w:val="21"/>
          <w:szCs w:val="22"/>
        </w:rPr>
        <w:t xml:space="preserve">un </w:t>
      </w:r>
      <w:r>
        <w:rPr>
          <w:rFonts w:ascii="Simoncini Garamond" w:hAnsi="Simoncini Garamond" w:cs="Times New Roman PS"/>
          <w:sz w:val="21"/>
          <w:szCs w:val="22"/>
        </w:rPr>
        <w:t xml:space="preserve">importo fisso </w:t>
      </w:r>
      <w:r w:rsidR="005C2095">
        <w:rPr>
          <w:rFonts w:ascii="Simoncini Garamond" w:hAnsi="Simoncini Garamond" w:cs="Times New Roman PS"/>
          <w:sz w:val="21"/>
          <w:szCs w:val="22"/>
        </w:rPr>
        <w:t xml:space="preserve">pro-capite </w:t>
      </w:r>
      <w:r>
        <w:rPr>
          <w:rFonts w:ascii="Simoncini Garamond" w:hAnsi="Simoncini Garamond" w:cs="Times New Roman PS"/>
          <w:sz w:val="21"/>
          <w:szCs w:val="22"/>
        </w:rPr>
        <w:t xml:space="preserve">di 350 euro al mese, senza compensazione per l’eventuale affitto pagato. </w:t>
      </w:r>
    </w:p>
    <w:p w14:paraId="4A2FC8FD" w14:textId="252BF4A8" w:rsidR="00445DCB" w:rsidRDefault="006A12FD" w:rsidP="00D40533">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L’Adi quindi rappresenta la continuazione del Rdc, con alcune differenze, mentre il Sfl è completamente diverso dalla misura precedente, sia nell’importo che nella durata. Un elemento in comune </w:t>
      </w:r>
      <w:r w:rsidR="00966A25">
        <w:rPr>
          <w:rFonts w:ascii="Simoncini Garamond" w:hAnsi="Simoncini Garamond" w:cs="Times New Roman PS"/>
          <w:sz w:val="21"/>
          <w:szCs w:val="22"/>
        </w:rPr>
        <w:t xml:space="preserve">tra </w:t>
      </w:r>
      <w:r w:rsidR="00694E82">
        <w:rPr>
          <w:rFonts w:ascii="Simoncini Garamond" w:hAnsi="Simoncini Garamond" w:cs="Times New Roman PS"/>
          <w:sz w:val="21"/>
          <w:szCs w:val="22"/>
        </w:rPr>
        <w:t xml:space="preserve">i due nuovi schemi </w:t>
      </w:r>
      <w:r>
        <w:rPr>
          <w:rFonts w:ascii="Simoncini Garamond" w:hAnsi="Simoncini Garamond" w:cs="Times New Roman PS"/>
          <w:sz w:val="21"/>
          <w:szCs w:val="22"/>
        </w:rPr>
        <w:t>è la riduzione del numero minimo di anni di residenza in Italia, che passa dai 10 richiesti dal Rdc a 5. La scala di equivalenza (che si applica per determinare l’accesso ad entrambe le misure, ma solo all’Adi per il calcolo dell’importo) cambia significativamente rispetto al Rdc: il contributo alla scala vale 1 per il primo componente, 0</w:t>
      </w:r>
      <w:r w:rsidR="00451508">
        <w:rPr>
          <w:rFonts w:ascii="Simoncini Garamond" w:hAnsi="Simoncini Garamond" w:cs="Times New Roman PS"/>
          <w:sz w:val="21"/>
          <w:szCs w:val="22"/>
        </w:rPr>
        <w:t>,</w:t>
      </w:r>
      <w:r>
        <w:rPr>
          <w:rFonts w:ascii="Simoncini Garamond" w:hAnsi="Simoncini Garamond" w:cs="Times New Roman PS"/>
          <w:sz w:val="21"/>
          <w:szCs w:val="22"/>
        </w:rPr>
        <w:t xml:space="preserve">5 </w:t>
      </w:r>
      <w:r w:rsidR="00952462">
        <w:rPr>
          <w:rFonts w:ascii="Simoncini Garamond" w:hAnsi="Simoncini Garamond" w:cs="Times New Roman PS"/>
          <w:sz w:val="21"/>
          <w:szCs w:val="22"/>
        </w:rPr>
        <w:t>per ogni disabile, 0</w:t>
      </w:r>
      <w:r w:rsidR="00451508">
        <w:rPr>
          <w:rFonts w:ascii="Simoncini Garamond" w:hAnsi="Simoncini Garamond" w:cs="Times New Roman PS"/>
          <w:sz w:val="21"/>
          <w:szCs w:val="22"/>
        </w:rPr>
        <w:t>,</w:t>
      </w:r>
      <w:r w:rsidR="00952462">
        <w:rPr>
          <w:rFonts w:ascii="Simoncini Garamond" w:hAnsi="Simoncini Garamond" w:cs="Times New Roman PS"/>
          <w:sz w:val="21"/>
          <w:szCs w:val="22"/>
        </w:rPr>
        <w:t xml:space="preserve">4 per ogni </w:t>
      </w:r>
      <w:r w:rsidR="005C2095">
        <w:rPr>
          <w:rFonts w:ascii="Simoncini Garamond" w:hAnsi="Simoncini Garamond" w:cs="Times New Roman PS"/>
          <w:sz w:val="21"/>
          <w:szCs w:val="22"/>
        </w:rPr>
        <w:t>ultra 59enne</w:t>
      </w:r>
      <w:r w:rsidR="00952462">
        <w:rPr>
          <w:rFonts w:ascii="Simoncini Garamond" w:hAnsi="Simoncini Garamond" w:cs="Times New Roman PS"/>
          <w:sz w:val="21"/>
          <w:szCs w:val="22"/>
        </w:rPr>
        <w:t>, 0</w:t>
      </w:r>
      <w:r w:rsidR="00451508">
        <w:rPr>
          <w:rFonts w:ascii="Simoncini Garamond" w:hAnsi="Simoncini Garamond" w:cs="Times New Roman PS"/>
          <w:sz w:val="21"/>
          <w:szCs w:val="22"/>
        </w:rPr>
        <w:t>,</w:t>
      </w:r>
      <w:r w:rsidR="00952462">
        <w:rPr>
          <w:rFonts w:ascii="Simoncini Garamond" w:hAnsi="Simoncini Garamond" w:cs="Times New Roman PS"/>
          <w:sz w:val="21"/>
          <w:szCs w:val="22"/>
        </w:rPr>
        <w:t>15 per ciascuno dei primi due minori, 0</w:t>
      </w:r>
      <w:r w:rsidR="00451508">
        <w:rPr>
          <w:rFonts w:ascii="Simoncini Garamond" w:hAnsi="Simoncini Garamond" w:cs="Times New Roman PS"/>
          <w:sz w:val="21"/>
          <w:szCs w:val="22"/>
        </w:rPr>
        <w:t>,</w:t>
      </w:r>
      <w:r w:rsidR="00952462">
        <w:rPr>
          <w:rFonts w:ascii="Simoncini Garamond" w:hAnsi="Simoncini Garamond" w:cs="Times New Roman PS"/>
          <w:sz w:val="21"/>
          <w:szCs w:val="22"/>
        </w:rPr>
        <w:t>1 per ogni minore oltre il secondo, 0</w:t>
      </w:r>
      <w:r w:rsidR="00451508">
        <w:rPr>
          <w:rFonts w:ascii="Simoncini Garamond" w:hAnsi="Simoncini Garamond" w:cs="Times New Roman PS"/>
          <w:sz w:val="21"/>
          <w:szCs w:val="22"/>
        </w:rPr>
        <w:t>,</w:t>
      </w:r>
      <w:r w:rsidR="00952462">
        <w:rPr>
          <w:rFonts w:ascii="Simoncini Garamond" w:hAnsi="Simoncini Garamond" w:cs="Times New Roman PS"/>
          <w:sz w:val="21"/>
          <w:szCs w:val="22"/>
        </w:rPr>
        <w:t xml:space="preserve">4 per ogni adulto con compiti di cura. Quindi le persone tra 18 e 59 anni non disabili e senza compiti di cura, ad esempio </w:t>
      </w:r>
      <w:r w:rsidR="00966A25">
        <w:rPr>
          <w:rFonts w:ascii="Simoncini Garamond" w:hAnsi="Simoncini Garamond" w:cs="Times New Roman PS"/>
          <w:sz w:val="21"/>
          <w:szCs w:val="22"/>
        </w:rPr>
        <w:t>un</w:t>
      </w:r>
      <w:r w:rsidR="00952462">
        <w:rPr>
          <w:rFonts w:ascii="Simoncini Garamond" w:hAnsi="Simoncini Garamond" w:cs="Times New Roman PS"/>
          <w:sz w:val="21"/>
          <w:szCs w:val="22"/>
        </w:rPr>
        <w:t xml:space="preserve"> figli</w:t>
      </w:r>
      <w:r w:rsidR="00966A25">
        <w:rPr>
          <w:rFonts w:ascii="Simoncini Garamond" w:hAnsi="Simoncini Garamond" w:cs="Times New Roman PS"/>
          <w:sz w:val="21"/>
          <w:szCs w:val="22"/>
        </w:rPr>
        <w:t>o</w:t>
      </w:r>
      <w:r w:rsidR="00952462">
        <w:rPr>
          <w:rFonts w:ascii="Simoncini Garamond" w:hAnsi="Simoncini Garamond" w:cs="Times New Roman PS"/>
          <w:sz w:val="21"/>
          <w:szCs w:val="22"/>
        </w:rPr>
        <w:t xml:space="preserve"> maggiorenn</w:t>
      </w:r>
      <w:r w:rsidR="00966A25">
        <w:rPr>
          <w:rFonts w:ascii="Simoncini Garamond" w:hAnsi="Simoncini Garamond" w:cs="Times New Roman PS"/>
          <w:sz w:val="21"/>
          <w:szCs w:val="22"/>
        </w:rPr>
        <w:t>e</w:t>
      </w:r>
      <w:r w:rsidR="00952462">
        <w:rPr>
          <w:rFonts w:ascii="Simoncini Garamond" w:hAnsi="Simoncini Garamond" w:cs="Times New Roman PS"/>
          <w:sz w:val="21"/>
          <w:szCs w:val="22"/>
        </w:rPr>
        <w:t xml:space="preserve"> o il coniuge </w:t>
      </w:r>
      <w:r w:rsidR="00966A25">
        <w:rPr>
          <w:rFonts w:ascii="Simoncini Garamond" w:hAnsi="Simoncini Garamond" w:cs="Times New Roman PS"/>
          <w:sz w:val="21"/>
          <w:szCs w:val="22"/>
        </w:rPr>
        <w:t>in assenza di bambini</w:t>
      </w:r>
      <w:r w:rsidR="00952462">
        <w:rPr>
          <w:rFonts w:ascii="Simoncini Garamond" w:hAnsi="Simoncini Garamond" w:cs="Times New Roman PS"/>
          <w:sz w:val="21"/>
          <w:szCs w:val="22"/>
        </w:rPr>
        <w:t xml:space="preserve"> fino a 3 anni di età, non hanno alcun peso nel calcolo della scala.  </w:t>
      </w:r>
    </w:p>
    <w:p w14:paraId="3BC1909E" w14:textId="3A78BC4D" w:rsidR="00AD6F53" w:rsidRDefault="00491EC1" w:rsidP="00D40533">
      <w:pPr>
        <w:ind w:firstLine="360"/>
        <w:rPr>
          <w:rFonts w:ascii="Simoncini Garamond" w:hAnsi="Simoncini Garamond" w:cs="Times New Roman PS"/>
          <w:sz w:val="21"/>
          <w:szCs w:val="22"/>
        </w:rPr>
      </w:pPr>
      <w:r>
        <w:rPr>
          <w:rFonts w:ascii="Simoncini Garamond" w:hAnsi="Simoncini Garamond" w:cs="Times New Roman PS"/>
          <w:sz w:val="21"/>
          <w:szCs w:val="22"/>
        </w:rPr>
        <w:t>La principale novità della riforma consiste nel fatto che il welfare state italiano a partire dal 2024 non avrà più un reddito minimo garantito</w:t>
      </w:r>
      <w:r w:rsidR="00B83E78">
        <w:rPr>
          <w:rFonts w:ascii="Simoncini Garamond" w:hAnsi="Simoncini Garamond" w:cs="Times New Roman PS"/>
          <w:sz w:val="21"/>
          <w:szCs w:val="22"/>
        </w:rPr>
        <w:t>, improntato al principio dell’</w:t>
      </w:r>
      <w:r>
        <w:rPr>
          <w:rFonts w:ascii="Simoncini Garamond" w:hAnsi="Simoncini Garamond" w:cs="Times New Roman PS"/>
          <w:sz w:val="21"/>
          <w:szCs w:val="22"/>
        </w:rPr>
        <w:t>universal</w:t>
      </w:r>
      <w:r w:rsidR="00B83E78">
        <w:rPr>
          <w:rFonts w:ascii="Simoncini Garamond" w:hAnsi="Simoncini Garamond" w:cs="Times New Roman PS"/>
          <w:sz w:val="21"/>
          <w:szCs w:val="22"/>
        </w:rPr>
        <w:t>ismo</w:t>
      </w:r>
      <w:r>
        <w:rPr>
          <w:rFonts w:ascii="Simoncini Garamond" w:hAnsi="Simoncini Garamond" w:cs="Times New Roman PS"/>
          <w:sz w:val="21"/>
          <w:szCs w:val="22"/>
        </w:rPr>
        <w:t xml:space="preserve"> selettivo</w:t>
      </w:r>
      <w:r w:rsidR="004F34D0">
        <w:rPr>
          <w:rFonts w:ascii="Simoncini Garamond" w:hAnsi="Simoncini Garamond" w:cs="Times New Roman PS"/>
          <w:sz w:val="21"/>
          <w:szCs w:val="22"/>
        </w:rPr>
        <w:t xml:space="preserve"> e </w:t>
      </w:r>
      <w:r>
        <w:rPr>
          <w:rFonts w:ascii="Simoncini Garamond" w:hAnsi="Simoncini Garamond" w:cs="Times New Roman PS"/>
          <w:sz w:val="21"/>
          <w:szCs w:val="22"/>
        </w:rPr>
        <w:t xml:space="preserve">rivolto a tutte le persone in condizioni di </w:t>
      </w:r>
      <w:r w:rsidR="004F34D0">
        <w:rPr>
          <w:rFonts w:ascii="Simoncini Garamond" w:hAnsi="Simoncini Garamond" w:cs="Times New Roman PS"/>
          <w:sz w:val="21"/>
          <w:szCs w:val="22"/>
        </w:rPr>
        <w:t>povertà</w:t>
      </w:r>
      <w:r>
        <w:rPr>
          <w:rFonts w:ascii="Simoncini Garamond" w:hAnsi="Simoncini Garamond" w:cs="Times New Roman PS"/>
          <w:sz w:val="21"/>
          <w:szCs w:val="22"/>
        </w:rPr>
        <w:t xml:space="preserve">. I poveri beneficiari del Sfl, infatti, perderanno il </w:t>
      </w:r>
      <w:r w:rsidR="00694E82">
        <w:rPr>
          <w:rFonts w:ascii="Simoncini Garamond" w:hAnsi="Simoncini Garamond" w:cs="Times New Roman PS"/>
          <w:sz w:val="21"/>
          <w:szCs w:val="22"/>
        </w:rPr>
        <w:t xml:space="preserve">sussidio </w:t>
      </w:r>
      <w:r w:rsidR="00F71D65">
        <w:rPr>
          <w:rFonts w:ascii="Simoncini Garamond" w:hAnsi="Simoncini Garamond" w:cs="Times New Roman PS"/>
          <w:sz w:val="21"/>
          <w:szCs w:val="22"/>
        </w:rPr>
        <w:t xml:space="preserve">al più </w:t>
      </w:r>
      <w:r>
        <w:rPr>
          <w:rFonts w:ascii="Simoncini Garamond" w:hAnsi="Simoncini Garamond" w:cs="Times New Roman PS"/>
          <w:sz w:val="21"/>
          <w:szCs w:val="22"/>
        </w:rPr>
        <w:t xml:space="preserve">dopo 12 mesi, anche se avranno rispettato tutte le condizionalità richieste e se saranno disponibili ad accettare proposte di lavoro. </w:t>
      </w:r>
      <w:r>
        <w:rPr>
          <w:rFonts w:ascii="Simoncini Garamond" w:hAnsi="Simoncini Garamond" w:cs="Times New Roman PS"/>
          <w:sz w:val="21"/>
          <w:szCs w:val="22"/>
        </w:rPr>
        <w:lastRenderedPageBreak/>
        <w:t xml:space="preserve">Evidentemente il sostegno dell’opinione pubblica </w:t>
      </w:r>
      <w:r w:rsidR="00AD6F53">
        <w:rPr>
          <w:rFonts w:ascii="Simoncini Garamond" w:hAnsi="Simoncini Garamond" w:cs="Times New Roman PS"/>
          <w:sz w:val="21"/>
          <w:szCs w:val="22"/>
        </w:rPr>
        <w:t xml:space="preserve">italiana </w:t>
      </w:r>
      <w:r>
        <w:rPr>
          <w:rFonts w:ascii="Simoncini Garamond" w:hAnsi="Simoncini Garamond" w:cs="Times New Roman PS"/>
          <w:sz w:val="21"/>
          <w:szCs w:val="22"/>
        </w:rPr>
        <w:t xml:space="preserve">per una misura di reddito minimo universale è molto debole, visto che </w:t>
      </w:r>
      <w:r w:rsidR="00AD6F53">
        <w:rPr>
          <w:rFonts w:ascii="Simoncini Garamond" w:hAnsi="Simoncini Garamond" w:cs="Times New Roman PS"/>
          <w:sz w:val="21"/>
          <w:szCs w:val="22"/>
        </w:rPr>
        <w:t>essa è riuscita a sopravvivere solo pochi anni (da metà 2018, quando il Reddito di inclusione è diventato universale, a fine 2023).</w:t>
      </w:r>
      <w:r w:rsidR="001615CF">
        <w:rPr>
          <w:rFonts w:ascii="Simoncini Garamond" w:hAnsi="Simoncini Garamond" w:cs="Times New Roman PS"/>
          <w:sz w:val="21"/>
          <w:szCs w:val="22"/>
        </w:rPr>
        <w:t xml:space="preserve"> </w:t>
      </w:r>
    </w:p>
    <w:p w14:paraId="2276B95A" w14:textId="1CCEB7EE" w:rsidR="0097549A" w:rsidRDefault="001615CF" w:rsidP="00D40533">
      <w:pPr>
        <w:ind w:firstLine="360"/>
        <w:rPr>
          <w:rFonts w:ascii="Simoncini Garamond" w:hAnsi="Simoncini Garamond" w:cs="Times New Roman PS"/>
          <w:sz w:val="21"/>
          <w:szCs w:val="22"/>
        </w:rPr>
      </w:pPr>
      <w:r>
        <w:rPr>
          <w:rFonts w:ascii="Simoncini Garamond" w:hAnsi="Simoncini Garamond" w:cs="Times New Roman PS"/>
          <w:sz w:val="21"/>
          <w:szCs w:val="22"/>
        </w:rPr>
        <w:t>Oltre a questa considerazione generale, per valutare la riforma è utile chiedersi se e in quale misura essa tenga conto dei problemi emersi durante l’</w:t>
      </w:r>
      <w:r w:rsidR="0097549A">
        <w:rPr>
          <w:rFonts w:ascii="Simoncini Garamond" w:hAnsi="Simoncini Garamond" w:cs="Times New Roman PS"/>
          <w:sz w:val="21"/>
          <w:szCs w:val="22"/>
        </w:rPr>
        <w:t xml:space="preserve">esperienza del Rdc, </w:t>
      </w:r>
      <w:r w:rsidR="00694E82">
        <w:rPr>
          <w:rFonts w:ascii="Simoncini Garamond" w:hAnsi="Simoncini Garamond" w:cs="Times New Roman PS"/>
          <w:sz w:val="21"/>
          <w:szCs w:val="22"/>
        </w:rPr>
        <w:t xml:space="preserve">che possono essere così riassunti: </w:t>
      </w:r>
      <w:r w:rsidR="0097549A" w:rsidRPr="0097549A">
        <w:rPr>
          <w:rFonts w:ascii="Simoncini Garamond" w:hAnsi="Simoncini Garamond" w:cs="Times New Roman PS"/>
          <w:sz w:val="21"/>
          <w:szCs w:val="22"/>
        </w:rPr>
        <w:t xml:space="preserve">molti stranieri sono </w:t>
      </w:r>
      <w:r w:rsidR="0097549A">
        <w:rPr>
          <w:rFonts w:ascii="Simoncini Garamond" w:hAnsi="Simoncini Garamond" w:cs="Times New Roman PS"/>
          <w:sz w:val="21"/>
          <w:szCs w:val="22"/>
        </w:rPr>
        <w:t xml:space="preserve">rimasti </w:t>
      </w:r>
      <w:r w:rsidR="0097549A" w:rsidRPr="0097549A">
        <w:rPr>
          <w:rFonts w:ascii="Simoncini Garamond" w:hAnsi="Simoncini Garamond" w:cs="Times New Roman PS"/>
          <w:sz w:val="21"/>
          <w:szCs w:val="22"/>
        </w:rPr>
        <w:t xml:space="preserve">esclusi </w:t>
      </w:r>
      <w:r w:rsidR="0097549A">
        <w:rPr>
          <w:rFonts w:ascii="Simoncini Garamond" w:hAnsi="Simoncini Garamond" w:cs="Times New Roman PS"/>
          <w:sz w:val="21"/>
          <w:szCs w:val="22"/>
        </w:rPr>
        <w:t xml:space="preserve">dal Rdc </w:t>
      </w:r>
      <w:r w:rsidR="0097549A" w:rsidRPr="0097549A">
        <w:rPr>
          <w:rFonts w:ascii="Simoncini Garamond" w:hAnsi="Simoncini Garamond" w:cs="Times New Roman PS"/>
          <w:sz w:val="21"/>
          <w:szCs w:val="22"/>
        </w:rPr>
        <w:t xml:space="preserve">a causa dei 10 anni di residenza richiesti, </w:t>
      </w:r>
      <w:r w:rsidR="0097549A">
        <w:rPr>
          <w:rFonts w:ascii="Simoncini Garamond" w:hAnsi="Simoncini Garamond" w:cs="Times New Roman PS"/>
          <w:sz w:val="21"/>
          <w:szCs w:val="22"/>
        </w:rPr>
        <w:t xml:space="preserve">il Rdc </w:t>
      </w:r>
      <w:r w:rsidR="0097549A" w:rsidRPr="0097549A">
        <w:rPr>
          <w:rFonts w:ascii="Simoncini Garamond" w:hAnsi="Simoncini Garamond" w:cs="Times New Roman PS"/>
          <w:sz w:val="21"/>
          <w:szCs w:val="22"/>
        </w:rPr>
        <w:t>penalizza le famiglie numerose</w:t>
      </w:r>
      <w:r w:rsidR="0097549A">
        <w:rPr>
          <w:rFonts w:ascii="Simoncini Garamond" w:hAnsi="Simoncini Garamond" w:cs="Times New Roman PS"/>
          <w:sz w:val="21"/>
          <w:szCs w:val="22"/>
        </w:rPr>
        <w:t xml:space="preserve"> a causa di una scala di equivalenza molto piatta</w:t>
      </w:r>
      <w:r w:rsidR="0097549A" w:rsidRPr="0097549A">
        <w:rPr>
          <w:rFonts w:ascii="Simoncini Garamond" w:hAnsi="Simoncini Garamond" w:cs="Times New Roman PS"/>
          <w:sz w:val="21"/>
          <w:szCs w:val="22"/>
        </w:rPr>
        <w:t xml:space="preserve">, non tiene conto delle differenze geografiche nel costo della vita, disincentiva il lavoro e </w:t>
      </w:r>
      <w:r w:rsidR="0097549A">
        <w:rPr>
          <w:rFonts w:ascii="Simoncini Garamond" w:hAnsi="Simoncini Garamond" w:cs="Times New Roman PS"/>
          <w:sz w:val="21"/>
          <w:szCs w:val="22"/>
        </w:rPr>
        <w:t xml:space="preserve">infine </w:t>
      </w:r>
      <w:r w:rsidR="0097549A" w:rsidRPr="0097549A">
        <w:rPr>
          <w:rFonts w:ascii="Simoncini Garamond" w:hAnsi="Simoncini Garamond" w:cs="Times New Roman PS"/>
          <w:sz w:val="21"/>
          <w:szCs w:val="22"/>
        </w:rPr>
        <w:t>non è ben integrato con le politiche attive</w:t>
      </w:r>
      <w:r w:rsidR="006701CA">
        <w:rPr>
          <w:rFonts w:ascii="Simoncini Garamond" w:hAnsi="Simoncini Garamond" w:cs="Times New Roman PS"/>
          <w:sz w:val="21"/>
          <w:szCs w:val="22"/>
        </w:rPr>
        <w:t xml:space="preserve"> [Ministero del Lavoro 2021]</w:t>
      </w:r>
      <w:r w:rsidR="0097549A" w:rsidRPr="0097549A">
        <w:rPr>
          <w:rFonts w:ascii="Simoncini Garamond" w:hAnsi="Simoncini Garamond" w:cs="Times New Roman PS"/>
          <w:sz w:val="21"/>
          <w:szCs w:val="22"/>
        </w:rPr>
        <w:t xml:space="preserve">. </w:t>
      </w:r>
    </w:p>
    <w:p w14:paraId="1E037937" w14:textId="6B182974" w:rsidR="001B087C" w:rsidRDefault="0097549A" w:rsidP="00D40533">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La penalizzazione a danno degli stranieri in effetti si riduce, una scelta </w:t>
      </w:r>
      <w:r w:rsidR="00F24D9F">
        <w:rPr>
          <w:rFonts w:ascii="Simoncini Garamond" w:hAnsi="Simoncini Garamond" w:cs="Times New Roman PS"/>
          <w:sz w:val="21"/>
          <w:szCs w:val="22"/>
        </w:rPr>
        <w:t xml:space="preserve">tuttavia </w:t>
      </w:r>
      <w:r>
        <w:rPr>
          <w:rFonts w:ascii="Simoncini Garamond" w:hAnsi="Simoncini Garamond" w:cs="Times New Roman PS"/>
          <w:sz w:val="21"/>
          <w:szCs w:val="22"/>
        </w:rPr>
        <w:t xml:space="preserve">obbligata dalla procedura di infrazione della Commissione europea. La scala di equivalenza cambia, ma in senso peggiorativo per le famiglie numerose. </w:t>
      </w:r>
      <w:r w:rsidR="007E234E">
        <w:rPr>
          <w:rFonts w:ascii="Simoncini Garamond" w:hAnsi="Simoncini Garamond" w:cs="Times New Roman PS"/>
          <w:sz w:val="21"/>
          <w:szCs w:val="22"/>
        </w:rPr>
        <w:t>È</w:t>
      </w:r>
      <w:r>
        <w:rPr>
          <w:rFonts w:ascii="Simoncini Garamond" w:hAnsi="Simoncini Garamond" w:cs="Times New Roman PS"/>
          <w:sz w:val="21"/>
          <w:szCs w:val="22"/>
        </w:rPr>
        <w:t xml:space="preserve"> vero che l’Assegno </w:t>
      </w:r>
      <w:r w:rsidR="00451508">
        <w:rPr>
          <w:rFonts w:ascii="Simoncini Garamond" w:hAnsi="Simoncini Garamond" w:cs="Times New Roman PS"/>
          <w:sz w:val="21"/>
          <w:szCs w:val="22"/>
        </w:rPr>
        <w:t xml:space="preserve">unico e </w:t>
      </w:r>
      <w:r>
        <w:rPr>
          <w:rFonts w:ascii="Simoncini Garamond" w:hAnsi="Simoncini Garamond" w:cs="Times New Roman PS"/>
          <w:sz w:val="21"/>
          <w:szCs w:val="22"/>
        </w:rPr>
        <w:t xml:space="preserve">universale per i figli garantisce a tutte le famiglie con bambini un aiuto significativo, ma la nuova scala rende più difficile per chi ha figli l’accesso al sostegno contro la povertà. Le differenze nel costo della vita tra </w:t>
      </w:r>
      <w:r w:rsidR="00451508">
        <w:rPr>
          <w:rFonts w:ascii="Simoncini Garamond" w:hAnsi="Simoncini Garamond" w:cs="Times New Roman PS"/>
          <w:sz w:val="21"/>
          <w:szCs w:val="22"/>
        </w:rPr>
        <w:t>N</w:t>
      </w:r>
      <w:r>
        <w:rPr>
          <w:rFonts w:ascii="Simoncini Garamond" w:hAnsi="Simoncini Garamond" w:cs="Times New Roman PS"/>
          <w:sz w:val="21"/>
          <w:szCs w:val="22"/>
        </w:rPr>
        <w:t xml:space="preserve">ord e </w:t>
      </w:r>
      <w:r w:rsidR="00451508">
        <w:rPr>
          <w:rFonts w:ascii="Simoncini Garamond" w:hAnsi="Simoncini Garamond" w:cs="Times New Roman PS"/>
          <w:sz w:val="21"/>
          <w:szCs w:val="22"/>
        </w:rPr>
        <w:t>S</w:t>
      </w:r>
      <w:r>
        <w:rPr>
          <w:rFonts w:ascii="Simoncini Garamond" w:hAnsi="Simoncini Garamond" w:cs="Times New Roman PS"/>
          <w:sz w:val="21"/>
          <w:szCs w:val="22"/>
        </w:rPr>
        <w:t xml:space="preserve">ud o tra città e zone periferiche non sono </w:t>
      </w:r>
      <w:r w:rsidR="001506EA">
        <w:rPr>
          <w:rFonts w:ascii="Simoncini Garamond" w:hAnsi="Simoncini Garamond" w:cs="Times New Roman PS"/>
          <w:sz w:val="21"/>
          <w:szCs w:val="22"/>
        </w:rPr>
        <w:t xml:space="preserve">considerate, continuando così a penalizzare i poveri che vivono nelle aree a </w:t>
      </w:r>
      <w:r w:rsidR="00F24D9F">
        <w:rPr>
          <w:rFonts w:ascii="Simoncini Garamond" w:hAnsi="Simoncini Garamond" w:cs="Times New Roman PS"/>
          <w:sz w:val="21"/>
          <w:szCs w:val="22"/>
        </w:rPr>
        <w:t xml:space="preserve">più </w:t>
      </w:r>
      <w:r w:rsidR="001506EA">
        <w:rPr>
          <w:rFonts w:ascii="Simoncini Garamond" w:hAnsi="Simoncini Garamond" w:cs="Times New Roman PS"/>
          <w:sz w:val="21"/>
          <w:szCs w:val="22"/>
        </w:rPr>
        <w:t xml:space="preserve">alto costo della vita, quando sarebbe semplice introdurre </w:t>
      </w:r>
      <w:r w:rsidR="00792E66">
        <w:rPr>
          <w:rFonts w:ascii="Simoncini Garamond" w:hAnsi="Simoncini Garamond" w:cs="Times New Roman PS"/>
          <w:sz w:val="21"/>
          <w:szCs w:val="22"/>
        </w:rPr>
        <w:t xml:space="preserve">componenti del sussidio legate ai costi energetici o agli affitti medi. Il disincentivo al lavoro è ridotto dalla esclusione dei primi 3000 euro di reddito da lavoro dalla prova dei mezzi, ma è un beneficio </w:t>
      </w:r>
      <w:r w:rsidR="00F71D65">
        <w:rPr>
          <w:rFonts w:ascii="Simoncini Garamond" w:hAnsi="Simoncini Garamond" w:cs="Times New Roman PS"/>
          <w:sz w:val="21"/>
          <w:szCs w:val="22"/>
        </w:rPr>
        <w:t>che si applica solo ai nuovi lavori</w:t>
      </w:r>
      <w:r w:rsidR="00792E66">
        <w:rPr>
          <w:rFonts w:ascii="Simoncini Garamond" w:hAnsi="Simoncini Garamond" w:cs="Times New Roman PS"/>
          <w:sz w:val="21"/>
          <w:szCs w:val="22"/>
        </w:rPr>
        <w:t xml:space="preserve">. Resta infine il grande problema del rapporto con le politiche attive, che non si può risolvere con una nuova legge. Ma il limite principale della riforma sta nel continuare a non </w:t>
      </w:r>
      <w:r w:rsidR="00694E82">
        <w:rPr>
          <w:rFonts w:ascii="Simoncini Garamond" w:hAnsi="Simoncini Garamond" w:cs="Times New Roman PS"/>
          <w:sz w:val="21"/>
          <w:szCs w:val="22"/>
        </w:rPr>
        <w:t xml:space="preserve">leggere correttamente </w:t>
      </w:r>
      <w:r w:rsidR="00792E66">
        <w:rPr>
          <w:rFonts w:ascii="Simoncini Garamond" w:hAnsi="Simoncini Garamond" w:cs="Times New Roman PS"/>
          <w:sz w:val="21"/>
          <w:szCs w:val="22"/>
        </w:rPr>
        <w:t xml:space="preserve">la realtà del mercato del lavoro e del profilo dei poveri. Il Rdc prima, e </w:t>
      </w:r>
      <w:r w:rsidR="00F24D9F">
        <w:rPr>
          <w:rFonts w:ascii="Simoncini Garamond" w:hAnsi="Simoncini Garamond" w:cs="Times New Roman PS"/>
          <w:sz w:val="21"/>
          <w:szCs w:val="22"/>
        </w:rPr>
        <w:t xml:space="preserve">le nuove misure </w:t>
      </w:r>
      <w:r w:rsidR="00792E66">
        <w:rPr>
          <w:rFonts w:ascii="Simoncini Garamond" w:hAnsi="Simoncini Garamond" w:cs="Times New Roman PS"/>
          <w:sz w:val="21"/>
          <w:szCs w:val="22"/>
        </w:rPr>
        <w:t xml:space="preserve">ora, sono di fatto considerati come sussidi per soggetti </w:t>
      </w:r>
      <w:r w:rsidR="00694E82">
        <w:rPr>
          <w:rFonts w:ascii="Simoncini Garamond" w:hAnsi="Simoncini Garamond" w:cs="Times New Roman PS"/>
          <w:sz w:val="21"/>
          <w:szCs w:val="22"/>
        </w:rPr>
        <w:t xml:space="preserve">che sono </w:t>
      </w:r>
      <w:r w:rsidR="00792E66">
        <w:rPr>
          <w:rFonts w:ascii="Simoncini Garamond" w:hAnsi="Simoncini Garamond" w:cs="Times New Roman PS"/>
          <w:sz w:val="21"/>
          <w:szCs w:val="22"/>
        </w:rPr>
        <w:t xml:space="preserve">o incapaci di lavorare, oppure che possono, dopo un breve periodo, tornare ad un lavoro con reddito adeguato. </w:t>
      </w:r>
      <w:r w:rsidR="001B087C">
        <w:rPr>
          <w:rFonts w:ascii="Simoncini Garamond" w:hAnsi="Simoncini Garamond" w:cs="Times New Roman PS"/>
          <w:sz w:val="21"/>
          <w:szCs w:val="22"/>
        </w:rPr>
        <w:t>D</w:t>
      </w:r>
      <w:r w:rsidR="00792E66">
        <w:rPr>
          <w:rFonts w:ascii="Simoncini Garamond" w:hAnsi="Simoncini Garamond" w:cs="Times New Roman PS"/>
          <w:sz w:val="21"/>
          <w:szCs w:val="22"/>
        </w:rPr>
        <w:t xml:space="preserve">opo decenni di stagnazione economica, </w:t>
      </w:r>
      <w:r w:rsidR="001B087C">
        <w:rPr>
          <w:rFonts w:ascii="Simoncini Garamond" w:hAnsi="Simoncini Garamond" w:cs="Times New Roman PS"/>
          <w:sz w:val="21"/>
          <w:szCs w:val="22"/>
        </w:rPr>
        <w:t xml:space="preserve">la realtà è invece fatta di tanti lavori a basso reddito </w:t>
      </w:r>
      <w:r w:rsidR="00792E66">
        <w:rPr>
          <w:rFonts w:ascii="Simoncini Garamond" w:hAnsi="Simoncini Garamond" w:cs="Times New Roman PS"/>
          <w:sz w:val="21"/>
          <w:szCs w:val="22"/>
        </w:rPr>
        <w:t xml:space="preserve">e di tanti poveri formalmente “occupabili” ma di fatto con scarse possibilità – per età, salute, istruzione, luogo di </w:t>
      </w:r>
      <w:r w:rsidR="00792E66">
        <w:rPr>
          <w:rFonts w:ascii="Simoncini Garamond" w:hAnsi="Simoncini Garamond" w:cs="Times New Roman PS"/>
          <w:sz w:val="21"/>
          <w:szCs w:val="22"/>
        </w:rPr>
        <w:lastRenderedPageBreak/>
        <w:t>residenza - di trovare un’occupazione o di guadagnare, con il lavoro, un reddito sufficiente per vivere in modo dignitoso</w:t>
      </w:r>
      <w:r w:rsidR="00083751">
        <w:rPr>
          <w:rFonts w:ascii="Simoncini Garamond" w:hAnsi="Simoncini Garamond" w:cs="Times New Roman PS"/>
          <w:sz w:val="21"/>
          <w:szCs w:val="22"/>
        </w:rPr>
        <w:t xml:space="preserve"> [Anpal 2021a; 2021b]</w:t>
      </w:r>
      <w:r w:rsidR="00792E66">
        <w:rPr>
          <w:rFonts w:ascii="Simoncini Garamond" w:hAnsi="Simoncini Garamond" w:cs="Times New Roman PS"/>
          <w:sz w:val="21"/>
          <w:szCs w:val="22"/>
        </w:rPr>
        <w:t xml:space="preserve">. </w:t>
      </w:r>
    </w:p>
    <w:p w14:paraId="467C8939" w14:textId="38DD1B01" w:rsidR="0097549A" w:rsidRDefault="001B087C" w:rsidP="00D40533">
      <w:pPr>
        <w:ind w:firstLine="360"/>
        <w:rPr>
          <w:rFonts w:ascii="Simoncini Garamond" w:hAnsi="Simoncini Garamond" w:cs="Times New Roman PS"/>
          <w:sz w:val="21"/>
          <w:szCs w:val="22"/>
        </w:rPr>
      </w:pPr>
      <w:r>
        <w:rPr>
          <w:rFonts w:ascii="Simoncini Garamond" w:hAnsi="Simoncini Garamond" w:cs="Times New Roman PS"/>
          <w:sz w:val="21"/>
          <w:szCs w:val="22"/>
        </w:rPr>
        <w:t>Il fatto che molti degli attuali nuclei beneficiari del Rdc abbiano membri occupati smentisce una rigida distinzione tra chi riceve un sussidio e chi lavora</w:t>
      </w:r>
      <w:r w:rsidR="00F24D9F">
        <w:rPr>
          <w:rStyle w:val="Rimandonotaapidipagina"/>
          <w:rFonts w:ascii="Simoncini Garamond" w:hAnsi="Simoncini Garamond" w:cs="Times New Roman PS"/>
          <w:sz w:val="21"/>
          <w:szCs w:val="22"/>
        </w:rPr>
        <w:footnoteReference w:id="8"/>
      </w:r>
      <w:r>
        <w:rPr>
          <w:rFonts w:ascii="Simoncini Garamond" w:hAnsi="Simoncini Garamond" w:cs="Times New Roman PS"/>
          <w:sz w:val="21"/>
          <w:szCs w:val="22"/>
        </w:rPr>
        <w:t xml:space="preserve">. Più adeguato alla realtà del mercato del lavoro italiano sarebbe un meccanismo di imposta negativa che integri i bassi redditi da lavoro e incentivi i poveri a svolgere attività anche poco remunerate.  </w:t>
      </w:r>
    </w:p>
    <w:p w14:paraId="661A3713" w14:textId="229E6FB3" w:rsidR="0049762C" w:rsidRDefault="001615CF" w:rsidP="00BC34E4">
      <w:pPr>
        <w:ind w:firstLine="360"/>
        <w:rPr>
          <w:rFonts w:ascii="Simoncini Garamond" w:hAnsi="Simoncini Garamond" w:cs="Times New Roman PS"/>
          <w:sz w:val="21"/>
          <w:szCs w:val="22"/>
        </w:rPr>
      </w:pPr>
      <w:r>
        <w:rPr>
          <w:rFonts w:ascii="Simoncini Garamond" w:hAnsi="Simoncini Garamond" w:cs="Times New Roman PS"/>
          <w:sz w:val="21"/>
          <w:szCs w:val="22"/>
        </w:rPr>
        <w:t xml:space="preserve">La riforma dovrebbe provocare una significativa riduzione delle famiglie </w:t>
      </w:r>
      <w:r w:rsidR="001B087C">
        <w:rPr>
          <w:rFonts w:ascii="Simoncini Garamond" w:hAnsi="Simoncini Garamond" w:cs="Times New Roman PS"/>
          <w:sz w:val="21"/>
          <w:szCs w:val="22"/>
        </w:rPr>
        <w:t xml:space="preserve">beneficiarie, limitata nel 2024, ma molto forte nel 2025, quando il Sfi non potrà essere rinnovato per chi ne ha già usufruito. </w:t>
      </w:r>
      <w:r w:rsidR="0049762C">
        <w:rPr>
          <w:rFonts w:ascii="Simoncini Garamond" w:hAnsi="Simoncini Garamond" w:cs="Times New Roman PS"/>
          <w:sz w:val="21"/>
          <w:szCs w:val="22"/>
        </w:rPr>
        <w:t xml:space="preserve">Secondo simulazioni dell’Irpet </w:t>
      </w:r>
      <w:r w:rsidR="00E25139">
        <w:rPr>
          <w:rFonts w:ascii="Simoncini Garamond" w:hAnsi="Simoncini Garamond" w:cs="Times New Roman PS"/>
          <w:sz w:val="21"/>
          <w:szCs w:val="22"/>
        </w:rPr>
        <w:t>[</w:t>
      </w:r>
      <w:r w:rsidR="0049762C">
        <w:rPr>
          <w:rFonts w:ascii="Simoncini Garamond" w:hAnsi="Simoncini Garamond" w:cs="Times New Roman PS"/>
          <w:sz w:val="21"/>
          <w:szCs w:val="22"/>
        </w:rPr>
        <w:t>2023</w:t>
      </w:r>
      <w:r w:rsidR="00E25139">
        <w:rPr>
          <w:rFonts w:ascii="Simoncini Garamond" w:hAnsi="Simoncini Garamond" w:cs="Times New Roman PS"/>
          <w:sz w:val="21"/>
          <w:szCs w:val="22"/>
        </w:rPr>
        <w:t>]</w:t>
      </w:r>
      <w:r w:rsidR="0049762C">
        <w:rPr>
          <w:rFonts w:ascii="Simoncini Garamond" w:hAnsi="Simoncini Garamond" w:cs="Times New Roman PS"/>
          <w:sz w:val="21"/>
          <w:szCs w:val="22"/>
        </w:rPr>
        <w:t xml:space="preserve">, dagli 1,2 milioni di nuclei che ricevono il Rdc si passerebbe a 600mila Assegni di inclusione </w:t>
      </w:r>
      <w:r w:rsidR="008937A4">
        <w:rPr>
          <w:rFonts w:ascii="Simoncini Garamond" w:hAnsi="Simoncini Garamond" w:cs="Times New Roman PS"/>
          <w:sz w:val="21"/>
          <w:szCs w:val="22"/>
        </w:rPr>
        <w:t xml:space="preserve">mentre i Sostegni </w:t>
      </w:r>
      <w:r w:rsidR="0049762C">
        <w:rPr>
          <w:rFonts w:ascii="Simoncini Garamond" w:hAnsi="Simoncini Garamond" w:cs="Times New Roman PS"/>
          <w:sz w:val="21"/>
          <w:szCs w:val="22"/>
        </w:rPr>
        <w:t>per la formazione e il lavoro</w:t>
      </w:r>
      <w:r w:rsidR="008937A4">
        <w:rPr>
          <w:rFonts w:ascii="Simoncini Garamond" w:hAnsi="Simoncini Garamond" w:cs="Times New Roman PS"/>
          <w:sz w:val="21"/>
          <w:szCs w:val="22"/>
        </w:rPr>
        <w:t xml:space="preserve"> sarebbero 400mila nel 2024, molti meno in seguito</w:t>
      </w:r>
      <w:r w:rsidR="0049762C">
        <w:rPr>
          <w:rFonts w:ascii="Simoncini Garamond" w:hAnsi="Simoncini Garamond" w:cs="Times New Roman PS"/>
          <w:sz w:val="21"/>
          <w:szCs w:val="22"/>
        </w:rPr>
        <w:t xml:space="preserve">. La spesa annua totale passerebbe da circa 8 miliardi di euro a 6 miliardi nel </w:t>
      </w:r>
      <w:r w:rsidR="008937A4">
        <w:rPr>
          <w:rFonts w:ascii="Simoncini Garamond" w:hAnsi="Simoncini Garamond" w:cs="Times New Roman PS"/>
          <w:sz w:val="21"/>
          <w:szCs w:val="22"/>
        </w:rPr>
        <w:t>2024</w:t>
      </w:r>
      <w:r w:rsidR="0049762C">
        <w:rPr>
          <w:rFonts w:ascii="Simoncini Garamond" w:hAnsi="Simoncini Garamond" w:cs="Times New Roman PS"/>
          <w:sz w:val="21"/>
          <w:szCs w:val="22"/>
        </w:rPr>
        <w:t>, ma potrebbe dimezzarsi a 4 miliardi a regime.</w:t>
      </w:r>
      <w:r w:rsidR="008937A4">
        <w:rPr>
          <w:rFonts w:ascii="Simoncini Garamond" w:hAnsi="Simoncini Garamond" w:cs="Times New Roman PS"/>
          <w:sz w:val="21"/>
          <w:szCs w:val="22"/>
        </w:rPr>
        <w:t xml:space="preserve"> </w:t>
      </w:r>
      <w:r w:rsidR="0049762C">
        <w:rPr>
          <w:rFonts w:ascii="Simoncini Garamond" w:hAnsi="Simoncini Garamond" w:cs="Times New Roman PS"/>
          <w:sz w:val="21"/>
          <w:szCs w:val="22"/>
        </w:rPr>
        <w:t>A subire gli effetti della riforma sarebbero soprattutto i nuclei di piccola dimensione, con uno o due componenti, con bassa istruzione e con età non più giovane, cioè persone con basso grado di occupabilità.</w:t>
      </w:r>
    </w:p>
    <w:p w14:paraId="27ABFA03" w14:textId="05EFFBF4" w:rsidR="00C2759E" w:rsidRDefault="00AD6F53" w:rsidP="00375085">
      <w:pPr>
        <w:rPr>
          <w:rFonts w:ascii="Simoncini Garamond" w:hAnsi="Simoncini Garamond" w:cs="Times New Roman PS"/>
          <w:sz w:val="21"/>
          <w:szCs w:val="22"/>
        </w:rPr>
      </w:pPr>
      <w:r>
        <w:rPr>
          <w:rFonts w:ascii="Simoncini Garamond" w:hAnsi="Simoncini Garamond" w:cs="Times New Roman PS"/>
          <w:sz w:val="21"/>
          <w:szCs w:val="22"/>
        </w:rPr>
        <w:t xml:space="preserve"> </w:t>
      </w:r>
      <w:r w:rsidR="00491EC1">
        <w:rPr>
          <w:rFonts w:ascii="Simoncini Garamond" w:hAnsi="Simoncini Garamond" w:cs="Times New Roman PS"/>
          <w:sz w:val="21"/>
          <w:szCs w:val="22"/>
        </w:rPr>
        <w:t xml:space="preserve"> </w:t>
      </w:r>
    </w:p>
    <w:p w14:paraId="1EC1770A" w14:textId="77777777" w:rsidR="001F491E" w:rsidRDefault="001F491E" w:rsidP="007C62F9">
      <w:pPr>
        <w:rPr>
          <w:rFonts w:ascii="Simoncini Garamond" w:hAnsi="Simoncini Garamond" w:cs="Times New Roman PS"/>
          <w:sz w:val="21"/>
          <w:szCs w:val="22"/>
        </w:rPr>
      </w:pPr>
    </w:p>
    <w:p w14:paraId="64033B76" w14:textId="77777777" w:rsidR="007C62F9" w:rsidRPr="0048293E" w:rsidRDefault="007C62F9" w:rsidP="00AE3363">
      <w:pPr>
        <w:rPr>
          <w:rFonts w:ascii="Simoncini Garamond" w:hAnsi="Simoncini Garamond" w:cs="Times New Roman PS"/>
          <w:i/>
          <w:sz w:val="21"/>
          <w:szCs w:val="22"/>
        </w:rPr>
      </w:pPr>
      <w:r w:rsidRPr="0048293E">
        <w:rPr>
          <w:rFonts w:ascii="Simoncini Garamond" w:hAnsi="Simoncini Garamond" w:cs="Times New Roman PS"/>
          <w:i/>
          <w:sz w:val="21"/>
          <w:szCs w:val="22"/>
        </w:rPr>
        <w:t>Riferimenti bibliografici</w:t>
      </w:r>
    </w:p>
    <w:p w14:paraId="6B0D1646" w14:textId="77777777" w:rsidR="007C62F9" w:rsidRPr="00AE3363" w:rsidRDefault="007C62F9" w:rsidP="00AE3363">
      <w:pPr>
        <w:rPr>
          <w:rFonts w:ascii="Simoncini Garamond" w:hAnsi="Simoncini Garamond" w:cs="Times New Roman PS"/>
          <w:sz w:val="21"/>
          <w:szCs w:val="22"/>
        </w:rPr>
      </w:pPr>
    </w:p>
    <w:p w14:paraId="739B4EAB" w14:textId="77777777" w:rsidR="007D07A0" w:rsidRDefault="007D07A0" w:rsidP="00AE3363">
      <w:pPr>
        <w:rPr>
          <w:rFonts w:ascii="Simoncini Garamond" w:hAnsi="Simoncini Garamond" w:cs="Times New Roman PS"/>
          <w:sz w:val="21"/>
          <w:szCs w:val="22"/>
        </w:rPr>
      </w:pPr>
      <w:r>
        <w:rPr>
          <w:rFonts w:ascii="Simoncini Garamond" w:hAnsi="Simoncini Garamond" w:cs="Times New Roman PS"/>
          <w:sz w:val="21"/>
          <w:szCs w:val="22"/>
        </w:rPr>
        <w:t>Anpal</w:t>
      </w:r>
    </w:p>
    <w:p w14:paraId="2825DFD9" w14:textId="77777777" w:rsidR="00266000" w:rsidRDefault="00266000" w:rsidP="00AD1B53">
      <w:pPr>
        <w:ind w:left="703" w:hanging="703"/>
        <w:rPr>
          <w:rFonts w:ascii="Simoncini Garamond" w:hAnsi="Simoncini Garamond" w:cs="Times New Roman PS"/>
          <w:sz w:val="21"/>
          <w:szCs w:val="22"/>
        </w:rPr>
      </w:pPr>
      <w:r>
        <w:rPr>
          <w:rFonts w:ascii="Simoncini Garamond" w:hAnsi="Simoncini Garamond" w:cs="Times New Roman PS"/>
          <w:sz w:val="21"/>
          <w:szCs w:val="22"/>
        </w:rPr>
        <w:t>2021a</w:t>
      </w:r>
      <w:r>
        <w:rPr>
          <w:rFonts w:ascii="Simoncini Garamond" w:hAnsi="Simoncini Garamond" w:cs="Times New Roman PS"/>
          <w:sz w:val="21"/>
          <w:szCs w:val="22"/>
        </w:rPr>
        <w:tab/>
      </w:r>
      <w:r w:rsidRPr="005527B7">
        <w:rPr>
          <w:rFonts w:ascii="Simoncini Garamond" w:hAnsi="Simoncini Garamond" w:cs="Times New Roman PS"/>
          <w:i/>
          <w:sz w:val="21"/>
          <w:szCs w:val="22"/>
        </w:rPr>
        <w:t>Reddito di cittadinanza</w:t>
      </w:r>
      <w:r w:rsidRPr="009C054D">
        <w:rPr>
          <w:rFonts w:ascii="Simoncini Garamond" w:hAnsi="Simoncini Garamond" w:cs="Times New Roman PS"/>
          <w:i/>
          <w:sz w:val="21"/>
          <w:szCs w:val="22"/>
        </w:rPr>
        <w:t>,</w:t>
      </w:r>
      <w:r>
        <w:rPr>
          <w:rFonts w:ascii="Simoncini Garamond" w:hAnsi="Simoncini Garamond" w:cs="Times New Roman PS"/>
          <w:sz w:val="21"/>
          <w:szCs w:val="22"/>
        </w:rPr>
        <w:t xml:space="preserve"> Collana Focus Anpal n. 114, Nota n. 6/2021, </w:t>
      </w:r>
      <w:r w:rsidR="00511B48">
        <w:rPr>
          <w:rFonts w:ascii="Simoncini Garamond" w:hAnsi="Simoncini Garamond" w:cs="Times New Roman PS"/>
          <w:sz w:val="21"/>
          <w:szCs w:val="22"/>
        </w:rPr>
        <w:t>o</w:t>
      </w:r>
      <w:r>
        <w:rPr>
          <w:rFonts w:ascii="Simoncini Garamond" w:hAnsi="Simoncini Garamond" w:cs="Times New Roman PS"/>
          <w:sz w:val="21"/>
          <w:szCs w:val="22"/>
        </w:rPr>
        <w:t>ttobre.</w:t>
      </w:r>
    </w:p>
    <w:p w14:paraId="500946B2" w14:textId="77777777" w:rsidR="007D07A0" w:rsidRDefault="007D07A0" w:rsidP="007D07A0">
      <w:pPr>
        <w:ind w:left="705" w:hanging="705"/>
        <w:rPr>
          <w:rFonts w:ascii="Simoncini Garamond" w:hAnsi="Simoncini Garamond" w:cs="Times New Roman PS"/>
          <w:sz w:val="21"/>
          <w:szCs w:val="22"/>
        </w:rPr>
      </w:pPr>
      <w:r>
        <w:rPr>
          <w:rFonts w:ascii="Simoncini Garamond" w:hAnsi="Simoncini Garamond" w:cs="Times New Roman PS"/>
          <w:sz w:val="21"/>
          <w:szCs w:val="22"/>
        </w:rPr>
        <w:lastRenderedPageBreak/>
        <w:t>2021</w:t>
      </w:r>
      <w:r w:rsidR="00266000">
        <w:rPr>
          <w:rFonts w:ascii="Simoncini Garamond" w:hAnsi="Simoncini Garamond" w:cs="Times New Roman PS"/>
          <w:sz w:val="21"/>
          <w:szCs w:val="22"/>
        </w:rPr>
        <w:t>b</w:t>
      </w:r>
      <w:r>
        <w:rPr>
          <w:rFonts w:ascii="Simoncini Garamond" w:hAnsi="Simoncini Garamond" w:cs="Times New Roman PS"/>
          <w:sz w:val="21"/>
          <w:szCs w:val="22"/>
        </w:rPr>
        <w:tab/>
      </w:r>
      <w:r w:rsidRPr="007D07A0">
        <w:rPr>
          <w:rFonts w:ascii="Simoncini Garamond" w:hAnsi="Simoncini Garamond" w:cs="Times New Roman PS"/>
          <w:i/>
          <w:sz w:val="21"/>
          <w:szCs w:val="22"/>
        </w:rPr>
        <w:t>Reddito di cittadinanza. Condizione occupazionale dei beneficiari</w:t>
      </w:r>
      <w:r w:rsidRPr="009C054D">
        <w:rPr>
          <w:rFonts w:ascii="Simoncini Garamond" w:hAnsi="Simoncini Garamond" w:cs="Times New Roman PS"/>
          <w:i/>
          <w:sz w:val="21"/>
          <w:szCs w:val="22"/>
        </w:rPr>
        <w:t xml:space="preserve"> </w:t>
      </w:r>
      <w:r w:rsidR="009C054D" w:rsidRPr="009C054D">
        <w:rPr>
          <w:rFonts w:ascii="Simoncini Garamond" w:hAnsi="Simoncini Garamond" w:cs="Times New Roman PS"/>
          <w:i/>
          <w:sz w:val="21"/>
          <w:szCs w:val="22"/>
        </w:rPr>
        <w:t>RdC</w:t>
      </w:r>
      <w:r w:rsidRPr="009C054D">
        <w:rPr>
          <w:rFonts w:ascii="Simoncini Garamond" w:hAnsi="Simoncini Garamond" w:cs="Times New Roman PS"/>
          <w:i/>
          <w:sz w:val="21"/>
          <w:szCs w:val="22"/>
        </w:rPr>
        <w:t>,</w:t>
      </w:r>
      <w:r>
        <w:rPr>
          <w:rFonts w:ascii="Simoncini Garamond" w:hAnsi="Simoncini Garamond" w:cs="Times New Roman PS"/>
          <w:sz w:val="21"/>
          <w:szCs w:val="22"/>
        </w:rPr>
        <w:t xml:space="preserve"> Collana Focus Anpal n. 125, </w:t>
      </w:r>
      <w:r w:rsidR="00266000">
        <w:rPr>
          <w:rFonts w:ascii="Simoncini Garamond" w:hAnsi="Simoncini Garamond" w:cs="Times New Roman PS"/>
          <w:sz w:val="21"/>
          <w:szCs w:val="22"/>
        </w:rPr>
        <w:t>N</w:t>
      </w:r>
      <w:r>
        <w:rPr>
          <w:rFonts w:ascii="Simoncini Garamond" w:hAnsi="Simoncini Garamond" w:cs="Times New Roman PS"/>
          <w:sz w:val="21"/>
          <w:szCs w:val="22"/>
        </w:rPr>
        <w:t>ota n.</w:t>
      </w:r>
      <w:r w:rsidR="00266000">
        <w:rPr>
          <w:rFonts w:ascii="Simoncini Garamond" w:hAnsi="Simoncini Garamond" w:cs="Times New Roman PS"/>
          <w:sz w:val="21"/>
          <w:szCs w:val="22"/>
        </w:rPr>
        <w:t xml:space="preserve"> 7</w:t>
      </w:r>
      <w:r>
        <w:rPr>
          <w:rFonts w:ascii="Simoncini Garamond" w:hAnsi="Simoncini Garamond" w:cs="Times New Roman PS"/>
          <w:sz w:val="21"/>
          <w:szCs w:val="22"/>
        </w:rPr>
        <w:t xml:space="preserve">/2021, </w:t>
      </w:r>
      <w:r w:rsidR="00511B48">
        <w:rPr>
          <w:rFonts w:ascii="Simoncini Garamond" w:hAnsi="Simoncini Garamond" w:cs="Times New Roman PS"/>
          <w:sz w:val="21"/>
          <w:szCs w:val="22"/>
        </w:rPr>
        <w:t>d</w:t>
      </w:r>
      <w:r>
        <w:rPr>
          <w:rFonts w:ascii="Simoncini Garamond" w:hAnsi="Simoncini Garamond" w:cs="Times New Roman PS"/>
          <w:sz w:val="21"/>
          <w:szCs w:val="22"/>
        </w:rPr>
        <w:t>icembre.</w:t>
      </w:r>
    </w:p>
    <w:p w14:paraId="78C0A82E" w14:textId="689FE979" w:rsidR="00AE3363" w:rsidRDefault="00375085" w:rsidP="007D0E5C">
      <w:pPr>
        <w:ind w:left="705" w:hanging="705"/>
        <w:rPr>
          <w:rFonts w:ascii="Simoncini Garamond" w:hAnsi="Simoncini Garamond" w:cs="Times New Roman PS"/>
          <w:sz w:val="21"/>
          <w:szCs w:val="22"/>
        </w:rPr>
      </w:pPr>
      <w:r>
        <w:rPr>
          <w:rFonts w:ascii="Simoncini Garamond" w:hAnsi="Simoncini Garamond" w:cs="Times New Roman PS"/>
          <w:sz w:val="21"/>
          <w:szCs w:val="22"/>
        </w:rPr>
        <w:t xml:space="preserve"> </w:t>
      </w:r>
    </w:p>
    <w:p w14:paraId="208A67E0" w14:textId="77777777" w:rsidR="0098596D" w:rsidRDefault="0098596D" w:rsidP="0098596D">
      <w:pPr>
        <w:rPr>
          <w:rFonts w:ascii="Simoncini Garamond" w:hAnsi="Simoncini Garamond" w:cs="Times New Roman PS"/>
          <w:sz w:val="21"/>
          <w:szCs w:val="22"/>
        </w:rPr>
      </w:pPr>
      <w:r>
        <w:rPr>
          <w:rFonts w:ascii="Simoncini Garamond" w:hAnsi="Simoncini Garamond" w:cs="Times New Roman PS"/>
          <w:sz w:val="21"/>
          <w:szCs w:val="22"/>
        </w:rPr>
        <w:t xml:space="preserve">Baldini M., Gallo G. </w:t>
      </w:r>
    </w:p>
    <w:p w14:paraId="78BFC49A" w14:textId="0AE32100" w:rsidR="0098596D" w:rsidRPr="00AE3363" w:rsidRDefault="0098596D" w:rsidP="0098596D">
      <w:pPr>
        <w:ind w:left="708" w:hanging="708"/>
        <w:rPr>
          <w:rFonts w:ascii="Simoncini Garamond" w:hAnsi="Simoncini Garamond" w:cs="Times New Roman PS"/>
          <w:sz w:val="21"/>
          <w:szCs w:val="22"/>
        </w:rPr>
      </w:pPr>
      <w:r w:rsidRPr="00AE3363">
        <w:rPr>
          <w:rFonts w:ascii="Simoncini Garamond" w:hAnsi="Simoncini Garamond" w:cs="Times New Roman PS"/>
          <w:sz w:val="21"/>
          <w:szCs w:val="22"/>
        </w:rPr>
        <w:t>2021</w:t>
      </w:r>
      <w:r>
        <w:rPr>
          <w:rFonts w:ascii="Simoncini Garamond" w:hAnsi="Simoncini Garamond" w:cs="Times New Roman PS"/>
          <w:sz w:val="21"/>
          <w:szCs w:val="22"/>
        </w:rPr>
        <w:tab/>
      </w:r>
      <w:r w:rsidRPr="000C40E7">
        <w:rPr>
          <w:rFonts w:ascii="Simoncini Garamond" w:hAnsi="Simoncini Garamond" w:cs="Times New Roman PS"/>
          <w:i/>
          <w:sz w:val="21"/>
          <w:szCs w:val="22"/>
        </w:rPr>
        <w:t>Chi riceve il reddito di cittadinanza e a quanto ammonta</w:t>
      </w:r>
      <w:r>
        <w:rPr>
          <w:rFonts w:ascii="Simoncini Garamond" w:hAnsi="Simoncini Garamond" w:cs="Times New Roman PS"/>
          <w:sz w:val="21"/>
          <w:szCs w:val="22"/>
        </w:rPr>
        <w:t>, in Caritas Italiana (2021)</w:t>
      </w:r>
      <w:r w:rsidR="003660DA">
        <w:rPr>
          <w:rFonts w:ascii="Simoncini Garamond" w:hAnsi="Simoncini Garamond" w:cs="Times New Roman PS"/>
          <w:sz w:val="21"/>
          <w:szCs w:val="22"/>
        </w:rPr>
        <w:t>.</w:t>
      </w:r>
    </w:p>
    <w:p w14:paraId="6FE64C0B" w14:textId="77777777" w:rsidR="0098596D" w:rsidRDefault="0098596D" w:rsidP="0098596D">
      <w:pPr>
        <w:rPr>
          <w:rFonts w:ascii="Simoncini Garamond" w:hAnsi="Simoncini Garamond" w:cs="Times New Roman PS"/>
          <w:sz w:val="21"/>
          <w:szCs w:val="22"/>
        </w:rPr>
      </w:pPr>
    </w:p>
    <w:p w14:paraId="6B3ADBAE" w14:textId="77777777" w:rsidR="002E0585" w:rsidRDefault="002E0585" w:rsidP="0049762C">
      <w:pPr>
        <w:rPr>
          <w:rFonts w:ascii="Simoncini Garamond" w:hAnsi="Simoncini Garamond" w:cs="Times New Roman PS"/>
          <w:sz w:val="21"/>
          <w:szCs w:val="22"/>
        </w:rPr>
      </w:pPr>
      <w:r>
        <w:rPr>
          <w:rFonts w:ascii="Simoncini Garamond" w:hAnsi="Simoncini Garamond" w:cs="Times New Roman PS"/>
          <w:sz w:val="21"/>
          <w:szCs w:val="22"/>
        </w:rPr>
        <w:t>Banca d’Italia</w:t>
      </w:r>
    </w:p>
    <w:p w14:paraId="4F560AA2" w14:textId="6D878486" w:rsidR="002E0585" w:rsidRDefault="002E0585" w:rsidP="0049762C">
      <w:pPr>
        <w:rPr>
          <w:rFonts w:ascii="Simoncini Garamond" w:hAnsi="Simoncini Garamond" w:cs="Times New Roman PS"/>
          <w:sz w:val="21"/>
          <w:szCs w:val="22"/>
        </w:rPr>
      </w:pPr>
      <w:r>
        <w:rPr>
          <w:rFonts w:ascii="Simoncini Garamond" w:hAnsi="Simoncini Garamond" w:cs="Times New Roman PS"/>
          <w:sz w:val="21"/>
          <w:szCs w:val="22"/>
        </w:rPr>
        <w:t>2023</w:t>
      </w:r>
      <w:r>
        <w:rPr>
          <w:rFonts w:ascii="Simoncini Garamond" w:hAnsi="Simoncini Garamond" w:cs="Times New Roman PS"/>
          <w:sz w:val="21"/>
          <w:szCs w:val="22"/>
        </w:rPr>
        <w:tab/>
      </w:r>
      <w:r w:rsidR="00113E76" w:rsidRPr="00812934">
        <w:rPr>
          <w:rFonts w:ascii="Simoncini Garamond" w:hAnsi="Simoncini Garamond" w:cs="Times New Roman PS"/>
          <w:i/>
          <w:sz w:val="21"/>
          <w:szCs w:val="22"/>
        </w:rPr>
        <w:t>Relazione annuale</w:t>
      </w:r>
      <w:r w:rsidR="00812934" w:rsidRPr="00812934">
        <w:rPr>
          <w:rFonts w:ascii="Simoncini Garamond" w:hAnsi="Simoncini Garamond" w:cs="Times New Roman PS"/>
          <w:i/>
          <w:sz w:val="21"/>
          <w:szCs w:val="22"/>
        </w:rPr>
        <w:t xml:space="preserve"> – anno 2022</w:t>
      </w:r>
      <w:r w:rsidR="00113E76">
        <w:rPr>
          <w:rFonts w:ascii="Simoncini Garamond" w:hAnsi="Simoncini Garamond" w:cs="Times New Roman PS"/>
          <w:sz w:val="21"/>
          <w:szCs w:val="22"/>
        </w:rPr>
        <w:t>, 31 maggio</w:t>
      </w:r>
      <w:r w:rsidR="00812934">
        <w:rPr>
          <w:rFonts w:ascii="Simoncini Garamond" w:hAnsi="Simoncini Garamond" w:cs="Times New Roman PS"/>
          <w:sz w:val="21"/>
          <w:szCs w:val="22"/>
        </w:rPr>
        <w:t xml:space="preserve"> 2023</w:t>
      </w:r>
      <w:r w:rsidR="00113E76">
        <w:rPr>
          <w:rFonts w:ascii="Simoncini Garamond" w:hAnsi="Simoncini Garamond" w:cs="Times New Roman PS"/>
          <w:sz w:val="21"/>
          <w:szCs w:val="22"/>
        </w:rPr>
        <w:t>.</w:t>
      </w:r>
    </w:p>
    <w:p w14:paraId="4142673D" w14:textId="77777777" w:rsidR="002E0585" w:rsidRDefault="002E0585" w:rsidP="0049762C">
      <w:pPr>
        <w:rPr>
          <w:rFonts w:ascii="Simoncini Garamond" w:hAnsi="Simoncini Garamond" w:cs="Times New Roman PS"/>
          <w:sz w:val="21"/>
          <w:szCs w:val="22"/>
        </w:rPr>
      </w:pPr>
    </w:p>
    <w:p w14:paraId="289F3FE6" w14:textId="4C0AA483" w:rsidR="0098596D" w:rsidRDefault="0098596D" w:rsidP="0049762C">
      <w:pPr>
        <w:rPr>
          <w:rFonts w:ascii="Simoncini Garamond" w:hAnsi="Simoncini Garamond" w:cs="Times New Roman PS"/>
          <w:sz w:val="21"/>
          <w:szCs w:val="22"/>
        </w:rPr>
      </w:pPr>
      <w:r>
        <w:rPr>
          <w:rFonts w:ascii="Simoncini Garamond" w:hAnsi="Simoncini Garamond" w:cs="Times New Roman PS"/>
          <w:sz w:val="21"/>
          <w:szCs w:val="22"/>
        </w:rPr>
        <w:t>Brandolini A.</w:t>
      </w:r>
    </w:p>
    <w:p w14:paraId="601E4028" w14:textId="54B49917" w:rsidR="0098596D" w:rsidRDefault="0098596D" w:rsidP="0098596D">
      <w:pPr>
        <w:ind w:left="705" w:hanging="705"/>
        <w:rPr>
          <w:rFonts w:ascii="Simoncini Garamond" w:hAnsi="Simoncini Garamond" w:cs="Times New Roman PS"/>
          <w:sz w:val="21"/>
          <w:szCs w:val="22"/>
        </w:rPr>
      </w:pPr>
      <w:r>
        <w:rPr>
          <w:rFonts w:ascii="Simoncini Garamond" w:hAnsi="Simoncini Garamond" w:cs="Times New Roman PS"/>
          <w:sz w:val="21"/>
          <w:szCs w:val="22"/>
        </w:rPr>
        <w:t>2022</w:t>
      </w:r>
      <w:r>
        <w:rPr>
          <w:rFonts w:ascii="Simoncini Garamond" w:hAnsi="Simoncini Garamond" w:cs="Times New Roman PS"/>
          <w:sz w:val="21"/>
          <w:szCs w:val="22"/>
        </w:rPr>
        <w:tab/>
      </w:r>
      <w:r w:rsidRPr="0098596D">
        <w:rPr>
          <w:rFonts w:ascii="Simoncini Garamond" w:hAnsi="Simoncini Garamond" w:cs="Times New Roman PS"/>
          <w:i/>
          <w:sz w:val="21"/>
          <w:szCs w:val="22"/>
        </w:rPr>
        <w:t>La pandemia di Covid-19 e la disuguaglianza economica in Italia</w:t>
      </w:r>
      <w:r>
        <w:rPr>
          <w:rFonts w:ascii="Simoncini Garamond" w:hAnsi="Simoncini Garamond" w:cs="Times New Roman PS"/>
          <w:sz w:val="21"/>
          <w:szCs w:val="22"/>
        </w:rPr>
        <w:t xml:space="preserve">, in </w:t>
      </w:r>
      <w:r>
        <w:rPr>
          <w:rFonts w:ascii="Calibri" w:hAnsi="Calibri" w:cs="Calibri"/>
          <w:sz w:val="21"/>
          <w:szCs w:val="22"/>
        </w:rPr>
        <w:t>«</w:t>
      </w:r>
      <w:r>
        <w:rPr>
          <w:rFonts w:ascii="Simoncini Garamond" w:hAnsi="Simoncini Garamond" w:cs="Times New Roman PS"/>
          <w:sz w:val="21"/>
          <w:szCs w:val="22"/>
        </w:rPr>
        <w:t>Politiche sociali / Social Policies</w:t>
      </w:r>
      <w:r>
        <w:rPr>
          <w:rFonts w:ascii="Calibri" w:hAnsi="Calibri" w:cs="Calibri"/>
          <w:sz w:val="21"/>
          <w:szCs w:val="22"/>
        </w:rPr>
        <w:t>»</w:t>
      </w:r>
      <w:r>
        <w:rPr>
          <w:rFonts w:ascii="Simoncini Garamond" w:hAnsi="Simoncini Garamond" w:cs="Times New Roman PS"/>
          <w:sz w:val="21"/>
          <w:szCs w:val="22"/>
        </w:rPr>
        <w:t>, n, 2/2022, pp. 181-210.</w:t>
      </w:r>
    </w:p>
    <w:p w14:paraId="7867FDAA" w14:textId="77777777" w:rsidR="0098596D" w:rsidRDefault="0098596D" w:rsidP="0049762C">
      <w:pPr>
        <w:rPr>
          <w:rFonts w:ascii="Simoncini Garamond" w:hAnsi="Simoncini Garamond" w:cs="Times New Roman PS"/>
          <w:sz w:val="21"/>
          <w:szCs w:val="22"/>
        </w:rPr>
      </w:pPr>
    </w:p>
    <w:p w14:paraId="282C5CDE" w14:textId="00633153" w:rsidR="0049762C" w:rsidRDefault="0049762C" w:rsidP="0049762C">
      <w:pPr>
        <w:rPr>
          <w:rFonts w:ascii="Simoncini Garamond" w:hAnsi="Simoncini Garamond" w:cs="Times New Roman PS"/>
          <w:sz w:val="21"/>
          <w:szCs w:val="22"/>
        </w:rPr>
      </w:pPr>
      <w:r>
        <w:rPr>
          <w:rFonts w:ascii="Simoncini Garamond" w:hAnsi="Simoncini Garamond" w:cs="Times New Roman PS"/>
          <w:sz w:val="21"/>
          <w:szCs w:val="22"/>
        </w:rPr>
        <w:t xml:space="preserve">Ciarini A., Luppi M., Sacchi S. </w:t>
      </w:r>
    </w:p>
    <w:p w14:paraId="48F36998" w14:textId="17332F32" w:rsidR="0049762C" w:rsidRPr="0049762C" w:rsidRDefault="0049762C" w:rsidP="00AD1B53">
      <w:pPr>
        <w:ind w:left="709" w:hanging="709"/>
        <w:rPr>
          <w:rFonts w:ascii="Simoncini Garamond" w:hAnsi="Simoncini Garamond" w:cs="Times New Roman PS"/>
          <w:sz w:val="21"/>
          <w:szCs w:val="22"/>
          <w:lang w:val="en-GB"/>
        </w:rPr>
      </w:pPr>
      <w:r w:rsidRPr="0049762C">
        <w:rPr>
          <w:rFonts w:ascii="Simoncini Garamond" w:hAnsi="Simoncini Garamond" w:cs="Times New Roman PS"/>
          <w:sz w:val="21"/>
          <w:szCs w:val="22"/>
          <w:lang w:val="en-GB"/>
        </w:rPr>
        <w:t>202</w:t>
      </w:r>
      <w:r>
        <w:rPr>
          <w:rFonts w:ascii="Simoncini Garamond" w:hAnsi="Simoncini Garamond" w:cs="Times New Roman PS"/>
          <w:sz w:val="21"/>
          <w:szCs w:val="22"/>
          <w:lang w:val="en-GB"/>
        </w:rPr>
        <w:t>2</w:t>
      </w:r>
      <w:r w:rsidRPr="0049762C">
        <w:rPr>
          <w:rFonts w:ascii="Simoncini Garamond" w:hAnsi="Simoncini Garamond" w:cs="Times New Roman PS"/>
          <w:sz w:val="21"/>
          <w:szCs w:val="22"/>
          <w:lang w:val="en-GB"/>
        </w:rPr>
        <w:tab/>
      </w:r>
      <w:r w:rsidRPr="00052DB0">
        <w:rPr>
          <w:rFonts w:ascii="Simoncini Garamond" w:hAnsi="Simoncini Garamond" w:cs="Times New Roman PS"/>
          <w:i/>
          <w:sz w:val="21"/>
          <w:szCs w:val="22"/>
          <w:lang w:val="en-GB"/>
        </w:rPr>
        <w:t>Make them work! In-work benefits after the pandemic in the reform of Italy’s minimum income scheme</w:t>
      </w:r>
      <w:r w:rsidRPr="00F43ABE">
        <w:rPr>
          <w:rFonts w:ascii="Simoncini Garamond" w:hAnsi="Simoncini Garamond" w:cs="Times New Roman PS"/>
          <w:sz w:val="21"/>
          <w:szCs w:val="22"/>
          <w:lang w:val="en-GB"/>
        </w:rPr>
        <w:t xml:space="preserve">, </w:t>
      </w:r>
      <w:r w:rsidR="00052DB0">
        <w:rPr>
          <w:rFonts w:ascii="Simoncini Garamond" w:hAnsi="Simoncini Garamond" w:cs="Times New Roman PS"/>
          <w:sz w:val="21"/>
          <w:szCs w:val="22"/>
          <w:lang w:val="en-GB"/>
        </w:rPr>
        <w:t xml:space="preserve">in </w:t>
      </w:r>
      <w:r w:rsidR="00052DB0">
        <w:rPr>
          <w:rFonts w:ascii="Calibri" w:hAnsi="Calibri" w:cs="Calibri"/>
          <w:sz w:val="21"/>
          <w:szCs w:val="22"/>
          <w:lang w:val="en-GB"/>
        </w:rPr>
        <w:t>«</w:t>
      </w:r>
      <w:r w:rsidRPr="00F43ABE">
        <w:rPr>
          <w:rFonts w:ascii="Simoncini Garamond" w:hAnsi="Simoncini Garamond" w:cs="Times New Roman PS"/>
          <w:sz w:val="21"/>
          <w:szCs w:val="22"/>
          <w:lang w:val="en-GB"/>
        </w:rPr>
        <w:t>Stato e mercato</w:t>
      </w:r>
      <w:r w:rsidR="00052DB0">
        <w:rPr>
          <w:rFonts w:ascii="Calibri" w:hAnsi="Calibri" w:cs="Calibri"/>
          <w:sz w:val="21"/>
          <w:szCs w:val="22"/>
          <w:lang w:val="en-GB"/>
        </w:rPr>
        <w:t>»</w:t>
      </w:r>
      <w:r w:rsidRPr="00F43ABE">
        <w:rPr>
          <w:rFonts w:ascii="Simoncini Garamond" w:hAnsi="Simoncini Garamond" w:cs="Times New Roman PS"/>
          <w:sz w:val="21"/>
          <w:szCs w:val="22"/>
          <w:lang w:val="en-GB"/>
        </w:rPr>
        <w:t xml:space="preserve"> n. 3, dicembre</w:t>
      </w:r>
      <w:r w:rsidR="00C773B2">
        <w:rPr>
          <w:rFonts w:ascii="Simoncini Garamond" w:hAnsi="Simoncini Garamond" w:cs="Times New Roman PS"/>
          <w:sz w:val="21"/>
          <w:szCs w:val="22"/>
          <w:lang w:val="en-GB"/>
        </w:rPr>
        <w:t>.</w:t>
      </w:r>
    </w:p>
    <w:p w14:paraId="5D5BDCA4" w14:textId="77777777" w:rsidR="0049762C" w:rsidRPr="0049762C" w:rsidRDefault="0049762C" w:rsidP="00501D02">
      <w:pPr>
        <w:rPr>
          <w:rFonts w:ascii="Simoncini Garamond" w:hAnsi="Simoncini Garamond" w:cs="Times New Roman PS"/>
          <w:sz w:val="21"/>
          <w:szCs w:val="22"/>
          <w:lang w:val="en-GB"/>
        </w:rPr>
      </w:pPr>
    </w:p>
    <w:p w14:paraId="26366189" w14:textId="629A87E2" w:rsidR="00501D02" w:rsidRDefault="00501D02" w:rsidP="00501D02">
      <w:pPr>
        <w:rPr>
          <w:rFonts w:ascii="Simoncini Garamond" w:hAnsi="Simoncini Garamond" w:cs="Times New Roman PS"/>
          <w:sz w:val="21"/>
          <w:szCs w:val="22"/>
        </w:rPr>
      </w:pPr>
      <w:r>
        <w:rPr>
          <w:rFonts w:ascii="Simoncini Garamond" w:hAnsi="Simoncini Garamond" w:cs="Times New Roman PS"/>
          <w:sz w:val="21"/>
          <w:szCs w:val="22"/>
        </w:rPr>
        <w:t xml:space="preserve">Caritas Italiana </w:t>
      </w:r>
    </w:p>
    <w:p w14:paraId="57C70EF0" w14:textId="011BE524" w:rsidR="00501D02" w:rsidRDefault="00501D02" w:rsidP="00501D02">
      <w:pPr>
        <w:ind w:left="708" w:hanging="708"/>
        <w:rPr>
          <w:rFonts w:ascii="Simoncini Garamond" w:hAnsi="Simoncini Garamond" w:cs="Times New Roman PS"/>
          <w:sz w:val="21"/>
          <w:szCs w:val="22"/>
        </w:rPr>
      </w:pPr>
      <w:r w:rsidRPr="00AE3363">
        <w:rPr>
          <w:rFonts w:ascii="Simoncini Garamond" w:hAnsi="Simoncini Garamond" w:cs="Times New Roman PS"/>
          <w:sz w:val="21"/>
          <w:szCs w:val="22"/>
        </w:rPr>
        <w:t>2021</w:t>
      </w:r>
      <w:r>
        <w:rPr>
          <w:rFonts w:ascii="Simoncini Garamond" w:hAnsi="Simoncini Garamond" w:cs="Times New Roman PS"/>
          <w:sz w:val="21"/>
          <w:szCs w:val="22"/>
        </w:rPr>
        <w:tab/>
      </w:r>
      <w:r w:rsidRPr="00E25139">
        <w:rPr>
          <w:rFonts w:ascii="Simoncini Garamond" w:hAnsi="Simoncini Garamond" w:cs="Times New Roman PS"/>
          <w:i/>
          <w:sz w:val="21"/>
          <w:szCs w:val="22"/>
        </w:rPr>
        <w:t>Lotta alla povertà. Imparare dall’esperienza, migliorare le risposte. Un monitoraggio plurale del Reddito di Cittadinanza</w:t>
      </w:r>
      <w:r>
        <w:rPr>
          <w:rFonts w:ascii="Simoncini Garamond" w:hAnsi="Simoncini Garamond" w:cs="Times New Roman PS"/>
          <w:sz w:val="21"/>
          <w:szCs w:val="22"/>
        </w:rPr>
        <w:t xml:space="preserve">, </w:t>
      </w:r>
      <w:hyperlink r:id="rId10" w:history="1">
        <w:r w:rsidR="006064E1" w:rsidRPr="009453C5">
          <w:rPr>
            <w:rStyle w:val="Collegamentoipertestuale"/>
            <w:rFonts w:ascii="Simoncini Garamond" w:hAnsi="Simoncini Garamond" w:cs="Times New Roman PS"/>
            <w:sz w:val="21"/>
            <w:szCs w:val="22"/>
          </w:rPr>
          <w:t>http://s2ew.caritasitaliana.it/materiali/Pubblicazioni/Monitoraggio_RDC/RAPPORTO_CARITAS_RDC2021.pdf</w:t>
        </w:r>
      </w:hyperlink>
    </w:p>
    <w:p w14:paraId="01147DC8" w14:textId="2A57091F" w:rsidR="006064E1" w:rsidRDefault="00AB7B80" w:rsidP="00501D02">
      <w:pPr>
        <w:ind w:left="708" w:hanging="708"/>
        <w:rPr>
          <w:rFonts w:ascii="Simoncini Garamond" w:hAnsi="Simoncini Garamond" w:cs="Times New Roman PS"/>
          <w:sz w:val="21"/>
          <w:szCs w:val="22"/>
        </w:rPr>
      </w:pPr>
      <w:r>
        <w:rPr>
          <w:rFonts w:ascii="Simoncini Garamond" w:hAnsi="Simoncini Garamond" w:cs="Times New Roman PS"/>
          <w:sz w:val="21"/>
          <w:szCs w:val="22"/>
        </w:rPr>
        <w:t xml:space="preserve"> </w:t>
      </w:r>
    </w:p>
    <w:p w14:paraId="7B4B7F6F" w14:textId="06763C9F" w:rsidR="00620A15" w:rsidRDefault="00620A15" w:rsidP="006064E1">
      <w:pPr>
        <w:ind w:left="708" w:hanging="708"/>
        <w:rPr>
          <w:rFonts w:ascii="Simoncini Garamond" w:hAnsi="Simoncini Garamond" w:cs="Times New Roman PS"/>
          <w:sz w:val="21"/>
          <w:szCs w:val="22"/>
        </w:rPr>
      </w:pPr>
      <w:r>
        <w:rPr>
          <w:rFonts w:ascii="Simoncini Garamond" w:hAnsi="Simoncini Garamond" w:cs="Times New Roman PS"/>
          <w:sz w:val="21"/>
          <w:szCs w:val="22"/>
        </w:rPr>
        <w:t>Corte dei Conti</w:t>
      </w:r>
    </w:p>
    <w:p w14:paraId="3B74A945" w14:textId="712FE56B" w:rsidR="00620A15" w:rsidRDefault="00620A15" w:rsidP="006064E1">
      <w:pPr>
        <w:ind w:left="708" w:hanging="708"/>
        <w:rPr>
          <w:rFonts w:ascii="Simoncini Garamond" w:hAnsi="Simoncini Garamond" w:cs="Times New Roman PS"/>
          <w:sz w:val="21"/>
          <w:szCs w:val="22"/>
        </w:rPr>
      </w:pPr>
      <w:r>
        <w:rPr>
          <w:rFonts w:ascii="Simoncini Garamond" w:hAnsi="Simoncini Garamond" w:cs="Times New Roman PS"/>
          <w:sz w:val="21"/>
          <w:szCs w:val="22"/>
        </w:rPr>
        <w:t>2023</w:t>
      </w:r>
      <w:r>
        <w:rPr>
          <w:rFonts w:ascii="Simoncini Garamond" w:hAnsi="Simoncini Garamond" w:cs="Times New Roman PS"/>
          <w:sz w:val="21"/>
          <w:szCs w:val="22"/>
        </w:rPr>
        <w:tab/>
      </w:r>
      <w:r w:rsidRPr="009578C2">
        <w:rPr>
          <w:rFonts w:ascii="Simoncini Garamond" w:hAnsi="Simoncini Garamond" w:cs="Times New Roman PS"/>
          <w:i/>
          <w:sz w:val="21"/>
          <w:szCs w:val="22"/>
        </w:rPr>
        <w:t>Rapporto sul coordinamento della finanza pubblica</w:t>
      </w:r>
      <w:r w:rsidR="009578C2">
        <w:rPr>
          <w:rFonts w:ascii="Simoncini Garamond" w:hAnsi="Simoncini Garamond" w:cs="Times New Roman PS"/>
          <w:sz w:val="21"/>
          <w:szCs w:val="22"/>
        </w:rPr>
        <w:t>,</w:t>
      </w:r>
      <w:r w:rsidR="009578C2" w:rsidRPr="009578C2">
        <w:t xml:space="preserve"> </w:t>
      </w:r>
      <w:hyperlink r:id="rId11" w:history="1">
        <w:r w:rsidR="009578C2" w:rsidRPr="00B6445F">
          <w:rPr>
            <w:rStyle w:val="Collegamentoipertestuale"/>
            <w:rFonts w:ascii="Simoncini Garamond" w:hAnsi="Simoncini Garamond" w:cs="Times New Roman PS"/>
            <w:sz w:val="21"/>
            <w:szCs w:val="22"/>
          </w:rPr>
          <w:t>https://www.corteconti.it/Download?id=ddfd70d1-1d57-46c6-b12c-6c0001670bb7</w:t>
        </w:r>
      </w:hyperlink>
    </w:p>
    <w:p w14:paraId="4C10C052" w14:textId="77777777" w:rsidR="00620A15" w:rsidRDefault="00620A15" w:rsidP="006064E1">
      <w:pPr>
        <w:ind w:left="708" w:hanging="708"/>
        <w:rPr>
          <w:rFonts w:ascii="Simoncini Garamond" w:hAnsi="Simoncini Garamond" w:cs="Times New Roman PS"/>
          <w:sz w:val="21"/>
          <w:szCs w:val="22"/>
        </w:rPr>
      </w:pPr>
    </w:p>
    <w:p w14:paraId="7DEF6ED8" w14:textId="058EA306" w:rsidR="006064E1" w:rsidRPr="006064E1" w:rsidRDefault="006064E1" w:rsidP="006064E1">
      <w:pPr>
        <w:ind w:left="708" w:hanging="708"/>
        <w:rPr>
          <w:rFonts w:ascii="Simoncini Garamond" w:hAnsi="Simoncini Garamond" w:cs="Times New Roman PS"/>
          <w:sz w:val="21"/>
          <w:szCs w:val="22"/>
        </w:rPr>
      </w:pPr>
      <w:r w:rsidRPr="006064E1">
        <w:rPr>
          <w:rFonts w:ascii="Simoncini Garamond" w:hAnsi="Simoncini Garamond" w:cs="Times New Roman PS"/>
          <w:sz w:val="21"/>
          <w:szCs w:val="22"/>
        </w:rPr>
        <w:t xml:space="preserve">Curci N., Grasso G., Recchia P., Savegnago M. </w:t>
      </w:r>
    </w:p>
    <w:p w14:paraId="0CAB889C" w14:textId="6A5AABD6" w:rsidR="006064E1" w:rsidRDefault="006064E1" w:rsidP="00AD1B53">
      <w:pPr>
        <w:ind w:left="709" w:hanging="709"/>
        <w:contextualSpacing/>
        <w:mirrorIndents/>
        <w:rPr>
          <w:rFonts w:ascii="Simoncini Garamond" w:hAnsi="Simoncini Garamond" w:cs="Times New Roman PS"/>
          <w:sz w:val="21"/>
          <w:szCs w:val="22"/>
        </w:rPr>
      </w:pPr>
      <w:r w:rsidRPr="00AE3363">
        <w:rPr>
          <w:rFonts w:ascii="Simoncini Garamond" w:hAnsi="Simoncini Garamond" w:cs="Times New Roman PS"/>
          <w:sz w:val="21"/>
          <w:szCs w:val="22"/>
        </w:rPr>
        <w:t>202</w:t>
      </w:r>
      <w:r w:rsidR="006E2F77">
        <w:rPr>
          <w:rFonts w:ascii="Simoncini Garamond" w:hAnsi="Simoncini Garamond" w:cs="Times New Roman PS"/>
          <w:sz w:val="21"/>
          <w:szCs w:val="22"/>
        </w:rPr>
        <w:t>0</w:t>
      </w:r>
      <w:r>
        <w:rPr>
          <w:rFonts w:ascii="Simoncini Garamond" w:hAnsi="Simoncini Garamond" w:cs="Times New Roman PS"/>
          <w:sz w:val="21"/>
          <w:szCs w:val="22"/>
        </w:rPr>
        <w:tab/>
      </w:r>
      <w:r w:rsidRPr="00E25139">
        <w:rPr>
          <w:rFonts w:ascii="Simoncini Garamond" w:hAnsi="Simoncini Garamond" w:cs="Times New Roman PS"/>
          <w:i/>
          <w:sz w:val="21"/>
          <w:szCs w:val="22"/>
        </w:rPr>
        <w:t>Anti-poverty measures in Italy: a</w:t>
      </w:r>
      <w:r w:rsidRPr="00E25139">
        <w:rPr>
          <w:rFonts w:ascii="Simoncini Garamond" w:hAnsi="Simoncini Garamond" w:cs="Times New Roman PS"/>
          <w:i/>
          <w:sz w:val="21"/>
          <w:szCs w:val="22"/>
        </w:rPr>
        <w:br/>
        <w:t>microsimulation analysis</w:t>
      </w:r>
      <w:r w:rsidRPr="006064E1">
        <w:rPr>
          <w:rFonts w:ascii="Simoncini Garamond" w:hAnsi="Simoncini Garamond" w:cs="Times New Roman PS"/>
          <w:sz w:val="21"/>
          <w:szCs w:val="22"/>
        </w:rPr>
        <w:t xml:space="preserve">, </w:t>
      </w:r>
      <w:r w:rsidR="00E25139">
        <w:rPr>
          <w:rFonts w:ascii="Simoncini Garamond" w:hAnsi="Simoncini Garamond" w:cs="Times New Roman PS"/>
          <w:sz w:val="21"/>
          <w:szCs w:val="22"/>
        </w:rPr>
        <w:t xml:space="preserve">in </w:t>
      </w:r>
      <w:r w:rsidR="00E25139">
        <w:rPr>
          <w:rFonts w:ascii="Calibri" w:hAnsi="Calibri" w:cs="Calibri"/>
          <w:sz w:val="21"/>
          <w:szCs w:val="22"/>
        </w:rPr>
        <w:t>«</w:t>
      </w:r>
      <w:r w:rsidRPr="006064E1">
        <w:rPr>
          <w:rFonts w:ascii="Simoncini Garamond" w:hAnsi="Simoncini Garamond" w:cs="Times New Roman PS"/>
          <w:sz w:val="21"/>
          <w:szCs w:val="22"/>
        </w:rPr>
        <w:t>Temi di Discussione</w:t>
      </w:r>
      <w:r w:rsidR="00E25139">
        <w:rPr>
          <w:rFonts w:ascii="Calibri" w:hAnsi="Calibri" w:cs="Calibri"/>
          <w:sz w:val="21"/>
          <w:szCs w:val="22"/>
        </w:rPr>
        <w:t>»</w:t>
      </w:r>
      <w:r w:rsidR="005314A4">
        <w:rPr>
          <w:rFonts w:ascii="Simoncini Garamond" w:hAnsi="Simoncini Garamond" w:cs="Times New Roman PS"/>
          <w:sz w:val="21"/>
          <w:szCs w:val="22"/>
        </w:rPr>
        <w:t>,</w:t>
      </w:r>
      <w:r w:rsidRPr="006064E1">
        <w:rPr>
          <w:rFonts w:ascii="Simoncini Garamond" w:hAnsi="Simoncini Garamond" w:cs="Times New Roman PS"/>
          <w:sz w:val="21"/>
          <w:szCs w:val="22"/>
        </w:rPr>
        <w:t xml:space="preserve"> n. 1298</w:t>
      </w:r>
      <w:r w:rsidR="00E25139">
        <w:rPr>
          <w:rFonts w:ascii="Simoncini Garamond" w:hAnsi="Simoncini Garamond" w:cs="Times New Roman PS"/>
          <w:sz w:val="21"/>
          <w:szCs w:val="22"/>
        </w:rPr>
        <w:t xml:space="preserve">, </w:t>
      </w:r>
      <w:r w:rsidR="00E25139" w:rsidRPr="006064E1">
        <w:rPr>
          <w:rFonts w:ascii="Simoncini Garamond" w:hAnsi="Simoncini Garamond" w:cs="Times New Roman PS"/>
          <w:sz w:val="21"/>
          <w:szCs w:val="22"/>
        </w:rPr>
        <w:t>Banca d’Italia</w:t>
      </w:r>
      <w:r w:rsidRPr="006064E1">
        <w:rPr>
          <w:rFonts w:ascii="Simoncini Garamond" w:hAnsi="Simoncini Garamond" w:cs="Times New Roman PS"/>
          <w:sz w:val="21"/>
          <w:szCs w:val="22"/>
        </w:rPr>
        <w:t>.</w:t>
      </w:r>
    </w:p>
    <w:p w14:paraId="2B41AB67" w14:textId="77777777" w:rsidR="005314A4" w:rsidRDefault="005314A4" w:rsidP="00AD1B53">
      <w:pPr>
        <w:ind w:left="709" w:hanging="709"/>
        <w:contextualSpacing/>
        <w:mirrorIndents/>
        <w:rPr>
          <w:rFonts w:ascii="Simoncini Garamond" w:hAnsi="Simoncini Garamond" w:cs="Times New Roman PS"/>
          <w:sz w:val="21"/>
          <w:szCs w:val="22"/>
        </w:rPr>
      </w:pPr>
    </w:p>
    <w:p w14:paraId="65F0B79B" w14:textId="042D0D62" w:rsidR="005314A4" w:rsidRDefault="005314A4" w:rsidP="0049762C">
      <w:pPr>
        <w:ind w:left="708" w:hanging="708"/>
        <w:rPr>
          <w:rFonts w:ascii="Simoncini Garamond" w:hAnsi="Simoncini Garamond" w:cs="Times New Roman PS"/>
          <w:sz w:val="21"/>
          <w:szCs w:val="22"/>
        </w:rPr>
      </w:pPr>
      <w:r>
        <w:rPr>
          <w:rFonts w:ascii="Simoncini Garamond" w:hAnsi="Simoncini Garamond" w:cs="Times New Roman PS"/>
          <w:sz w:val="21"/>
          <w:szCs w:val="22"/>
        </w:rPr>
        <w:t>Dicarlo E., Recchia P., Tomasi A.</w:t>
      </w:r>
    </w:p>
    <w:p w14:paraId="4F670E11" w14:textId="1A974934" w:rsidR="005314A4" w:rsidRDefault="005314A4" w:rsidP="0049762C">
      <w:pPr>
        <w:ind w:left="708" w:hanging="708"/>
        <w:rPr>
          <w:rFonts w:ascii="Simoncini Garamond" w:hAnsi="Simoncini Garamond" w:cs="Times New Roman PS"/>
          <w:sz w:val="21"/>
          <w:szCs w:val="22"/>
        </w:rPr>
      </w:pPr>
      <w:r>
        <w:rPr>
          <w:rFonts w:ascii="Simoncini Garamond" w:hAnsi="Simoncini Garamond" w:cs="Times New Roman PS"/>
          <w:sz w:val="21"/>
          <w:szCs w:val="22"/>
        </w:rPr>
        <w:t>2023</w:t>
      </w:r>
      <w:r>
        <w:rPr>
          <w:rFonts w:ascii="Simoncini Garamond" w:hAnsi="Simoncini Garamond" w:cs="Times New Roman PS"/>
          <w:sz w:val="21"/>
          <w:szCs w:val="22"/>
        </w:rPr>
        <w:tab/>
      </w:r>
      <w:r w:rsidRPr="00E25139">
        <w:rPr>
          <w:rFonts w:ascii="Simoncini Garamond" w:hAnsi="Simoncini Garamond" w:cs="Times New Roman PS"/>
          <w:i/>
          <w:sz w:val="21"/>
          <w:szCs w:val="22"/>
        </w:rPr>
        <w:t>Le modifiche al sistema fiscale e di welfare italiano attuate nel 2022: profili di equità ed efficienza</w:t>
      </w:r>
      <w:r>
        <w:rPr>
          <w:rFonts w:ascii="Simoncini Garamond" w:hAnsi="Simoncini Garamond" w:cs="Times New Roman PS"/>
          <w:sz w:val="21"/>
          <w:szCs w:val="22"/>
        </w:rPr>
        <w:t xml:space="preserve">, </w:t>
      </w:r>
      <w:r w:rsidR="00E25139">
        <w:rPr>
          <w:rFonts w:ascii="Simoncini Garamond" w:hAnsi="Simoncini Garamond" w:cs="Times New Roman PS"/>
          <w:sz w:val="21"/>
          <w:szCs w:val="22"/>
        </w:rPr>
        <w:t xml:space="preserve">in </w:t>
      </w:r>
      <w:r w:rsidR="00E25139">
        <w:rPr>
          <w:rFonts w:ascii="Calibri" w:hAnsi="Calibri" w:cs="Calibri"/>
          <w:sz w:val="21"/>
          <w:szCs w:val="22"/>
        </w:rPr>
        <w:t>«</w:t>
      </w:r>
      <w:r>
        <w:rPr>
          <w:rFonts w:ascii="Simoncini Garamond" w:hAnsi="Simoncini Garamond" w:cs="Times New Roman PS"/>
          <w:sz w:val="21"/>
          <w:szCs w:val="22"/>
        </w:rPr>
        <w:t>Questioni di Economia e Finanza</w:t>
      </w:r>
      <w:r w:rsidR="00E25139">
        <w:rPr>
          <w:rFonts w:ascii="Calibri" w:hAnsi="Calibri" w:cs="Calibri"/>
          <w:sz w:val="21"/>
          <w:szCs w:val="22"/>
        </w:rPr>
        <w:t>»</w:t>
      </w:r>
      <w:r>
        <w:rPr>
          <w:rFonts w:ascii="Simoncini Garamond" w:hAnsi="Simoncini Garamond" w:cs="Times New Roman PS"/>
          <w:sz w:val="21"/>
          <w:szCs w:val="22"/>
        </w:rPr>
        <w:t>, n. 748</w:t>
      </w:r>
      <w:r w:rsidR="00E25139">
        <w:rPr>
          <w:rFonts w:ascii="Simoncini Garamond" w:hAnsi="Simoncini Garamond" w:cs="Times New Roman PS"/>
          <w:sz w:val="21"/>
          <w:szCs w:val="22"/>
        </w:rPr>
        <w:t>, Banca d’Italia.</w:t>
      </w:r>
    </w:p>
    <w:p w14:paraId="207F0598" w14:textId="77777777" w:rsidR="005314A4" w:rsidRDefault="005314A4" w:rsidP="0049762C">
      <w:pPr>
        <w:ind w:left="708" w:hanging="708"/>
        <w:rPr>
          <w:rFonts w:ascii="Simoncini Garamond" w:hAnsi="Simoncini Garamond" w:cs="Times New Roman PS"/>
          <w:sz w:val="21"/>
          <w:szCs w:val="22"/>
        </w:rPr>
      </w:pPr>
    </w:p>
    <w:p w14:paraId="7AD5A51C" w14:textId="5EC0AB78" w:rsidR="0049762C" w:rsidRPr="006064E1" w:rsidRDefault="0049762C" w:rsidP="0049762C">
      <w:pPr>
        <w:ind w:left="708" w:hanging="708"/>
        <w:rPr>
          <w:rFonts w:ascii="Simoncini Garamond" w:hAnsi="Simoncini Garamond" w:cs="Times New Roman PS"/>
          <w:sz w:val="21"/>
          <w:szCs w:val="22"/>
        </w:rPr>
      </w:pPr>
      <w:r>
        <w:rPr>
          <w:rFonts w:ascii="Simoncini Garamond" w:hAnsi="Simoncini Garamond" w:cs="Times New Roman PS"/>
          <w:sz w:val="21"/>
          <w:szCs w:val="22"/>
        </w:rPr>
        <w:t xml:space="preserve">Irpet </w:t>
      </w:r>
    </w:p>
    <w:p w14:paraId="712C22B2" w14:textId="0D78222B" w:rsidR="0049762C" w:rsidRDefault="0049762C" w:rsidP="00AD1B53">
      <w:pPr>
        <w:ind w:left="709" w:hanging="709"/>
        <w:contextualSpacing/>
        <w:mirrorIndents/>
        <w:rPr>
          <w:rFonts w:ascii="Simoncini Garamond" w:hAnsi="Simoncini Garamond" w:cs="Times New Roman PS"/>
          <w:sz w:val="21"/>
          <w:szCs w:val="22"/>
        </w:rPr>
      </w:pPr>
      <w:r w:rsidRPr="00AE3363">
        <w:rPr>
          <w:rFonts w:ascii="Simoncini Garamond" w:hAnsi="Simoncini Garamond" w:cs="Times New Roman PS"/>
          <w:sz w:val="21"/>
          <w:szCs w:val="22"/>
        </w:rPr>
        <w:t>202</w:t>
      </w:r>
      <w:r>
        <w:rPr>
          <w:rFonts w:ascii="Simoncini Garamond" w:hAnsi="Simoncini Garamond" w:cs="Times New Roman PS"/>
          <w:sz w:val="21"/>
          <w:szCs w:val="22"/>
        </w:rPr>
        <w:t>3</w:t>
      </w:r>
      <w:r>
        <w:rPr>
          <w:rFonts w:ascii="Simoncini Garamond" w:hAnsi="Simoncini Garamond" w:cs="Times New Roman PS"/>
          <w:sz w:val="21"/>
          <w:szCs w:val="22"/>
        </w:rPr>
        <w:tab/>
      </w:r>
      <w:r w:rsidRPr="00E25139">
        <w:rPr>
          <w:rFonts w:ascii="Simoncini Garamond" w:hAnsi="Simoncini Garamond" w:cs="Times New Roman PS"/>
          <w:i/>
          <w:sz w:val="21"/>
          <w:szCs w:val="22"/>
        </w:rPr>
        <w:t>Assegno di inclusione e Strumento di attivazione: le due misure che prendono il posto del Reddito di cittadinanza</w:t>
      </w:r>
      <w:r>
        <w:rPr>
          <w:rFonts w:ascii="Simoncini Garamond" w:hAnsi="Simoncini Garamond" w:cs="Times New Roman PS"/>
          <w:sz w:val="21"/>
          <w:szCs w:val="22"/>
        </w:rPr>
        <w:t xml:space="preserve">, Nota di lavoro n. 22, maggio. </w:t>
      </w:r>
    </w:p>
    <w:p w14:paraId="2AEC15F8" w14:textId="2F85A47E" w:rsidR="006064E1" w:rsidRDefault="006064E1" w:rsidP="006064E1">
      <w:pPr>
        <w:ind w:left="708" w:hanging="708"/>
        <w:rPr>
          <w:rFonts w:ascii="Simoncini Garamond" w:hAnsi="Simoncini Garamond" w:cs="Times New Roman PS"/>
          <w:sz w:val="21"/>
          <w:szCs w:val="22"/>
        </w:rPr>
      </w:pPr>
    </w:p>
    <w:p w14:paraId="7D923831" w14:textId="4C56CC32" w:rsidR="0049762C" w:rsidRPr="006064E1" w:rsidRDefault="0049762C" w:rsidP="00AD1B53">
      <w:pPr>
        <w:ind w:left="709" w:hanging="709"/>
        <w:rPr>
          <w:rFonts w:ascii="Simoncini Garamond" w:hAnsi="Simoncini Garamond" w:cs="Times New Roman PS"/>
          <w:sz w:val="21"/>
          <w:szCs w:val="22"/>
        </w:rPr>
      </w:pPr>
      <w:r>
        <w:rPr>
          <w:rFonts w:ascii="Simoncini Garamond" w:hAnsi="Simoncini Garamond" w:cs="Times New Roman PS"/>
          <w:sz w:val="21"/>
          <w:szCs w:val="22"/>
        </w:rPr>
        <w:t xml:space="preserve">Istat </w:t>
      </w:r>
    </w:p>
    <w:p w14:paraId="13BA5175" w14:textId="2C51E5D6" w:rsidR="0074112C" w:rsidRDefault="0074112C" w:rsidP="005D4E91">
      <w:pPr>
        <w:ind w:left="709" w:hanging="709"/>
        <w:contextualSpacing/>
        <w:mirrorIndents/>
        <w:rPr>
          <w:rFonts w:ascii="Simoncini Garamond" w:hAnsi="Simoncini Garamond" w:cs="Times New Roman PS"/>
          <w:sz w:val="21"/>
          <w:szCs w:val="22"/>
        </w:rPr>
      </w:pPr>
      <w:r>
        <w:rPr>
          <w:rFonts w:ascii="Simoncini Garamond" w:hAnsi="Simoncini Garamond" w:cs="Times New Roman PS"/>
          <w:sz w:val="21"/>
          <w:szCs w:val="22"/>
        </w:rPr>
        <w:t>2022</w:t>
      </w:r>
      <w:r w:rsidR="005D4E91">
        <w:rPr>
          <w:rFonts w:ascii="Simoncini Garamond" w:hAnsi="Simoncini Garamond" w:cs="Times New Roman PS"/>
          <w:sz w:val="21"/>
          <w:szCs w:val="22"/>
        </w:rPr>
        <w:t>a</w:t>
      </w:r>
      <w:r>
        <w:rPr>
          <w:rFonts w:ascii="Simoncini Garamond" w:hAnsi="Simoncini Garamond" w:cs="Times New Roman PS"/>
          <w:sz w:val="21"/>
          <w:szCs w:val="22"/>
        </w:rPr>
        <w:tab/>
      </w:r>
      <w:r w:rsidR="005D4E91" w:rsidRPr="005D4E91">
        <w:rPr>
          <w:rFonts w:ascii="Simoncini Garamond" w:hAnsi="Simoncini Garamond" w:cs="Times New Roman PS"/>
          <w:i/>
          <w:sz w:val="21"/>
          <w:szCs w:val="22"/>
        </w:rPr>
        <w:t>La povertà in Italia, anno 2021</w:t>
      </w:r>
      <w:r w:rsidR="005D4E91">
        <w:rPr>
          <w:rFonts w:ascii="Simoncini Garamond" w:hAnsi="Simoncini Garamond" w:cs="Times New Roman PS"/>
          <w:sz w:val="21"/>
          <w:szCs w:val="22"/>
        </w:rPr>
        <w:t>, Statistica Report, 15 giugno</w:t>
      </w:r>
      <w:r w:rsidR="00307CCC">
        <w:rPr>
          <w:rFonts w:ascii="Simoncini Garamond" w:hAnsi="Simoncini Garamond" w:cs="Times New Roman PS"/>
          <w:sz w:val="21"/>
          <w:szCs w:val="22"/>
        </w:rPr>
        <w:t xml:space="preserve"> 2022</w:t>
      </w:r>
      <w:r w:rsidR="003660DA">
        <w:rPr>
          <w:rFonts w:ascii="Simoncini Garamond" w:hAnsi="Simoncini Garamond" w:cs="Times New Roman PS"/>
          <w:sz w:val="21"/>
          <w:szCs w:val="22"/>
        </w:rPr>
        <w:t>.</w:t>
      </w:r>
    </w:p>
    <w:p w14:paraId="728953E0" w14:textId="20D7579B" w:rsidR="00A13AD3" w:rsidRDefault="00A13AD3" w:rsidP="00AD1B53">
      <w:pPr>
        <w:ind w:left="709" w:hanging="709"/>
        <w:contextualSpacing/>
        <w:mirrorIndents/>
        <w:rPr>
          <w:rFonts w:ascii="Simoncini Garamond" w:hAnsi="Simoncini Garamond" w:cs="Times New Roman PS"/>
          <w:sz w:val="21"/>
          <w:szCs w:val="22"/>
        </w:rPr>
      </w:pPr>
      <w:r w:rsidRPr="00AE3363">
        <w:rPr>
          <w:rFonts w:ascii="Simoncini Garamond" w:hAnsi="Simoncini Garamond" w:cs="Times New Roman PS"/>
          <w:sz w:val="21"/>
          <w:szCs w:val="22"/>
        </w:rPr>
        <w:t>202</w:t>
      </w:r>
      <w:r>
        <w:rPr>
          <w:rFonts w:ascii="Simoncini Garamond" w:hAnsi="Simoncini Garamond" w:cs="Times New Roman PS"/>
          <w:sz w:val="21"/>
          <w:szCs w:val="22"/>
        </w:rPr>
        <w:t>2</w:t>
      </w:r>
      <w:r w:rsidR="00CB754F">
        <w:rPr>
          <w:rFonts w:ascii="Simoncini Garamond" w:hAnsi="Simoncini Garamond" w:cs="Times New Roman PS"/>
          <w:sz w:val="21"/>
          <w:szCs w:val="22"/>
        </w:rPr>
        <w:t>b</w:t>
      </w:r>
      <w:r>
        <w:rPr>
          <w:rFonts w:ascii="Simoncini Garamond" w:hAnsi="Simoncini Garamond" w:cs="Times New Roman PS"/>
          <w:sz w:val="21"/>
          <w:szCs w:val="22"/>
        </w:rPr>
        <w:tab/>
      </w:r>
      <w:r w:rsidRPr="005D4E91">
        <w:rPr>
          <w:rFonts w:ascii="Simoncini Garamond" w:hAnsi="Simoncini Garamond" w:cs="Times New Roman PS"/>
          <w:i/>
          <w:sz w:val="21"/>
          <w:szCs w:val="22"/>
        </w:rPr>
        <w:t>Condizioni di vita e reddito delle famiglie</w:t>
      </w:r>
      <w:r w:rsidR="005D4E91">
        <w:rPr>
          <w:rFonts w:ascii="Simoncini Garamond" w:hAnsi="Simoncini Garamond" w:cs="Times New Roman PS"/>
          <w:i/>
          <w:sz w:val="21"/>
          <w:szCs w:val="22"/>
        </w:rPr>
        <w:t>, a</w:t>
      </w:r>
      <w:r w:rsidRPr="005D4E91">
        <w:rPr>
          <w:rFonts w:ascii="Simoncini Garamond" w:hAnsi="Simoncini Garamond" w:cs="Times New Roman PS"/>
          <w:i/>
          <w:sz w:val="21"/>
          <w:szCs w:val="22"/>
        </w:rPr>
        <w:t>nni 2020 e 2021</w:t>
      </w:r>
      <w:r w:rsidR="005D4E91">
        <w:rPr>
          <w:rFonts w:ascii="Simoncini Garamond" w:hAnsi="Simoncini Garamond" w:cs="Times New Roman PS"/>
          <w:sz w:val="21"/>
          <w:szCs w:val="22"/>
        </w:rPr>
        <w:t>, Statistica Report, 10 ottobre 2022</w:t>
      </w:r>
    </w:p>
    <w:p w14:paraId="2827325B" w14:textId="7E014728" w:rsidR="00917B77" w:rsidRDefault="00E9289C" w:rsidP="00AD1B53">
      <w:pPr>
        <w:ind w:left="709" w:hanging="709"/>
        <w:contextualSpacing/>
        <w:mirrorIndents/>
        <w:rPr>
          <w:rFonts w:ascii="Simoncini Garamond" w:hAnsi="Simoncini Garamond" w:cs="Times New Roman PS"/>
          <w:sz w:val="21"/>
          <w:szCs w:val="22"/>
        </w:rPr>
      </w:pPr>
      <w:r>
        <w:rPr>
          <w:rFonts w:ascii="Simoncini Garamond" w:hAnsi="Simoncini Garamond" w:cs="Times New Roman PS"/>
          <w:sz w:val="21"/>
          <w:szCs w:val="22"/>
        </w:rPr>
        <w:t>2022</w:t>
      </w:r>
      <w:r w:rsidR="00CB754F">
        <w:rPr>
          <w:rFonts w:ascii="Simoncini Garamond" w:hAnsi="Simoncini Garamond" w:cs="Times New Roman PS"/>
          <w:sz w:val="21"/>
          <w:szCs w:val="22"/>
        </w:rPr>
        <w:t>c</w:t>
      </w:r>
      <w:r>
        <w:rPr>
          <w:rFonts w:ascii="Simoncini Garamond" w:hAnsi="Simoncini Garamond" w:cs="Times New Roman PS"/>
          <w:sz w:val="21"/>
          <w:szCs w:val="22"/>
        </w:rPr>
        <w:tab/>
      </w:r>
      <w:r w:rsidRPr="005D4E91">
        <w:rPr>
          <w:rFonts w:ascii="Simoncini Garamond" w:hAnsi="Simoncini Garamond" w:cs="Times New Roman PS"/>
          <w:i/>
          <w:sz w:val="21"/>
          <w:szCs w:val="22"/>
        </w:rPr>
        <w:t>La redistribuzione del reddito in Italia</w:t>
      </w:r>
      <w:r w:rsidR="005D4E91" w:rsidRPr="005D4E91">
        <w:rPr>
          <w:rFonts w:ascii="Simoncini Garamond" w:hAnsi="Simoncini Garamond" w:cs="Times New Roman PS"/>
          <w:i/>
          <w:sz w:val="21"/>
          <w:szCs w:val="22"/>
        </w:rPr>
        <w:t xml:space="preserve">, </w:t>
      </w:r>
      <w:r w:rsidR="000E78DC" w:rsidRPr="005D4E91">
        <w:rPr>
          <w:rFonts w:ascii="Simoncini Garamond" w:hAnsi="Simoncini Garamond" w:cs="Times New Roman PS"/>
          <w:i/>
          <w:sz w:val="21"/>
          <w:szCs w:val="22"/>
        </w:rPr>
        <w:t>anno 2022</w:t>
      </w:r>
      <w:r w:rsidR="000E78DC">
        <w:rPr>
          <w:rFonts w:ascii="Simoncini Garamond" w:hAnsi="Simoncini Garamond" w:cs="Times New Roman PS"/>
          <w:sz w:val="21"/>
          <w:szCs w:val="22"/>
        </w:rPr>
        <w:t>, 23 novembre 2022</w:t>
      </w:r>
    </w:p>
    <w:p w14:paraId="41F8F572" w14:textId="2E4BAC8C" w:rsidR="00E9289C" w:rsidRDefault="00917B77" w:rsidP="00AD1B53">
      <w:pPr>
        <w:ind w:left="709" w:hanging="709"/>
        <w:contextualSpacing/>
        <w:mirrorIndents/>
        <w:rPr>
          <w:rFonts w:ascii="Simoncini Garamond" w:hAnsi="Simoncini Garamond" w:cs="Times New Roman PS"/>
          <w:sz w:val="21"/>
          <w:szCs w:val="22"/>
        </w:rPr>
      </w:pPr>
      <w:r w:rsidRPr="00AE3363">
        <w:rPr>
          <w:rFonts w:ascii="Simoncini Garamond" w:hAnsi="Simoncini Garamond" w:cs="Times New Roman PS"/>
          <w:sz w:val="21"/>
          <w:szCs w:val="22"/>
        </w:rPr>
        <w:t>202</w:t>
      </w:r>
      <w:r>
        <w:rPr>
          <w:rFonts w:ascii="Simoncini Garamond" w:hAnsi="Simoncini Garamond" w:cs="Times New Roman PS"/>
          <w:sz w:val="21"/>
          <w:szCs w:val="22"/>
        </w:rPr>
        <w:t>3</w:t>
      </w:r>
      <w:r>
        <w:rPr>
          <w:rFonts w:ascii="Simoncini Garamond" w:hAnsi="Simoncini Garamond" w:cs="Times New Roman PS"/>
          <w:sz w:val="21"/>
          <w:szCs w:val="22"/>
        </w:rPr>
        <w:tab/>
      </w:r>
      <w:r w:rsidRPr="00917B77">
        <w:rPr>
          <w:rFonts w:ascii="Simoncini Garamond" w:hAnsi="Simoncini Garamond" w:cs="Times New Roman PS"/>
          <w:i/>
          <w:sz w:val="21"/>
          <w:szCs w:val="22"/>
        </w:rPr>
        <w:t>Rapporto Bes 2022: Il benessere equo e sostenibile in Italia</w:t>
      </w:r>
      <w:r>
        <w:rPr>
          <w:rFonts w:ascii="Simoncini Garamond" w:hAnsi="Simoncini Garamond" w:cs="Times New Roman PS"/>
          <w:sz w:val="21"/>
          <w:szCs w:val="22"/>
        </w:rPr>
        <w:t>, 20 aprile 2023</w:t>
      </w:r>
    </w:p>
    <w:p w14:paraId="62F1D8B4" w14:textId="77777777" w:rsidR="0049762C" w:rsidRDefault="0049762C" w:rsidP="00A13AD3">
      <w:pPr>
        <w:spacing w:line="360" w:lineRule="atLeast"/>
        <w:ind w:left="708" w:hanging="708"/>
        <w:contextualSpacing/>
        <w:mirrorIndents/>
        <w:rPr>
          <w:rFonts w:ascii="Simoncini Garamond" w:hAnsi="Simoncini Garamond" w:cs="Times New Roman PS"/>
          <w:sz w:val="21"/>
          <w:szCs w:val="22"/>
        </w:rPr>
      </w:pPr>
    </w:p>
    <w:p w14:paraId="3FA941A0" w14:textId="1E07FCB8" w:rsidR="0049762C" w:rsidRPr="006064E1" w:rsidRDefault="0049762C" w:rsidP="00A13AD3">
      <w:pPr>
        <w:spacing w:line="360" w:lineRule="atLeast"/>
        <w:ind w:left="708" w:hanging="708"/>
        <w:contextualSpacing/>
        <w:mirrorIndents/>
        <w:rPr>
          <w:rFonts w:ascii="Simoncini Garamond" w:hAnsi="Simoncini Garamond" w:cs="Times New Roman PS"/>
          <w:sz w:val="21"/>
          <w:szCs w:val="22"/>
        </w:rPr>
      </w:pPr>
      <w:r>
        <w:rPr>
          <w:rFonts w:ascii="Simoncini Garamond" w:hAnsi="Simoncini Garamond" w:cs="Times New Roman PS"/>
          <w:sz w:val="21"/>
          <w:szCs w:val="22"/>
        </w:rPr>
        <w:t xml:space="preserve">Ministero del lavoro </w:t>
      </w:r>
    </w:p>
    <w:p w14:paraId="784583A1" w14:textId="6811BA34" w:rsidR="0049762C" w:rsidRPr="00A13AD3" w:rsidRDefault="0049762C" w:rsidP="00AD1B53">
      <w:pPr>
        <w:ind w:left="709" w:hanging="709"/>
        <w:contextualSpacing/>
        <w:mirrorIndents/>
        <w:rPr>
          <w:rFonts w:ascii="Simoncini Garamond" w:hAnsi="Simoncini Garamond" w:cs="Times New Roman PS"/>
          <w:sz w:val="21"/>
          <w:szCs w:val="22"/>
        </w:rPr>
      </w:pPr>
      <w:r w:rsidRPr="00AE3363">
        <w:rPr>
          <w:rFonts w:ascii="Simoncini Garamond" w:hAnsi="Simoncini Garamond" w:cs="Times New Roman PS"/>
          <w:sz w:val="21"/>
          <w:szCs w:val="22"/>
        </w:rPr>
        <w:t>202</w:t>
      </w:r>
      <w:r>
        <w:rPr>
          <w:rFonts w:ascii="Simoncini Garamond" w:hAnsi="Simoncini Garamond" w:cs="Times New Roman PS"/>
          <w:sz w:val="21"/>
          <w:szCs w:val="22"/>
        </w:rPr>
        <w:t>1</w:t>
      </w:r>
      <w:r>
        <w:rPr>
          <w:rFonts w:ascii="Simoncini Garamond" w:hAnsi="Simoncini Garamond" w:cs="Times New Roman PS"/>
          <w:sz w:val="21"/>
          <w:szCs w:val="22"/>
        </w:rPr>
        <w:tab/>
      </w:r>
      <w:r w:rsidRPr="00CB754F">
        <w:rPr>
          <w:rFonts w:ascii="Simoncini Garamond" w:hAnsi="Simoncini Garamond" w:cs="Times New Roman PS"/>
          <w:i/>
          <w:sz w:val="21"/>
          <w:szCs w:val="22"/>
        </w:rPr>
        <w:t>Relazione del comitato scientifico per la valutazione del Reddito di cittadinanza</w:t>
      </w:r>
      <w:r w:rsidRPr="00A13AD3">
        <w:rPr>
          <w:rFonts w:ascii="Simoncini Garamond" w:hAnsi="Simoncini Garamond" w:cs="Times New Roman PS"/>
          <w:sz w:val="21"/>
          <w:szCs w:val="22"/>
        </w:rPr>
        <w:t xml:space="preserve">, ottobre. </w:t>
      </w:r>
    </w:p>
    <w:p w14:paraId="350435D7" w14:textId="1DD79D51" w:rsidR="0049762C" w:rsidRDefault="0049762C" w:rsidP="0049762C">
      <w:pPr>
        <w:spacing w:line="360" w:lineRule="atLeast"/>
        <w:ind w:left="708" w:hanging="708"/>
        <w:contextualSpacing/>
        <w:mirrorIndents/>
        <w:rPr>
          <w:rFonts w:ascii="Simoncini Garamond" w:hAnsi="Simoncini Garamond" w:cs="Times New Roman PS"/>
          <w:sz w:val="21"/>
          <w:szCs w:val="22"/>
        </w:rPr>
      </w:pPr>
      <w:r>
        <w:rPr>
          <w:rFonts w:ascii="Simoncini Garamond" w:hAnsi="Simoncini Garamond" w:cs="Times New Roman PS"/>
          <w:sz w:val="21"/>
          <w:szCs w:val="22"/>
        </w:rPr>
        <w:t xml:space="preserve"> </w:t>
      </w:r>
    </w:p>
    <w:p w14:paraId="3E138D2E" w14:textId="7E0FA770" w:rsidR="006064E1" w:rsidRDefault="00BF2F85" w:rsidP="00A13AD3">
      <w:pPr>
        <w:spacing w:line="360" w:lineRule="atLeast"/>
        <w:ind w:left="708" w:hanging="708"/>
        <w:contextualSpacing/>
        <w:mirrorIndents/>
        <w:rPr>
          <w:rFonts w:ascii="Simoncini Garamond" w:hAnsi="Simoncini Garamond" w:cs="Times New Roman PS"/>
          <w:sz w:val="21"/>
          <w:szCs w:val="22"/>
        </w:rPr>
      </w:pPr>
      <w:r>
        <w:rPr>
          <w:rFonts w:ascii="Simoncini Garamond" w:hAnsi="Simoncini Garamond" w:cs="Times New Roman PS"/>
          <w:sz w:val="21"/>
          <w:szCs w:val="22"/>
        </w:rPr>
        <w:t>U</w:t>
      </w:r>
      <w:r w:rsidR="000C40E7">
        <w:rPr>
          <w:rFonts w:ascii="Simoncini Garamond" w:hAnsi="Simoncini Garamond" w:cs="Times New Roman PS"/>
          <w:sz w:val="21"/>
          <w:szCs w:val="22"/>
        </w:rPr>
        <w:t>pb (</w:t>
      </w:r>
      <w:r>
        <w:rPr>
          <w:rFonts w:ascii="Simoncini Garamond" w:hAnsi="Simoncini Garamond" w:cs="Times New Roman PS"/>
          <w:sz w:val="21"/>
          <w:szCs w:val="22"/>
        </w:rPr>
        <w:t>Ufficio Parlamentare di Bilancio</w:t>
      </w:r>
      <w:r w:rsidR="000C40E7">
        <w:rPr>
          <w:rFonts w:ascii="Simoncini Garamond" w:hAnsi="Simoncini Garamond" w:cs="Times New Roman PS"/>
          <w:sz w:val="21"/>
          <w:szCs w:val="22"/>
        </w:rPr>
        <w:t>)</w:t>
      </w:r>
    </w:p>
    <w:p w14:paraId="40BF013E" w14:textId="7F87C8E6" w:rsidR="00501D02" w:rsidRPr="009209AC" w:rsidRDefault="00BF2F85" w:rsidP="00C773B2">
      <w:pPr>
        <w:ind w:left="709" w:hanging="709"/>
        <w:contextualSpacing/>
        <w:mirrorIndents/>
        <w:rPr>
          <w:sz w:val="24"/>
          <w:szCs w:val="24"/>
        </w:rPr>
      </w:pPr>
      <w:r>
        <w:rPr>
          <w:rFonts w:ascii="Simoncini Garamond" w:hAnsi="Simoncini Garamond" w:cs="Times New Roman PS"/>
          <w:sz w:val="21"/>
          <w:szCs w:val="22"/>
        </w:rPr>
        <w:t>2022</w:t>
      </w:r>
      <w:r>
        <w:rPr>
          <w:rFonts w:ascii="Simoncini Garamond" w:hAnsi="Simoncini Garamond" w:cs="Times New Roman PS"/>
          <w:sz w:val="21"/>
          <w:szCs w:val="22"/>
        </w:rPr>
        <w:tab/>
      </w:r>
      <w:r w:rsidRPr="000C40E7">
        <w:rPr>
          <w:rFonts w:ascii="Simoncini Garamond" w:hAnsi="Simoncini Garamond" w:cs="Times New Roman PS"/>
          <w:i/>
          <w:sz w:val="21"/>
          <w:szCs w:val="22"/>
        </w:rPr>
        <w:t xml:space="preserve">Audizione della Presidente dell’Upb nell’ambito dell’attività conoscitiva </w:t>
      </w:r>
      <w:r w:rsidR="003603AA" w:rsidRPr="000C40E7">
        <w:rPr>
          <w:rFonts w:ascii="Simoncini Garamond" w:hAnsi="Simoncini Garamond" w:cs="Times New Roman PS"/>
          <w:i/>
          <w:sz w:val="21"/>
          <w:szCs w:val="22"/>
        </w:rPr>
        <w:t>per l’esame della legge di bilancio 2023</w:t>
      </w:r>
      <w:r w:rsidR="003603AA">
        <w:rPr>
          <w:rFonts w:ascii="Simoncini Garamond" w:hAnsi="Simoncini Garamond" w:cs="Times New Roman PS"/>
          <w:sz w:val="21"/>
          <w:szCs w:val="22"/>
        </w:rPr>
        <w:t>, 5 dicembre</w:t>
      </w:r>
      <w:r w:rsidR="00C773B2">
        <w:rPr>
          <w:rFonts w:ascii="Simoncini Garamond" w:hAnsi="Simoncini Garamond" w:cs="Times New Roman PS"/>
          <w:sz w:val="21"/>
          <w:szCs w:val="22"/>
        </w:rPr>
        <w:t>.</w:t>
      </w:r>
    </w:p>
    <w:p w14:paraId="0388EFFD" w14:textId="5D66E074" w:rsidR="00D4630D" w:rsidRPr="00F43ABE" w:rsidRDefault="00D4630D" w:rsidP="00C773B2">
      <w:pPr>
        <w:rPr>
          <w:rFonts w:ascii="Simoncini Garamond" w:hAnsi="Simoncini Garamond" w:cs="Times New Roman PS"/>
          <w:sz w:val="21"/>
          <w:szCs w:val="22"/>
        </w:rPr>
      </w:pPr>
    </w:p>
    <w:sectPr w:rsidR="00D4630D" w:rsidRPr="00F43ABE" w:rsidSect="00A21AB1">
      <w:pgSz w:w="7921" w:h="12242"/>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F5F6F6" w14:textId="77777777" w:rsidR="00252EBD" w:rsidRDefault="00252EBD" w:rsidP="007C62F9">
      <w:pPr>
        <w:spacing w:line="240" w:lineRule="auto"/>
      </w:pPr>
      <w:r>
        <w:separator/>
      </w:r>
    </w:p>
  </w:endnote>
  <w:endnote w:type="continuationSeparator" w:id="0">
    <w:p w14:paraId="4477F608" w14:textId="77777777" w:rsidR="00252EBD" w:rsidRDefault="00252EBD" w:rsidP="007C62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oncini Garamond">
    <w:altName w:val="Calibri"/>
    <w:charset w:val="00"/>
    <w:family w:val="auto"/>
    <w:pitch w:val="variable"/>
    <w:sig w:usb0="8000002F" w:usb1="40000048" w:usb2="00000000" w:usb3="00000000" w:csb0="00000001" w:csb1="00000000"/>
  </w:font>
  <w:font w:name="Times New Roman PS">
    <w:altName w:val="Times New Roman"/>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onciniGaramond">
    <w:altName w:val="Times New Roman"/>
    <w:charset w:val="00"/>
    <w:family w:val="auto"/>
    <w:pitch w:val="default"/>
  </w:font>
  <w:font w:name="Times New Roman PS Italic">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8D2F25" w14:textId="77777777" w:rsidR="00252EBD" w:rsidRDefault="00252EBD" w:rsidP="007C62F9">
      <w:pPr>
        <w:spacing w:line="240" w:lineRule="auto"/>
      </w:pPr>
      <w:r>
        <w:separator/>
      </w:r>
    </w:p>
  </w:footnote>
  <w:footnote w:type="continuationSeparator" w:id="0">
    <w:p w14:paraId="24E19B67" w14:textId="77777777" w:rsidR="00252EBD" w:rsidRDefault="00252EBD" w:rsidP="007C62F9">
      <w:pPr>
        <w:spacing w:line="240" w:lineRule="auto"/>
      </w:pPr>
      <w:r>
        <w:continuationSeparator/>
      </w:r>
    </w:p>
  </w:footnote>
  <w:footnote w:id="1">
    <w:p w14:paraId="738734FF" w14:textId="6F0BA974" w:rsidR="0003230D" w:rsidRPr="00C215F8" w:rsidRDefault="0003230D" w:rsidP="007C62F9">
      <w:pPr>
        <w:pStyle w:val="Testonotaapidipagina"/>
      </w:pPr>
      <w:r w:rsidRPr="00212AB5">
        <w:t xml:space="preserve">Università degli Studi di </w:t>
      </w:r>
      <w:r>
        <w:t xml:space="preserve">Modena e Reggio Emilia e </w:t>
      </w:r>
      <w:r w:rsidRPr="00212AB5">
        <w:t>Capp</w:t>
      </w:r>
      <w:r>
        <w:t xml:space="preserve">, </w:t>
      </w:r>
      <w:r w:rsidRPr="00212AB5">
        <w:t xml:space="preserve">Università degli Studi di </w:t>
      </w:r>
      <w:r>
        <w:t xml:space="preserve">Bologna e </w:t>
      </w:r>
      <w:r w:rsidRPr="00212AB5">
        <w:t>Capp</w:t>
      </w:r>
      <w:r>
        <w:t>.</w:t>
      </w:r>
    </w:p>
  </w:footnote>
  <w:footnote w:id="2">
    <w:p w14:paraId="1205E040" w14:textId="7582C98D" w:rsidR="0003230D" w:rsidRDefault="0003230D">
      <w:pPr>
        <w:pStyle w:val="Testonotaapidipagina"/>
      </w:pPr>
      <w:r>
        <w:rPr>
          <w:rStyle w:val="Rimandonotaapidipagina"/>
        </w:rPr>
        <w:footnoteRef/>
      </w:r>
      <w:r>
        <w:t xml:space="preserve"> Per avere una quantificazione della povertà assoluta nel 2022 si dovrà aspettare ottobre 2023, quando l’Istat diffonderà i dati dell’Indagine sulle spese delle famiglie relativa al 2022 e quelli riguardanti la povertà assoluta, che ufficializzeranno i risultati del lavoro della Commissione incaricata di rivederne la metodologia di stima. La revisione comporterà un’inevitabile ricostruzione della serie storica degli indicatori di incidenza e intensità della povertà assoluta.</w:t>
      </w:r>
    </w:p>
  </w:footnote>
  <w:footnote w:id="3">
    <w:p w14:paraId="12B0618F" w14:textId="7D6B00BD" w:rsidR="0003230D" w:rsidRDefault="0003230D">
      <w:pPr>
        <w:pStyle w:val="Testonotaapidipagina"/>
      </w:pPr>
      <w:r>
        <w:rPr>
          <w:rStyle w:val="Rimandonotaapidipagina"/>
        </w:rPr>
        <w:footnoteRef/>
      </w:r>
      <w:r>
        <w:t xml:space="preserve"> L’indice di Gini varia tra 0, in caso di distribuzione perfettamente egualitaria, e 1, che corrisponde alla massima diseguaglianza (nella tab. 1 i valori sono moltiplicati per 100). Il rapporto interquintilico misura il rapporto tra il reddito equivalente totale ricevuto dal 20% della popolazione più ricca e quello ricevuto dal 20% della popolazione più povera. Entrambi gli indici sono calcolati sulla distribuzione dei redditi familiari equivalenti al netto degli affitti imputati. il reddito familiare è reso equivalente dividendo il reddito monetario per la scala di equivalenza</w:t>
      </w:r>
      <w:r w:rsidRPr="00BD1B95">
        <w:t xml:space="preserve"> Ocse </w:t>
      </w:r>
      <w:r w:rsidRPr="00A84CEB">
        <w:rPr>
          <w:i/>
        </w:rPr>
        <w:t>modificata</w:t>
      </w:r>
      <w:r>
        <w:t>, che attribuisce coefficiente 1 al primo adulto, 0,5 per ogni altro individuo successivo al primo con almeno 14 anni e 0,3 ad ogni soggetto di età inferiore a 14 anni.</w:t>
      </w:r>
    </w:p>
  </w:footnote>
  <w:footnote w:id="4">
    <w:p w14:paraId="0F5F842E" w14:textId="77777777" w:rsidR="0003230D" w:rsidRDefault="0003230D" w:rsidP="00D95993">
      <w:pPr>
        <w:pStyle w:val="Testonotaapidipagina"/>
      </w:pPr>
      <w:r>
        <w:rPr>
          <w:rStyle w:val="Rimandonotaapidipagina"/>
        </w:rPr>
        <w:footnoteRef/>
      </w:r>
      <w:r>
        <w:t xml:space="preserve"> I valori dell’indice di Gini e del </w:t>
      </w:r>
      <w:r w:rsidRPr="000821BD">
        <w:rPr>
          <w:i/>
        </w:rPr>
        <w:t>rischio di povertà</w:t>
      </w:r>
      <w:r>
        <w:t xml:space="preserve"> sopra riportati non sono confrontabili con quelli della tab. 1, di fonte Eurostat, poiché includono nel reddito familiare il valore degli affitti imputati.   </w:t>
      </w:r>
    </w:p>
  </w:footnote>
  <w:footnote w:id="5">
    <w:p w14:paraId="73F58D8E" w14:textId="5F69F986" w:rsidR="0003230D" w:rsidRDefault="0003230D">
      <w:pPr>
        <w:pStyle w:val="Testonotaapidipagina"/>
      </w:pPr>
      <w:r>
        <w:rPr>
          <w:rStyle w:val="Rimandonotaapidipagina"/>
        </w:rPr>
        <w:footnoteRef/>
      </w:r>
      <w:r>
        <w:t xml:space="preserve"> Se non è altrimenti precisato, quando si parla di Rdc ci si riferisce sia al Reddito di cittadinanza che alla Pensione di cittadinanza.</w:t>
      </w:r>
    </w:p>
  </w:footnote>
  <w:footnote w:id="6">
    <w:p w14:paraId="6FE4C8D1" w14:textId="2A4B670A" w:rsidR="0003230D" w:rsidRDefault="0003230D">
      <w:pPr>
        <w:pStyle w:val="Testonotaapidipagina"/>
      </w:pPr>
      <w:r>
        <w:rPr>
          <w:rStyle w:val="Rimandonotaapidipagina"/>
        </w:rPr>
        <w:footnoteRef/>
      </w:r>
      <w:r>
        <w:t xml:space="preserve"> </w:t>
      </w:r>
      <w:r w:rsidRPr="00202E9C">
        <w:t>https://www.oecd.org/els/soc/tax-benefit-web-calculator/</w:t>
      </w:r>
    </w:p>
  </w:footnote>
  <w:footnote w:id="7">
    <w:p w14:paraId="405BA6A9" w14:textId="69BC9506" w:rsidR="00442598" w:rsidRDefault="00442598">
      <w:pPr>
        <w:pStyle w:val="Testonotaapidipagina"/>
      </w:pPr>
      <w:r>
        <w:rPr>
          <w:rStyle w:val="Rimandonotaapidipagina"/>
        </w:rPr>
        <w:footnoteRef/>
      </w:r>
      <w:r>
        <w:t xml:space="preserve"> Il decreto lavoro del 4 maggio 2023 specifica che i carichi di cura rilevanti a tal fine sono relativi alla presenza di bambini fino a tre anni, di tre o più minori, di componenti con disabilità o non autosufficienza come indicati nel DPR n. 159 del 5/12/2013.</w:t>
      </w:r>
    </w:p>
  </w:footnote>
  <w:footnote w:id="8">
    <w:p w14:paraId="1561D799" w14:textId="77777777" w:rsidR="0003230D" w:rsidRDefault="0003230D" w:rsidP="00F24D9F">
      <w:pPr>
        <w:pStyle w:val="Testonotaapidipagina"/>
      </w:pPr>
      <w:r>
        <w:rPr>
          <w:rStyle w:val="Rimandonotaapidipagina"/>
        </w:rPr>
        <w:footnoteRef/>
      </w:r>
      <w:r>
        <w:t xml:space="preserve"> A partire da un campione di individui tra 18 e 59 anni che dichiaravano di avere percepito il Rdc nel 2019 o nel 2020, si sono confrontate le caratteristiche socio-economiche di due gruppi di individui, quelli inseriti in famiglie che soddisfano i requisiti anagrafici per richiedere l’Adi e quelli invece che potranno accedere solo al Sfl. Dal confronto non sono emerse differenze tali da immaginare una maggiore probabilità di reinserimento occupazionale dei secondi rispetto ai primi: entrambi i gruppi presentano livelli di istruzione mediamente bassi e una durata simile dei periodi di disoccupazione [Banca d’Italia 2023].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8177F"/>
    <w:multiLevelType w:val="hybridMultilevel"/>
    <w:tmpl w:val="F714724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BE5C9D"/>
    <w:multiLevelType w:val="hybridMultilevel"/>
    <w:tmpl w:val="9470187A"/>
    <w:lvl w:ilvl="0" w:tplc="0410000F">
      <w:start w:val="6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7F74D5"/>
    <w:multiLevelType w:val="hybridMultilevel"/>
    <w:tmpl w:val="15969EFC"/>
    <w:lvl w:ilvl="0" w:tplc="EC644DE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E0D3925"/>
    <w:multiLevelType w:val="hybridMultilevel"/>
    <w:tmpl w:val="B198C15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7FD6F36"/>
    <w:multiLevelType w:val="hybridMultilevel"/>
    <w:tmpl w:val="A762C388"/>
    <w:lvl w:ilvl="0" w:tplc="797E40B0">
      <w:start w:val="1"/>
      <w:numFmt w:val="decimal"/>
      <w:pStyle w:val="3-Titoletto"/>
      <w:lvlText w:val="%1."/>
      <w:lvlJc w:val="left"/>
      <w:pPr>
        <w:tabs>
          <w:tab w:val="num" w:pos="284"/>
        </w:tabs>
        <w:ind w:left="284" w:hanging="284"/>
      </w:pPr>
      <w:rPr>
        <w:rFonts w:ascii="Simoncini Garamond" w:hAnsi="Simoncini Garamond" w:cs="Times New Roman" w:hint="default"/>
        <w:b w:val="0"/>
        <w:i w:val="0"/>
        <w:caps w:val="0"/>
        <w:strike w:val="0"/>
        <w:dstrike w:val="0"/>
        <w:vanish w:val="0"/>
        <w:vertAlign w:val="baseline"/>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5" w15:restartNumberingAfterBreak="0">
    <w:nsid w:val="28BA20EF"/>
    <w:multiLevelType w:val="hybridMultilevel"/>
    <w:tmpl w:val="052823AA"/>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EBB6D2A"/>
    <w:multiLevelType w:val="hybridMultilevel"/>
    <w:tmpl w:val="2126FDDE"/>
    <w:lvl w:ilvl="0" w:tplc="78584BE0">
      <w:start w:val="2"/>
      <w:numFmt w:val="bullet"/>
      <w:lvlText w:val="-"/>
      <w:lvlJc w:val="left"/>
      <w:pPr>
        <w:ind w:left="720" w:hanging="360"/>
      </w:pPr>
      <w:rPr>
        <w:rFonts w:ascii="Simoncini Garamond" w:eastAsia="Times New Roman" w:hAnsi="Simoncini Garamond" w:cs="Times New Roman P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0AF5F84"/>
    <w:multiLevelType w:val="hybridMultilevel"/>
    <w:tmpl w:val="279AA8E0"/>
    <w:lvl w:ilvl="0" w:tplc="F1422A8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21F067A"/>
    <w:multiLevelType w:val="hybridMultilevel"/>
    <w:tmpl w:val="5ECC488A"/>
    <w:lvl w:ilvl="0" w:tplc="42C8405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C8501F4"/>
    <w:multiLevelType w:val="hybridMultilevel"/>
    <w:tmpl w:val="202459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D4D776D"/>
    <w:multiLevelType w:val="multilevel"/>
    <w:tmpl w:val="8F0E8C92"/>
    <w:lvl w:ilvl="0">
      <w:start w:val="3"/>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EE17FAA"/>
    <w:multiLevelType w:val="hybridMultilevel"/>
    <w:tmpl w:val="20584D5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0D604C6"/>
    <w:multiLevelType w:val="hybridMultilevel"/>
    <w:tmpl w:val="0DA2686A"/>
    <w:lvl w:ilvl="0" w:tplc="82767F94">
      <w:start w:val="1"/>
      <w:numFmt w:val="decimal"/>
      <w:lvlText w:val="%1."/>
      <w:lvlJc w:val="left"/>
      <w:pPr>
        <w:tabs>
          <w:tab w:val="num" w:pos="720"/>
        </w:tabs>
        <w:ind w:left="720" w:hanging="360"/>
      </w:pPr>
      <w:rPr>
        <w:rFonts w:cs="Times New Roman" w:hint="default"/>
        <w:i w:val="0"/>
      </w:rPr>
    </w:lvl>
    <w:lvl w:ilvl="1" w:tplc="C1209CDC">
      <w:start w:val="1"/>
      <w:numFmt w:val="lowerLetter"/>
      <w:lvlText w:val="%2."/>
      <w:lvlJc w:val="left"/>
      <w:pPr>
        <w:tabs>
          <w:tab w:val="num" w:pos="1440"/>
        </w:tabs>
        <w:ind w:left="1440" w:hanging="360"/>
      </w:pPr>
      <w:rPr>
        <w:rFonts w:cs="Times New Roman"/>
      </w:rPr>
    </w:lvl>
    <w:lvl w:ilvl="2" w:tplc="0C24470A">
      <w:start w:val="1"/>
      <w:numFmt w:val="lowerRoman"/>
      <w:lvlText w:val="%3."/>
      <w:lvlJc w:val="right"/>
      <w:pPr>
        <w:tabs>
          <w:tab w:val="num" w:pos="2160"/>
        </w:tabs>
        <w:ind w:left="2160" w:hanging="180"/>
      </w:pPr>
      <w:rPr>
        <w:rFonts w:cs="Times New Roman"/>
      </w:rPr>
    </w:lvl>
    <w:lvl w:ilvl="3" w:tplc="C82E2CCA">
      <w:start w:val="1"/>
      <w:numFmt w:val="decimal"/>
      <w:lvlText w:val="%4."/>
      <w:lvlJc w:val="left"/>
      <w:pPr>
        <w:tabs>
          <w:tab w:val="num" w:pos="2880"/>
        </w:tabs>
        <w:ind w:left="2880" w:hanging="360"/>
      </w:pPr>
      <w:rPr>
        <w:rFonts w:cs="Times New Roman"/>
      </w:rPr>
    </w:lvl>
    <w:lvl w:ilvl="4" w:tplc="CDE8FCDE">
      <w:start w:val="1"/>
      <w:numFmt w:val="lowerLetter"/>
      <w:lvlText w:val="%5."/>
      <w:lvlJc w:val="left"/>
      <w:pPr>
        <w:tabs>
          <w:tab w:val="num" w:pos="3600"/>
        </w:tabs>
        <w:ind w:left="3600" w:hanging="360"/>
      </w:pPr>
      <w:rPr>
        <w:rFonts w:cs="Times New Roman"/>
      </w:rPr>
    </w:lvl>
    <w:lvl w:ilvl="5" w:tplc="74D22490">
      <w:start w:val="1"/>
      <w:numFmt w:val="lowerRoman"/>
      <w:lvlText w:val="%6."/>
      <w:lvlJc w:val="right"/>
      <w:pPr>
        <w:tabs>
          <w:tab w:val="num" w:pos="4320"/>
        </w:tabs>
        <w:ind w:left="4320" w:hanging="180"/>
      </w:pPr>
      <w:rPr>
        <w:rFonts w:cs="Times New Roman"/>
      </w:rPr>
    </w:lvl>
    <w:lvl w:ilvl="6" w:tplc="1F00AA4A">
      <w:start w:val="1"/>
      <w:numFmt w:val="decimal"/>
      <w:lvlText w:val="%7."/>
      <w:lvlJc w:val="left"/>
      <w:pPr>
        <w:tabs>
          <w:tab w:val="num" w:pos="5040"/>
        </w:tabs>
        <w:ind w:left="5040" w:hanging="360"/>
      </w:pPr>
      <w:rPr>
        <w:rFonts w:cs="Times New Roman"/>
      </w:rPr>
    </w:lvl>
    <w:lvl w:ilvl="7" w:tplc="4E8232DA">
      <w:start w:val="1"/>
      <w:numFmt w:val="lowerLetter"/>
      <w:lvlText w:val="%8."/>
      <w:lvlJc w:val="left"/>
      <w:pPr>
        <w:tabs>
          <w:tab w:val="num" w:pos="5760"/>
        </w:tabs>
        <w:ind w:left="5760" w:hanging="360"/>
      </w:pPr>
      <w:rPr>
        <w:rFonts w:cs="Times New Roman"/>
      </w:rPr>
    </w:lvl>
    <w:lvl w:ilvl="8" w:tplc="2D1E277A">
      <w:start w:val="1"/>
      <w:numFmt w:val="lowerRoman"/>
      <w:lvlText w:val="%9."/>
      <w:lvlJc w:val="right"/>
      <w:pPr>
        <w:tabs>
          <w:tab w:val="num" w:pos="6480"/>
        </w:tabs>
        <w:ind w:left="6480" w:hanging="180"/>
      </w:pPr>
      <w:rPr>
        <w:rFonts w:cs="Times New Roman"/>
      </w:rPr>
    </w:lvl>
  </w:abstractNum>
  <w:abstractNum w:abstractNumId="13" w15:restartNumberingAfterBreak="0">
    <w:nsid w:val="450D528E"/>
    <w:multiLevelType w:val="multilevel"/>
    <w:tmpl w:val="8B0A9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C13AF4"/>
    <w:multiLevelType w:val="hybridMultilevel"/>
    <w:tmpl w:val="89504562"/>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9F05092"/>
    <w:multiLevelType w:val="hybridMultilevel"/>
    <w:tmpl w:val="FE4E883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9AC65E6"/>
    <w:multiLevelType w:val="hybridMultilevel"/>
    <w:tmpl w:val="D0EA485E"/>
    <w:lvl w:ilvl="0" w:tplc="0E1E0414">
      <w:start w:val="1"/>
      <w:numFmt w:val="bullet"/>
      <w:lvlText w:val="-"/>
      <w:lvlJc w:val="left"/>
      <w:pPr>
        <w:ind w:left="720" w:hanging="360"/>
      </w:pPr>
      <w:rPr>
        <w:rFonts w:ascii="Simoncini Garamond" w:eastAsia="Times New Roman" w:hAnsi="Simoncini Garamond" w:cs="Times New Roman P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F396A87"/>
    <w:multiLevelType w:val="hybridMultilevel"/>
    <w:tmpl w:val="8F4E12C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F9524DB"/>
    <w:multiLevelType w:val="hybridMultilevel"/>
    <w:tmpl w:val="9D208504"/>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CE81F95"/>
    <w:multiLevelType w:val="hybridMultilevel"/>
    <w:tmpl w:val="854C5C34"/>
    <w:lvl w:ilvl="0" w:tplc="1416F326">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0"/>
  </w:num>
  <w:num w:numId="4">
    <w:abstractNumId w:val="3"/>
  </w:num>
  <w:num w:numId="5">
    <w:abstractNumId w:val="19"/>
  </w:num>
  <w:num w:numId="6">
    <w:abstractNumId w:val="15"/>
  </w:num>
  <w:num w:numId="7">
    <w:abstractNumId w:val="0"/>
  </w:num>
  <w:num w:numId="8">
    <w:abstractNumId w:val="8"/>
  </w:num>
  <w:num w:numId="9">
    <w:abstractNumId w:val="2"/>
  </w:num>
  <w:num w:numId="10">
    <w:abstractNumId w:val="16"/>
  </w:num>
  <w:num w:numId="11">
    <w:abstractNumId w:val="11"/>
  </w:num>
  <w:num w:numId="12">
    <w:abstractNumId w:val="17"/>
  </w:num>
  <w:num w:numId="13">
    <w:abstractNumId w:val="9"/>
  </w:num>
  <w:num w:numId="14">
    <w:abstractNumId w:val="7"/>
  </w:num>
  <w:num w:numId="15">
    <w:abstractNumId w:val="5"/>
  </w:num>
  <w:num w:numId="16">
    <w:abstractNumId w:val="18"/>
  </w:num>
  <w:num w:numId="17">
    <w:abstractNumId w:val="14"/>
  </w:num>
  <w:num w:numId="18">
    <w:abstractNumId w:val="1"/>
  </w:num>
  <w:num w:numId="19">
    <w:abstractNumId w:val="13"/>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2F9"/>
    <w:rsid w:val="00007EC5"/>
    <w:rsid w:val="00010C02"/>
    <w:rsid w:val="00021E49"/>
    <w:rsid w:val="000270E3"/>
    <w:rsid w:val="000304B7"/>
    <w:rsid w:val="00031A77"/>
    <w:rsid w:val="0003230D"/>
    <w:rsid w:val="00035222"/>
    <w:rsid w:val="00035362"/>
    <w:rsid w:val="000356D7"/>
    <w:rsid w:val="0003601B"/>
    <w:rsid w:val="00037740"/>
    <w:rsid w:val="000436FA"/>
    <w:rsid w:val="000450AC"/>
    <w:rsid w:val="0004607C"/>
    <w:rsid w:val="00047138"/>
    <w:rsid w:val="00047B29"/>
    <w:rsid w:val="00052DB0"/>
    <w:rsid w:val="00053B6F"/>
    <w:rsid w:val="000545E5"/>
    <w:rsid w:val="000609B5"/>
    <w:rsid w:val="00066D33"/>
    <w:rsid w:val="00070E79"/>
    <w:rsid w:val="00071464"/>
    <w:rsid w:val="000726E3"/>
    <w:rsid w:val="00072A1E"/>
    <w:rsid w:val="00073696"/>
    <w:rsid w:val="0008170E"/>
    <w:rsid w:val="000821BD"/>
    <w:rsid w:val="00082982"/>
    <w:rsid w:val="00083751"/>
    <w:rsid w:val="00084B47"/>
    <w:rsid w:val="0008617F"/>
    <w:rsid w:val="0008753C"/>
    <w:rsid w:val="00087F74"/>
    <w:rsid w:val="0009033C"/>
    <w:rsid w:val="000930C9"/>
    <w:rsid w:val="000937E4"/>
    <w:rsid w:val="000952DD"/>
    <w:rsid w:val="0009545A"/>
    <w:rsid w:val="0009694E"/>
    <w:rsid w:val="000A14EA"/>
    <w:rsid w:val="000A4206"/>
    <w:rsid w:val="000A4C6C"/>
    <w:rsid w:val="000A6AEC"/>
    <w:rsid w:val="000A7BDD"/>
    <w:rsid w:val="000A7D00"/>
    <w:rsid w:val="000B0FD5"/>
    <w:rsid w:val="000C012D"/>
    <w:rsid w:val="000C1EA5"/>
    <w:rsid w:val="000C40E7"/>
    <w:rsid w:val="000C70AE"/>
    <w:rsid w:val="000D2E06"/>
    <w:rsid w:val="000D5EC1"/>
    <w:rsid w:val="000D74B2"/>
    <w:rsid w:val="000D7664"/>
    <w:rsid w:val="000E0844"/>
    <w:rsid w:val="000E1561"/>
    <w:rsid w:val="000E43C9"/>
    <w:rsid w:val="000E6A95"/>
    <w:rsid w:val="000E78DC"/>
    <w:rsid w:val="000E7E42"/>
    <w:rsid w:val="000F2DC0"/>
    <w:rsid w:val="000F392C"/>
    <w:rsid w:val="000F459A"/>
    <w:rsid w:val="0010058E"/>
    <w:rsid w:val="00100F35"/>
    <w:rsid w:val="00101110"/>
    <w:rsid w:val="001113A8"/>
    <w:rsid w:val="001114C8"/>
    <w:rsid w:val="00113E76"/>
    <w:rsid w:val="001171BA"/>
    <w:rsid w:val="00120BF7"/>
    <w:rsid w:val="00125172"/>
    <w:rsid w:val="00125AD6"/>
    <w:rsid w:val="001273B6"/>
    <w:rsid w:val="001302EF"/>
    <w:rsid w:val="0013220C"/>
    <w:rsid w:val="00132B51"/>
    <w:rsid w:val="00137268"/>
    <w:rsid w:val="0014523A"/>
    <w:rsid w:val="00147F74"/>
    <w:rsid w:val="001506EA"/>
    <w:rsid w:val="00151694"/>
    <w:rsid w:val="001567A9"/>
    <w:rsid w:val="00157592"/>
    <w:rsid w:val="001575EB"/>
    <w:rsid w:val="00161217"/>
    <w:rsid w:val="001615CF"/>
    <w:rsid w:val="00162950"/>
    <w:rsid w:val="00164F9F"/>
    <w:rsid w:val="0016519E"/>
    <w:rsid w:val="00166DA0"/>
    <w:rsid w:val="001708C6"/>
    <w:rsid w:val="00172757"/>
    <w:rsid w:val="00172ABF"/>
    <w:rsid w:val="001739B8"/>
    <w:rsid w:val="0017641A"/>
    <w:rsid w:val="0017648A"/>
    <w:rsid w:val="00177033"/>
    <w:rsid w:val="00177B6F"/>
    <w:rsid w:val="001808F8"/>
    <w:rsid w:val="00186A02"/>
    <w:rsid w:val="00186EF6"/>
    <w:rsid w:val="001940B8"/>
    <w:rsid w:val="001950CF"/>
    <w:rsid w:val="00197FE0"/>
    <w:rsid w:val="001A17B2"/>
    <w:rsid w:val="001A1EE1"/>
    <w:rsid w:val="001A57C9"/>
    <w:rsid w:val="001A5C19"/>
    <w:rsid w:val="001B087C"/>
    <w:rsid w:val="001B3035"/>
    <w:rsid w:val="001B3D16"/>
    <w:rsid w:val="001B702E"/>
    <w:rsid w:val="001C12B1"/>
    <w:rsid w:val="001C2446"/>
    <w:rsid w:val="001C4F40"/>
    <w:rsid w:val="001C5041"/>
    <w:rsid w:val="001C5878"/>
    <w:rsid w:val="001D0279"/>
    <w:rsid w:val="001D33BD"/>
    <w:rsid w:val="001D5E31"/>
    <w:rsid w:val="001E0C04"/>
    <w:rsid w:val="001E21F3"/>
    <w:rsid w:val="001E720A"/>
    <w:rsid w:val="001F02E2"/>
    <w:rsid w:val="001F491E"/>
    <w:rsid w:val="001F7A72"/>
    <w:rsid w:val="00202E9C"/>
    <w:rsid w:val="00203B36"/>
    <w:rsid w:val="0020579C"/>
    <w:rsid w:val="00210B10"/>
    <w:rsid w:val="0021111B"/>
    <w:rsid w:val="00211408"/>
    <w:rsid w:val="00211E4C"/>
    <w:rsid w:val="00214554"/>
    <w:rsid w:val="002153E0"/>
    <w:rsid w:val="00215FC0"/>
    <w:rsid w:val="00216714"/>
    <w:rsid w:val="0021782D"/>
    <w:rsid w:val="00217D3C"/>
    <w:rsid w:val="002203F9"/>
    <w:rsid w:val="002265C4"/>
    <w:rsid w:val="002275A3"/>
    <w:rsid w:val="00227D26"/>
    <w:rsid w:val="00231ECC"/>
    <w:rsid w:val="00232232"/>
    <w:rsid w:val="00234739"/>
    <w:rsid w:val="002375B8"/>
    <w:rsid w:val="00245D69"/>
    <w:rsid w:val="00250F68"/>
    <w:rsid w:val="0025204B"/>
    <w:rsid w:val="00252EBD"/>
    <w:rsid w:val="00253AF8"/>
    <w:rsid w:val="00254ADD"/>
    <w:rsid w:val="00256669"/>
    <w:rsid w:val="00256853"/>
    <w:rsid w:val="00256D42"/>
    <w:rsid w:val="00257C90"/>
    <w:rsid w:val="0026433D"/>
    <w:rsid w:val="00266000"/>
    <w:rsid w:val="00266703"/>
    <w:rsid w:val="00270050"/>
    <w:rsid w:val="002713EC"/>
    <w:rsid w:val="00271904"/>
    <w:rsid w:val="002729D2"/>
    <w:rsid w:val="002734D7"/>
    <w:rsid w:val="002770E6"/>
    <w:rsid w:val="002774EA"/>
    <w:rsid w:val="00280184"/>
    <w:rsid w:val="00283246"/>
    <w:rsid w:val="0028357A"/>
    <w:rsid w:val="00284014"/>
    <w:rsid w:val="00291DA7"/>
    <w:rsid w:val="00294D02"/>
    <w:rsid w:val="00295AAC"/>
    <w:rsid w:val="00297202"/>
    <w:rsid w:val="002A1A47"/>
    <w:rsid w:val="002A1EE8"/>
    <w:rsid w:val="002A2E57"/>
    <w:rsid w:val="002A7BAB"/>
    <w:rsid w:val="002B4339"/>
    <w:rsid w:val="002B4BF9"/>
    <w:rsid w:val="002B4F80"/>
    <w:rsid w:val="002B5D95"/>
    <w:rsid w:val="002B5D9C"/>
    <w:rsid w:val="002B5DC9"/>
    <w:rsid w:val="002B5E64"/>
    <w:rsid w:val="002B69D5"/>
    <w:rsid w:val="002C53FD"/>
    <w:rsid w:val="002C5D68"/>
    <w:rsid w:val="002D045F"/>
    <w:rsid w:val="002D0A0C"/>
    <w:rsid w:val="002D3C35"/>
    <w:rsid w:val="002D67E8"/>
    <w:rsid w:val="002D6BBE"/>
    <w:rsid w:val="002D6DA8"/>
    <w:rsid w:val="002E0585"/>
    <w:rsid w:val="002E0B9F"/>
    <w:rsid w:val="002E0DF0"/>
    <w:rsid w:val="002E2015"/>
    <w:rsid w:val="002E29D5"/>
    <w:rsid w:val="002E2EE4"/>
    <w:rsid w:val="002E3D45"/>
    <w:rsid w:val="002F5DDA"/>
    <w:rsid w:val="00301336"/>
    <w:rsid w:val="0030372D"/>
    <w:rsid w:val="00303F9F"/>
    <w:rsid w:val="00307CCC"/>
    <w:rsid w:val="00312644"/>
    <w:rsid w:val="003144CB"/>
    <w:rsid w:val="00315C0B"/>
    <w:rsid w:val="00315D0B"/>
    <w:rsid w:val="00317C8E"/>
    <w:rsid w:val="003229A2"/>
    <w:rsid w:val="003261EB"/>
    <w:rsid w:val="003274CF"/>
    <w:rsid w:val="00327E77"/>
    <w:rsid w:val="00331BF8"/>
    <w:rsid w:val="00333900"/>
    <w:rsid w:val="003362ED"/>
    <w:rsid w:val="003423FE"/>
    <w:rsid w:val="0034649D"/>
    <w:rsid w:val="00351996"/>
    <w:rsid w:val="00353D1E"/>
    <w:rsid w:val="003602F3"/>
    <w:rsid w:val="003603AA"/>
    <w:rsid w:val="00365454"/>
    <w:rsid w:val="003660DA"/>
    <w:rsid w:val="00371B53"/>
    <w:rsid w:val="00373FF0"/>
    <w:rsid w:val="00374B3E"/>
    <w:rsid w:val="00375085"/>
    <w:rsid w:val="00377E49"/>
    <w:rsid w:val="003821C7"/>
    <w:rsid w:val="00382464"/>
    <w:rsid w:val="003852BE"/>
    <w:rsid w:val="00396C3C"/>
    <w:rsid w:val="003A2EA3"/>
    <w:rsid w:val="003A36A4"/>
    <w:rsid w:val="003A459F"/>
    <w:rsid w:val="003B430E"/>
    <w:rsid w:val="003B66AA"/>
    <w:rsid w:val="003C415B"/>
    <w:rsid w:val="003D23FA"/>
    <w:rsid w:val="003D45D9"/>
    <w:rsid w:val="003D4659"/>
    <w:rsid w:val="003D6068"/>
    <w:rsid w:val="003E05CF"/>
    <w:rsid w:val="003E3D80"/>
    <w:rsid w:val="003E6D4D"/>
    <w:rsid w:val="003E6E29"/>
    <w:rsid w:val="003E6FAD"/>
    <w:rsid w:val="003E7EF8"/>
    <w:rsid w:val="004013FC"/>
    <w:rsid w:val="00404E41"/>
    <w:rsid w:val="00404F3F"/>
    <w:rsid w:val="00406DEC"/>
    <w:rsid w:val="00410540"/>
    <w:rsid w:val="00413B67"/>
    <w:rsid w:val="004159A6"/>
    <w:rsid w:val="004175AA"/>
    <w:rsid w:val="0042526E"/>
    <w:rsid w:val="00426B4B"/>
    <w:rsid w:val="00430907"/>
    <w:rsid w:val="004321E3"/>
    <w:rsid w:val="00437301"/>
    <w:rsid w:val="00442259"/>
    <w:rsid w:val="00442598"/>
    <w:rsid w:val="0044463B"/>
    <w:rsid w:val="004448A9"/>
    <w:rsid w:val="00445842"/>
    <w:rsid w:val="00445DCB"/>
    <w:rsid w:val="00447A11"/>
    <w:rsid w:val="00451508"/>
    <w:rsid w:val="00451C9A"/>
    <w:rsid w:val="00454A17"/>
    <w:rsid w:val="00462CCC"/>
    <w:rsid w:val="004704B6"/>
    <w:rsid w:val="004711D4"/>
    <w:rsid w:val="00472E8E"/>
    <w:rsid w:val="00473C51"/>
    <w:rsid w:val="00474BAD"/>
    <w:rsid w:val="0048285D"/>
    <w:rsid w:val="0048293E"/>
    <w:rsid w:val="0048556D"/>
    <w:rsid w:val="00485B86"/>
    <w:rsid w:val="00491B7B"/>
    <w:rsid w:val="00491EC1"/>
    <w:rsid w:val="0049762C"/>
    <w:rsid w:val="00497643"/>
    <w:rsid w:val="004A1378"/>
    <w:rsid w:val="004A29C3"/>
    <w:rsid w:val="004A591A"/>
    <w:rsid w:val="004A59E1"/>
    <w:rsid w:val="004B5D87"/>
    <w:rsid w:val="004B74AA"/>
    <w:rsid w:val="004C0AE6"/>
    <w:rsid w:val="004C1634"/>
    <w:rsid w:val="004C17FC"/>
    <w:rsid w:val="004C50D8"/>
    <w:rsid w:val="004C52C5"/>
    <w:rsid w:val="004C5895"/>
    <w:rsid w:val="004C6069"/>
    <w:rsid w:val="004C6E80"/>
    <w:rsid w:val="004C76E3"/>
    <w:rsid w:val="004C7D04"/>
    <w:rsid w:val="004C7EBB"/>
    <w:rsid w:val="004D05B7"/>
    <w:rsid w:val="004D5D4A"/>
    <w:rsid w:val="004D5E0D"/>
    <w:rsid w:val="004E03D7"/>
    <w:rsid w:val="004E0841"/>
    <w:rsid w:val="004E1250"/>
    <w:rsid w:val="004E40AD"/>
    <w:rsid w:val="004E457C"/>
    <w:rsid w:val="004E4B40"/>
    <w:rsid w:val="004E5BE8"/>
    <w:rsid w:val="004E6C4D"/>
    <w:rsid w:val="004F34D0"/>
    <w:rsid w:val="004F5B41"/>
    <w:rsid w:val="004F72E0"/>
    <w:rsid w:val="005002D1"/>
    <w:rsid w:val="00500609"/>
    <w:rsid w:val="00500F87"/>
    <w:rsid w:val="005011B3"/>
    <w:rsid w:val="00501BA6"/>
    <w:rsid w:val="00501D02"/>
    <w:rsid w:val="005032FC"/>
    <w:rsid w:val="00506C2C"/>
    <w:rsid w:val="005077A4"/>
    <w:rsid w:val="00511B48"/>
    <w:rsid w:val="00516623"/>
    <w:rsid w:val="0051676E"/>
    <w:rsid w:val="00517630"/>
    <w:rsid w:val="00517E3C"/>
    <w:rsid w:val="005203BD"/>
    <w:rsid w:val="005224C7"/>
    <w:rsid w:val="00524653"/>
    <w:rsid w:val="00525774"/>
    <w:rsid w:val="00525FF2"/>
    <w:rsid w:val="005265F4"/>
    <w:rsid w:val="005314A4"/>
    <w:rsid w:val="00531A9A"/>
    <w:rsid w:val="00533B90"/>
    <w:rsid w:val="00536244"/>
    <w:rsid w:val="00537C0A"/>
    <w:rsid w:val="00541159"/>
    <w:rsid w:val="00546E84"/>
    <w:rsid w:val="0055018F"/>
    <w:rsid w:val="00550850"/>
    <w:rsid w:val="005527B7"/>
    <w:rsid w:val="00552E0F"/>
    <w:rsid w:val="005539E8"/>
    <w:rsid w:val="0055652C"/>
    <w:rsid w:val="00561204"/>
    <w:rsid w:val="0056359F"/>
    <w:rsid w:val="00573709"/>
    <w:rsid w:val="005775E5"/>
    <w:rsid w:val="00580F91"/>
    <w:rsid w:val="005818CC"/>
    <w:rsid w:val="00582CD9"/>
    <w:rsid w:val="00585E5C"/>
    <w:rsid w:val="00586003"/>
    <w:rsid w:val="00587C8B"/>
    <w:rsid w:val="00590968"/>
    <w:rsid w:val="00594553"/>
    <w:rsid w:val="00596087"/>
    <w:rsid w:val="005B0E2E"/>
    <w:rsid w:val="005B1369"/>
    <w:rsid w:val="005B1912"/>
    <w:rsid w:val="005C1CC9"/>
    <w:rsid w:val="005C2095"/>
    <w:rsid w:val="005C5A19"/>
    <w:rsid w:val="005C6CC6"/>
    <w:rsid w:val="005D0BEB"/>
    <w:rsid w:val="005D2339"/>
    <w:rsid w:val="005D4A5C"/>
    <w:rsid w:val="005D4E91"/>
    <w:rsid w:val="005E17F8"/>
    <w:rsid w:val="005E3B1E"/>
    <w:rsid w:val="005E7477"/>
    <w:rsid w:val="005E7594"/>
    <w:rsid w:val="005F2C6D"/>
    <w:rsid w:val="005F5E62"/>
    <w:rsid w:val="005F6C52"/>
    <w:rsid w:val="00604EC5"/>
    <w:rsid w:val="006058F1"/>
    <w:rsid w:val="006064E1"/>
    <w:rsid w:val="006102F1"/>
    <w:rsid w:val="00611AB3"/>
    <w:rsid w:val="0061320F"/>
    <w:rsid w:val="00620A15"/>
    <w:rsid w:val="00621F41"/>
    <w:rsid w:val="00625C84"/>
    <w:rsid w:val="00627BE2"/>
    <w:rsid w:val="006312EA"/>
    <w:rsid w:val="00632951"/>
    <w:rsid w:val="006347EA"/>
    <w:rsid w:val="0063581A"/>
    <w:rsid w:val="00635D02"/>
    <w:rsid w:val="0064233A"/>
    <w:rsid w:val="00643BCF"/>
    <w:rsid w:val="00644726"/>
    <w:rsid w:val="00645A24"/>
    <w:rsid w:val="00647912"/>
    <w:rsid w:val="006530ED"/>
    <w:rsid w:val="0065717E"/>
    <w:rsid w:val="00661683"/>
    <w:rsid w:val="0066657B"/>
    <w:rsid w:val="00667F61"/>
    <w:rsid w:val="006701CA"/>
    <w:rsid w:val="00673E08"/>
    <w:rsid w:val="00674C78"/>
    <w:rsid w:val="00680F79"/>
    <w:rsid w:val="00684E48"/>
    <w:rsid w:val="00694E82"/>
    <w:rsid w:val="006950D0"/>
    <w:rsid w:val="00695886"/>
    <w:rsid w:val="00695FF8"/>
    <w:rsid w:val="006A0BCE"/>
    <w:rsid w:val="006A12FD"/>
    <w:rsid w:val="006A174C"/>
    <w:rsid w:val="006A5054"/>
    <w:rsid w:val="006A5F52"/>
    <w:rsid w:val="006B0CB9"/>
    <w:rsid w:val="006B1C19"/>
    <w:rsid w:val="006B5635"/>
    <w:rsid w:val="006B6C4D"/>
    <w:rsid w:val="006C109F"/>
    <w:rsid w:val="006C2D29"/>
    <w:rsid w:val="006D2696"/>
    <w:rsid w:val="006D5961"/>
    <w:rsid w:val="006D7B69"/>
    <w:rsid w:val="006D7CA7"/>
    <w:rsid w:val="006E103B"/>
    <w:rsid w:val="006E1396"/>
    <w:rsid w:val="006E2F77"/>
    <w:rsid w:val="006E39CB"/>
    <w:rsid w:val="006E460E"/>
    <w:rsid w:val="006E5BF8"/>
    <w:rsid w:val="006E5DE5"/>
    <w:rsid w:val="006F2F4B"/>
    <w:rsid w:val="007016A0"/>
    <w:rsid w:val="00701E9D"/>
    <w:rsid w:val="00702175"/>
    <w:rsid w:val="00706510"/>
    <w:rsid w:val="00706896"/>
    <w:rsid w:val="00707FFE"/>
    <w:rsid w:val="00710BDD"/>
    <w:rsid w:val="00713B40"/>
    <w:rsid w:val="00714F0B"/>
    <w:rsid w:val="007172E0"/>
    <w:rsid w:val="007263DA"/>
    <w:rsid w:val="00731DB4"/>
    <w:rsid w:val="00732ECF"/>
    <w:rsid w:val="00740F1E"/>
    <w:rsid w:val="0074112C"/>
    <w:rsid w:val="0074165C"/>
    <w:rsid w:val="007429E3"/>
    <w:rsid w:val="0074730F"/>
    <w:rsid w:val="00753D97"/>
    <w:rsid w:val="007540AC"/>
    <w:rsid w:val="007568C0"/>
    <w:rsid w:val="00757300"/>
    <w:rsid w:val="007618BF"/>
    <w:rsid w:val="00763644"/>
    <w:rsid w:val="00763A4A"/>
    <w:rsid w:val="00765EAA"/>
    <w:rsid w:val="0077002B"/>
    <w:rsid w:val="007754DE"/>
    <w:rsid w:val="0077689C"/>
    <w:rsid w:val="0078273A"/>
    <w:rsid w:val="00782BEC"/>
    <w:rsid w:val="007830E1"/>
    <w:rsid w:val="00784E15"/>
    <w:rsid w:val="00785BF5"/>
    <w:rsid w:val="00785C6A"/>
    <w:rsid w:val="00786755"/>
    <w:rsid w:val="007870DB"/>
    <w:rsid w:val="00790311"/>
    <w:rsid w:val="00792E66"/>
    <w:rsid w:val="00793000"/>
    <w:rsid w:val="00796400"/>
    <w:rsid w:val="007A28D5"/>
    <w:rsid w:val="007A41F4"/>
    <w:rsid w:val="007A775F"/>
    <w:rsid w:val="007B04D3"/>
    <w:rsid w:val="007B3AC6"/>
    <w:rsid w:val="007B62D3"/>
    <w:rsid w:val="007C18EB"/>
    <w:rsid w:val="007C2AE9"/>
    <w:rsid w:val="007C364B"/>
    <w:rsid w:val="007C62F9"/>
    <w:rsid w:val="007D058D"/>
    <w:rsid w:val="007D07A0"/>
    <w:rsid w:val="007D0E5C"/>
    <w:rsid w:val="007D1BFD"/>
    <w:rsid w:val="007D3E43"/>
    <w:rsid w:val="007D665C"/>
    <w:rsid w:val="007E234E"/>
    <w:rsid w:val="007E5894"/>
    <w:rsid w:val="007E7F45"/>
    <w:rsid w:val="007F3B44"/>
    <w:rsid w:val="007F7EA9"/>
    <w:rsid w:val="00800F7B"/>
    <w:rsid w:val="008012AB"/>
    <w:rsid w:val="00805B4D"/>
    <w:rsid w:val="00812225"/>
    <w:rsid w:val="00812934"/>
    <w:rsid w:val="00816176"/>
    <w:rsid w:val="0081738D"/>
    <w:rsid w:val="00820330"/>
    <w:rsid w:val="00823A0B"/>
    <w:rsid w:val="00833E7F"/>
    <w:rsid w:val="008343C0"/>
    <w:rsid w:val="00834C9D"/>
    <w:rsid w:val="008355C2"/>
    <w:rsid w:val="00837187"/>
    <w:rsid w:val="0084073C"/>
    <w:rsid w:val="00840A63"/>
    <w:rsid w:val="008418F5"/>
    <w:rsid w:val="00845171"/>
    <w:rsid w:val="0084549E"/>
    <w:rsid w:val="00851EBA"/>
    <w:rsid w:val="00853317"/>
    <w:rsid w:val="00853BD3"/>
    <w:rsid w:val="00855D45"/>
    <w:rsid w:val="00857922"/>
    <w:rsid w:val="00862961"/>
    <w:rsid w:val="00863064"/>
    <w:rsid w:val="00863411"/>
    <w:rsid w:val="008651F3"/>
    <w:rsid w:val="008662E9"/>
    <w:rsid w:val="00876D78"/>
    <w:rsid w:val="00883AE6"/>
    <w:rsid w:val="00886459"/>
    <w:rsid w:val="0088674F"/>
    <w:rsid w:val="0089088C"/>
    <w:rsid w:val="00891DA2"/>
    <w:rsid w:val="00892BAE"/>
    <w:rsid w:val="008937A4"/>
    <w:rsid w:val="008937FE"/>
    <w:rsid w:val="00894D5E"/>
    <w:rsid w:val="0089527F"/>
    <w:rsid w:val="008956A8"/>
    <w:rsid w:val="00897A14"/>
    <w:rsid w:val="008A5986"/>
    <w:rsid w:val="008B3ADC"/>
    <w:rsid w:val="008C653D"/>
    <w:rsid w:val="008C6C4A"/>
    <w:rsid w:val="008D3C17"/>
    <w:rsid w:val="008D3D55"/>
    <w:rsid w:val="008E0E75"/>
    <w:rsid w:val="008E0FEB"/>
    <w:rsid w:val="008E36A2"/>
    <w:rsid w:val="008E4345"/>
    <w:rsid w:val="008E488E"/>
    <w:rsid w:val="008E7070"/>
    <w:rsid w:val="008E7416"/>
    <w:rsid w:val="008F1A6A"/>
    <w:rsid w:val="008F222F"/>
    <w:rsid w:val="008F24A6"/>
    <w:rsid w:val="008F33BB"/>
    <w:rsid w:val="008F65D7"/>
    <w:rsid w:val="008F6C33"/>
    <w:rsid w:val="008F6D0D"/>
    <w:rsid w:val="009014D1"/>
    <w:rsid w:val="00903268"/>
    <w:rsid w:val="00905EA7"/>
    <w:rsid w:val="009061BC"/>
    <w:rsid w:val="009079C9"/>
    <w:rsid w:val="00917B77"/>
    <w:rsid w:val="009202E6"/>
    <w:rsid w:val="009206D1"/>
    <w:rsid w:val="0092577E"/>
    <w:rsid w:val="009300E5"/>
    <w:rsid w:val="00930D6B"/>
    <w:rsid w:val="009312CB"/>
    <w:rsid w:val="00934626"/>
    <w:rsid w:val="009353BB"/>
    <w:rsid w:val="00942E96"/>
    <w:rsid w:val="00943A7C"/>
    <w:rsid w:val="009475A7"/>
    <w:rsid w:val="00952462"/>
    <w:rsid w:val="009524FB"/>
    <w:rsid w:val="009553BB"/>
    <w:rsid w:val="00956CAF"/>
    <w:rsid w:val="00956E1E"/>
    <w:rsid w:val="009578C2"/>
    <w:rsid w:val="00957DF5"/>
    <w:rsid w:val="00964DDE"/>
    <w:rsid w:val="009653D6"/>
    <w:rsid w:val="00966A25"/>
    <w:rsid w:val="00966F59"/>
    <w:rsid w:val="00970E1F"/>
    <w:rsid w:val="00971DCD"/>
    <w:rsid w:val="00974245"/>
    <w:rsid w:val="0097549A"/>
    <w:rsid w:val="009811C7"/>
    <w:rsid w:val="009815EA"/>
    <w:rsid w:val="00982D46"/>
    <w:rsid w:val="0098596D"/>
    <w:rsid w:val="009879B3"/>
    <w:rsid w:val="009920BB"/>
    <w:rsid w:val="009948A5"/>
    <w:rsid w:val="00997AE1"/>
    <w:rsid w:val="009A0922"/>
    <w:rsid w:val="009A12A6"/>
    <w:rsid w:val="009A3297"/>
    <w:rsid w:val="009A53DF"/>
    <w:rsid w:val="009A75F0"/>
    <w:rsid w:val="009B0FC1"/>
    <w:rsid w:val="009B19BB"/>
    <w:rsid w:val="009B4400"/>
    <w:rsid w:val="009B63EC"/>
    <w:rsid w:val="009B7F7C"/>
    <w:rsid w:val="009C054D"/>
    <w:rsid w:val="009C343B"/>
    <w:rsid w:val="009C34B3"/>
    <w:rsid w:val="009D25D0"/>
    <w:rsid w:val="009D37BD"/>
    <w:rsid w:val="009E1C74"/>
    <w:rsid w:val="009E23A5"/>
    <w:rsid w:val="009E48A4"/>
    <w:rsid w:val="009E4E5D"/>
    <w:rsid w:val="009E7711"/>
    <w:rsid w:val="009F0C40"/>
    <w:rsid w:val="009F1A3B"/>
    <w:rsid w:val="009F426C"/>
    <w:rsid w:val="009F4BB7"/>
    <w:rsid w:val="009F4DBB"/>
    <w:rsid w:val="00A0106E"/>
    <w:rsid w:val="00A01417"/>
    <w:rsid w:val="00A01AE1"/>
    <w:rsid w:val="00A07551"/>
    <w:rsid w:val="00A07893"/>
    <w:rsid w:val="00A104A1"/>
    <w:rsid w:val="00A13AD3"/>
    <w:rsid w:val="00A14C2F"/>
    <w:rsid w:val="00A21AB1"/>
    <w:rsid w:val="00A24A34"/>
    <w:rsid w:val="00A25C00"/>
    <w:rsid w:val="00A266BB"/>
    <w:rsid w:val="00A269C6"/>
    <w:rsid w:val="00A3165B"/>
    <w:rsid w:val="00A3443E"/>
    <w:rsid w:val="00A35A99"/>
    <w:rsid w:val="00A36C68"/>
    <w:rsid w:val="00A36DAD"/>
    <w:rsid w:val="00A3700F"/>
    <w:rsid w:val="00A40B4B"/>
    <w:rsid w:val="00A415C7"/>
    <w:rsid w:val="00A439A2"/>
    <w:rsid w:val="00A440FC"/>
    <w:rsid w:val="00A44968"/>
    <w:rsid w:val="00A45208"/>
    <w:rsid w:val="00A45526"/>
    <w:rsid w:val="00A50A3B"/>
    <w:rsid w:val="00A51369"/>
    <w:rsid w:val="00A52559"/>
    <w:rsid w:val="00A52D99"/>
    <w:rsid w:val="00A54391"/>
    <w:rsid w:val="00A55342"/>
    <w:rsid w:val="00A554FB"/>
    <w:rsid w:val="00A64C96"/>
    <w:rsid w:val="00A7006A"/>
    <w:rsid w:val="00A705A4"/>
    <w:rsid w:val="00A75070"/>
    <w:rsid w:val="00A771C8"/>
    <w:rsid w:val="00A81545"/>
    <w:rsid w:val="00A831EB"/>
    <w:rsid w:val="00A83499"/>
    <w:rsid w:val="00A83FDD"/>
    <w:rsid w:val="00A84CEB"/>
    <w:rsid w:val="00A85F28"/>
    <w:rsid w:val="00A93054"/>
    <w:rsid w:val="00A960D6"/>
    <w:rsid w:val="00A96955"/>
    <w:rsid w:val="00AA04E3"/>
    <w:rsid w:val="00AA05F9"/>
    <w:rsid w:val="00AA10B1"/>
    <w:rsid w:val="00AA2D01"/>
    <w:rsid w:val="00AA3385"/>
    <w:rsid w:val="00AA436C"/>
    <w:rsid w:val="00AA611E"/>
    <w:rsid w:val="00AA67FB"/>
    <w:rsid w:val="00AB0DDE"/>
    <w:rsid w:val="00AB14C5"/>
    <w:rsid w:val="00AB1BB4"/>
    <w:rsid w:val="00AB3976"/>
    <w:rsid w:val="00AB431B"/>
    <w:rsid w:val="00AB7B80"/>
    <w:rsid w:val="00AC03C0"/>
    <w:rsid w:val="00AC1FCB"/>
    <w:rsid w:val="00AC33A0"/>
    <w:rsid w:val="00AC5EBE"/>
    <w:rsid w:val="00AC6A23"/>
    <w:rsid w:val="00AD035E"/>
    <w:rsid w:val="00AD04C1"/>
    <w:rsid w:val="00AD0D2C"/>
    <w:rsid w:val="00AD0EA7"/>
    <w:rsid w:val="00AD10E0"/>
    <w:rsid w:val="00AD1B53"/>
    <w:rsid w:val="00AD3A01"/>
    <w:rsid w:val="00AD6F53"/>
    <w:rsid w:val="00AD7752"/>
    <w:rsid w:val="00AE2037"/>
    <w:rsid w:val="00AE270E"/>
    <w:rsid w:val="00AE300D"/>
    <w:rsid w:val="00AE306B"/>
    <w:rsid w:val="00AE3363"/>
    <w:rsid w:val="00AE6DF9"/>
    <w:rsid w:val="00AE7C38"/>
    <w:rsid w:val="00AF3DD4"/>
    <w:rsid w:val="00AF50F7"/>
    <w:rsid w:val="00AF5B93"/>
    <w:rsid w:val="00B01519"/>
    <w:rsid w:val="00B024E6"/>
    <w:rsid w:val="00B033CB"/>
    <w:rsid w:val="00B14E3C"/>
    <w:rsid w:val="00B15E9A"/>
    <w:rsid w:val="00B17EBF"/>
    <w:rsid w:val="00B21AB4"/>
    <w:rsid w:val="00B22133"/>
    <w:rsid w:val="00B233E2"/>
    <w:rsid w:val="00B237EB"/>
    <w:rsid w:val="00B23CD4"/>
    <w:rsid w:val="00B259B6"/>
    <w:rsid w:val="00B26C69"/>
    <w:rsid w:val="00B27936"/>
    <w:rsid w:val="00B36667"/>
    <w:rsid w:val="00B400D8"/>
    <w:rsid w:val="00B50EE1"/>
    <w:rsid w:val="00B51A89"/>
    <w:rsid w:val="00B54560"/>
    <w:rsid w:val="00B57DE1"/>
    <w:rsid w:val="00B601CA"/>
    <w:rsid w:val="00B640BD"/>
    <w:rsid w:val="00B65A4C"/>
    <w:rsid w:val="00B67ABF"/>
    <w:rsid w:val="00B7493C"/>
    <w:rsid w:val="00B7546D"/>
    <w:rsid w:val="00B758D1"/>
    <w:rsid w:val="00B83C3A"/>
    <w:rsid w:val="00B83CDB"/>
    <w:rsid w:val="00B83E78"/>
    <w:rsid w:val="00B859DC"/>
    <w:rsid w:val="00B94947"/>
    <w:rsid w:val="00B969AF"/>
    <w:rsid w:val="00BA13F8"/>
    <w:rsid w:val="00BA14BF"/>
    <w:rsid w:val="00BA39A3"/>
    <w:rsid w:val="00BA3DB7"/>
    <w:rsid w:val="00BB1B6B"/>
    <w:rsid w:val="00BB2F9C"/>
    <w:rsid w:val="00BB65E4"/>
    <w:rsid w:val="00BC0325"/>
    <w:rsid w:val="00BC10E5"/>
    <w:rsid w:val="00BC1428"/>
    <w:rsid w:val="00BC21C0"/>
    <w:rsid w:val="00BC21D6"/>
    <w:rsid w:val="00BC34E4"/>
    <w:rsid w:val="00BC3CAC"/>
    <w:rsid w:val="00BD1B95"/>
    <w:rsid w:val="00BD2F5A"/>
    <w:rsid w:val="00BD305E"/>
    <w:rsid w:val="00BD4D95"/>
    <w:rsid w:val="00BD4E07"/>
    <w:rsid w:val="00BE0797"/>
    <w:rsid w:val="00BE585B"/>
    <w:rsid w:val="00BE7675"/>
    <w:rsid w:val="00BF2F85"/>
    <w:rsid w:val="00BF4D0D"/>
    <w:rsid w:val="00BF5C23"/>
    <w:rsid w:val="00C00F20"/>
    <w:rsid w:val="00C04918"/>
    <w:rsid w:val="00C06900"/>
    <w:rsid w:val="00C06EB7"/>
    <w:rsid w:val="00C07EB1"/>
    <w:rsid w:val="00C138CD"/>
    <w:rsid w:val="00C13B8B"/>
    <w:rsid w:val="00C20F8E"/>
    <w:rsid w:val="00C21FE2"/>
    <w:rsid w:val="00C22F5F"/>
    <w:rsid w:val="00C23EAC"/>
    <w:rsid w:val="00C253FE"/>
    <w:rsid w:val="00C25BE9"/>
    <w:rsid w:val="00C25D0C"/>
    <w:rsid w:val="00C2759E"/>
    <w:rsid w:val="00C278E3"/>
    <w:rsid w:val="00C30865"/>
    <w:rsid w:val="00C37330"/>
    <w:rsid w:val="00C44117"/>
    <w:rsid w:val="00C466D2"/>
    <w:rsid w:val="00C51092"/>
    <w:rsid w:val="00C52407"/>
    <w:rsid w:val="00C53542"/>
    <w:rsid w:val="00C539D3"/>
    <w:rsid w:val="00C6114F"/>
    <w:rsid w:val="00C627A9"/>
    <w:rsid w:val="00C6291C"/>
    <w:rsid w:val="00C63279"/>
    <w:rsid w:val="00C64966"/>
    <w:rsid w:val="00C66188"/>
    <w:rsid w:val="00C67D43"/>
    <w:rsid w:val="00C67FFD"/>
    <w:rsid w:val="00C727B6"/>
    <w:rsid w:val="00C736A4"/>
    <w:rsid w:val="00C73C31"/>
    <w:rsid w:val="00C73CCA"/>
    <w:rsid w:val="00C7409D"/>
    <w:rsid w:val="00C75001"/>
    <w:rsid w:val="00C76F45"/>
    <w:rsid w:val="00C773B2"/>
    <w:rsid w:val="00C80FA2"/>
    <w:rsid w:val="00C83D39"/>
    <w:rsid w:val="00C84C6B"/>
    <w:rsid w:val="00C84F4F"/>
    <w:rsid w:val="00C860E2"/>
    <w:rsid w:val="00C86DA4"/>
    <w:rsid w:val="00C920C9"/>
    <w:rsid w:val="00C95BFB"/>
    <w:rsid w:val="00C978AF"/>
    <w:rsid w:val="00CA1B9C"/>
    <w:rsid w:val="00CA1ECD"/>
    <w:rsid w:val="00CB03D2"/>
    <w:rsid w:val="00CB1663"/>
    <w:rsid w:val="00CB2B52"/>
    <w:rsid w:val="00CB38A5"/>
    <w:rsid w:val="00CB6A54"/>
    <w:rsid w:val="00CB71A3"/>
    <w:rsid w:val="00CB74C0"/>
    <w:rsid w:val="00CB754F"/>
    <w:rsid w:val="00CB7937"/>
    <w:rsid w:val="00CB7A9F"/>
    <w:rsid w:val="00CC29A2"/>
    <w:rsid w:val="00CC3829"/>
    <w:rsid w:val="00CC42E6"/>
    <w:rsid w:val="00CC7473"/>
    <w:rsid w:val="00CD00BC"/>
    <w:rsid w:val="00CD03B0"/>
    <w:rsid w:val="00CD5337"/>
    <w:rsid w:val="00CD6995"/>
    <w:rsid w:val="00CE0348"/>
    <w:rsid w:val="00CE0A91"/>
    <w:rsid w:val="00CE52B5"/>
    <w:rsid w:val="00CF0674"/>
    <w:rsid w:val="00CF2AB3"/>
    <w:rsid w:val="00CF2E9A"/>
    <w:rsid w:val="00CF32A8"/>
    <w:rsid w:val="00CF3C35"/>
    <w:rsid w:val="00D0323C"/>
    <w:rsid w:val="00D03827"/>
    <w:rsid w:val="00D045AE"/>
    <w:rsid w:val="00D04BA5"/>
    <w:rsid w:val="00D10514"/>
    <w:rsid w:val="00D11271"/>
    <w:rsid w:val="00D12510"/>
    <w:rsid w:val="00D20A30"/>
    <w:rsid w:val="00D2323D"/>
    <w:rsid w:val="00D3002C"/>
    <w:rsid w:val="00D31C6A"/>
    <w:rsid w:val="00D3304D"/>
    <w:rsid w:val="00D337D0"/>
    <w:rsid w:val="00D33954"/>
    <w:rsid w:val="00D36FA1"/>
    <w:rsid w:val="00D370F9"/>
    <w:rsid w:val="00D40533"/>
    <w:rsid w:val="00D422E7"/>
    <w:rsid w:val="00D4630D"/>
    <w:rsid w:val="00D52E2C"/>
    <w:rsid w:val="00D62E0A"/>
    <w:rsid w:val="00D63F0E"/>
    <w:rsid w:val="00D66B4F"/>
    <w:rsid w:val="00D66BD7"/>
    <w:rsid w:val="00D700DE"/>
    <w:rsid w:val="00D7655F"/>
    <w:rsid w:val="00D77850"/>
    <w:rsid w:val="00D7799E"/>
    <w:rsid w:val="00D82949"/>
    <w:rsid w:val="00D832B2"/>
    <w:rsid w:val="00D85959"/>
    <w:rsid w:val="00D85FB3"/>
    <w:rsid w:val="00D8728D"/>
    <w:rsid w:val="00D909BA"/>
    <w:rsid w:val="00D92EE5"/>
    <w:rsid w:val="00D93546"/>
    <w:rsid w:val="00D94C39"/>
    <w:rsid w:val="00D95993"/>
    <w:rsid w:val="00D969A5"/>
    <w:rsid w:val="00D97607"/>
    <w:rsid w:val="00DA1B8A"/>
    <w:rsid w:val="00DA47AD"/>
    <w:rsid w:val="00DA68AC"/>
    <w:rsid w:val="00DA6E40"/>
    <w:rsid w:val="00DB0694"/>
    <w:rsid w:val="00DB1B22"/>
    <w:rsid w:val="00DB4140"/>
    <w:rsid w:val="00DB4EFF"/>
    <w:rsid w:val="00DC061F"/>
    <w:rsid w:val="00DC197D"/>
    <w:rsid w:val="00DC546C"/>
    <w:rsid w:val="00DC69CD"/>
    <w:rsid w:val="00DC6A07"/>
    <w:rsid w:val="00DC74B7"/>
    <w:rsid w:val="00DC7AE7"/>
    <w:rsid w:val="00DD0FE8"/>
    <w:rsid w:val="00DD4FD9"/>
    <w:rsid w:val="00DD5202"/>
    <w:rsid w:val="00DD5259"/>
    <w:rsid w:val="00DD6C59"/>
    <w:rsid w:val="00DE078F"/>
    <w:rsid w:val="00DE1208"/>
    <w:rsid w:val="00DE5A21"/>
    <w:rsid w:val="00DE6131"/>
    <w:rsid w:val="00DE70EC"/>
    <w:rsid w:val="00DE7565"/>
    <w:rsid w:val="00DF22CE"/>
    <w:rsid w:val="00DF4077"/>
    <w:rsid w:val="00DF5F6E"/>
    <w:rsid w:val="00DF60D1"/>
    <w:rsid w:val="00E04EE9"/>
    <w:rsid w:val="00E052B1"/>
    <w:rsid w:val="00E074E4"/>
    <w:rsid w:val="00E077DF"/>
    <w:rsid w:val="00E10AFB"/>
    <w:rsid w:val="00E10CE7"/>
    <w:rsid w:val="00E16139"/>
    <w:rsid w:val="00E24BA4"/>
    <w:rsid w:val="00E25139"/>
    <w:rsid w:val="00E2574F"/>
    <w:rsid w:val="00E2594A"/>
    <w:rsid w:val="00E25A08"/>
    <w:rsid w:val="00E27285"/>
    <w:rsid w:val="00E33C9E"/>
    <w:rsid w:val="00E36627"/>
    <w:rsid w:val="00E413F7"/>
    <w:rsid w:val="00E414D4"/>
    <w:rsid w:val="00E42F30"/>
    <w:rsid w:val="00E474F4"/>
    <w:rsid w:val="00E54763"/>
    <w:rsid w:val="00E672CD"/>
    <w:rsid w:val="00E70FA6"/>
    <w:rsid w:val="00E71E5F"/>
    <w:rsid w:val="00E71FC9"/>
    <w:rsid w:val="00E73493"/>
    <w:rsid w:val="00E735C1"/>
    <w:rsid w:val="00E73EC2"/>
    <w:rsid w:val="00E745A6"/>
    <w:rsid w:val="00E763F6"/>
    <w:rsid w:val="00E77A72"/>
    <w:rsid w:val="00E82249"/>
    <w:rsid w:val="00E82C29"/>
    <w:rsid w:val="00E86F97"/>
    <w:rsid w:val="00E87EEF"/>
    <w:rsid w:val="00E9129F"/>
    <w:rsid w:val="00E91BD5"/>
    <w:rsid w:val="00E9289C"/>
    <w:rsid w:val="00E93040"/>
    <w:rsid w:val="00E962D8"/>
    <w:rsid w:val="00EA1310"/>
    <w:rsid w:val="00EA2647"/>
    <w:rsid w:val="00EA2A2B"/>
    <w:rsid w:val="00EA44D6"/>
    <w:rsid w:val="00EA4819"/>
    <w:rsid w:val="00EA5188"/>
    <w:rsid w:val="00EA718C"/>
    <w:rsid w:val="00EB4F50"/>
    <w:rsid w:val="00EB6307"/>
    <w:rsid w:val="00EB7D2E"/>
    <w:rsid w:val="00EC070B"/>
    <w:rsid w:val="00EC4A83"/>
    <w:rsid w:val="00EC4B2A"/>
    <w:rsid w:val="00EC6355"/>
    <w:rsid w:val="00EC6E92"/>
    <w:rsid w:val="00EC75F6"/>
    <w:rsid w:val="00ED1C40"/>
    <w:rsid w:val="00ED286D"/>
    <w:rsid w:val="00ED6F19"/>
    <w:rsid w:val="00ED6F6F"/>
    <w:rsid w:val="00EE1175"/>
    <w:rsid w:val="00EE2656"/>
    <w:rsid w:val="00EE415B"/>
    <w:rsid w:val="00EE433B"/>
    <w:rsid w:val="00EE795C"/>
    <w:rsid w:val="00EF505A"/>
    <w:rsid w:val="00F02DE7"/>
    <w:rsid w:val="00F0622F"/>
    <w:rsid w:val="00F14C12"/>
    <w:rsid w:val="00F16EA6"/>
    <w:rsid w:val="00F21067"/>
    <w:rsid w:val="00F230FD"/>
    <w:rsid w:val="00F2360E"/>
    <w:rsid w:val="00F24D9F"/>
    <w:rsid w:val="00F279A4"/>
    <w:rsid w:val="00F31133"/>
    <w:rsid w:val="00F32CCE"/>
    <w:rsid w:val="00F32F28"/>
    <w:rsid w:val="00F35DCF"/>
    <w:rsid w:val="00F405F0"/>
    <w:rsid w:val="00F43ABE"/>
    <w:rsid w:val="00F47AF4"/>
    <w:rsid w:val="00F55A03"/>
    <w:rsid w:val="00F55C8A"/>
    <w:rsid w:val="00F57CA3"/>
    <w:rsid w:val="00F71D65"/>
    <w:rsid w:val="00F72453"/>
    <w:rsid w:val="00F75285"/>
    <w:rsid w:val="00F76CEA"/>
    <w:rsid w:val="00F77D55"/>
    <w:rsid w:val="00F81AFE"/>
    <w:rsid w:val="00F84F4A"/>
    <w:rsid w:val="00F8682E"/>
    <w:rsid w:val="00F9032E"/>
    <w:rsid w:val="00F9594A"/>
    <w:rsid w:val="00F969B2"/>
    <w:rsid w:val="00F96C2E"/>
    <w:rsid w:val="00F96D78"/>
    <w:rsid w:val="00FA10D6"/>
    <w:rsid w:val="00FA1BD0"/>
    <w:rsid w:val="00FA4B11"/>
    <w:rsid w:val="00FB17C0"/>
    <w:rsid w:val="00FB3231"/>
    <w:rsid w:val="00FB4A75"/>
    <w:rsid w:val="00FC2C39"/>
    <w:rsid w:val="00FC2FC8"/>
    <w:rsid w:val="00FD2B59"/>
    <w:rsid w:val="00FD40C3"/>
    <w:rsid w:val="00FD552B"/>
    <w:rsid w:val="00FD5FF2"/>
    <w:rsid w:val="00FE17F4"/>
    <w:rsid w:val="00FE2DD5"/>
    <w:rsid w:val="00FE3ADE"/>
    <w:rsid w:val="00FE3ED5"/>
    <w:rsid w:val="00FF155E"/>
    <w:rsid w:val="00FF19FD"/>
    <w:rsid w:val="00FF28C3"/>
    <w:rsid w:val="00FF3107"/>
    <w:rsid w:val="00FF4056"/>
    <w:rsid w:val="00FF55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B686D"/>
  <w15:docId w15:val="{45FD5AA7-A512-4F54-B0DA-837AB07A1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C62F9"/>
    <w:pPr>
      <w:spacing w:after="0" w:line="260" w:lineRule="atLeast"/>
      <w:jc w:val="both"/>
    </w:pPr>
    <w:rPr>
      <w:rFonts w:ascii="Times New Roman" w:eastAsia="Times New Roman" w:hAnsi="Times New Roman" w:cs="Times New Roman"/>
      <w:sz w:val="26"/>
      <w:szCs w:val="2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aliases w:val="Testo nota a piè di pagina Carattere Carattere,Testo nota a piè di pagina Carattere Carattere Carattere Carattere,Testo nota a piè di pagina Carattere Carattere Carattere Carattere Carattere Carattere Carattere Carattere"/>
    <w:basedOn w:val="Normale"/>
    <w:link w:val="TestonotaapidipaginaCarattere"/>
    <w:qFormat/>
    <w:rsid w:val="007C62F9"/>
    <w:pPr>
      <w:spacing w:line="240" w:lineRule="auto"/>
    </w:pPr>
    <w:rPr>
      <w:rFonts w:ascii="Simoncini Garamond" w:hAnsi="Simoncini Garamond"/>
      <w:sz w:val="16"/>
      <w:szCs w:val="20"/>
    </w:rPr>
  </w:style>
  <w:style w:type="character" w:customStyle="1" w:styleId="TestonotaapidipaginaCarattere">
    <w:name w:val="Testo nota a piè di pagina Carattere"/>
    <w:aliases w:val="Testo nota a piè di pagina Carattere Carattere Carattere,Testo nota a piè di pagina Carattere Carattere Carattere Carattere Carattere"/>
    <w:basedOn w:val="Carpredefinitoparagrafo"/>
    <w:link w:val="Testonotaapidipagina"/>
    <w:rsid w:val="007C62F9"/>
    <w:rPr>
      <w:rFonts w:ascii="Simoncini Garamond" w:eastAsia="Times New Roman" w:hAnsi="Simoncini Garamond" w:cs="Times New Roman"/>
      <w:sz w:val="16"/>
      <w:szCs w:val="20"/>
      <w:lang w:eastAsia="it-IT"/>
    </w:rPr>
  </w:style>
  <w:style w:type="paragraph" w:customStyle="1" w:styleId="1-Sopratitolo">
    <w:name w:val="1 - Sopratitolo"/>
    <w:basedOn w:val="Normale"/>
    <w:uiPriority w:val="99"/>
    <w:rsid w:val="007C62F9"/>
    <w:pPr>
      <w:spacing w:line="230" w:lineRule="exact"/>
      <w:jc w:val="center"/>
    </w:pPr>
    <w:rPr>
      <w:rFonts w:ascii="Simoncini Garamond" w:hAnsi="Simoncini Garamond"/>
      <w:smallCaps/>
      <w:sz w:val="21"/>
      <w:szCs w:val="22"/>
    </w:rPr>
  </w:style>
  <w:style w:type="paragraph" w:customStyle="1" w:styleId="2-Titolo">
    <w:name w:val="2 - Titolo"/>
    <w:basedOn w:val="Normale"/>
    <w:next w:val="Normale"/>
    <w:rsid w:val="007C62F9"/>
    <w:pPr>
      <w:suppressAutoHyphens/>
      <w:overflowPunct w:val="0"/>
      <w:autoSpaceDE w:val="0"/>
      <w:autoSpaceDN w:val="0"/>
      <w:adjustRightInd w:val="0"/>
      <w:spacing w:line="230" w:lineRule="exact"/>
      <w:jc w:val="center"/>
      <w:textAlignment w:val="baseline"/>
    </w:pPr>
    <w:rPr>
      <w:rFonts w:ascii="Simoncini Garamond" w:hAnsi="Simoncini Garamond"/>
      <w:caps/>
      <w:sz w:val="21"/>
      <w:szCs w:val="22"/>
    </w:rPr>
  </w:style>
  <w:style w:type="paragraph" w:customStyle="1" w:styleId="3-Titoletto">
    <w:name w:val="3 - Titoletto"/>
    <w:basedOn w:val="2-Titolo"/>
    <w:next w:val="Normale"/>
    <w:uiPriority w:val="99"/>
    <w:rsid w:val="007C62F9"/>
    <w:pPr>
      <w:keepNext/>
      <w:numPr>
        <w:numId w:val="2"/>
      </w:numPr>
      <w:spacing w:before="460" w:after="230"/>
      <w:jc w:val="both"/>
    </w:pPr>
    <w:rPr>
      <w:rFonts w:ascii="SimonciniGaramond" w:hAnsi="SimonciniGaramond"/>
      <w:i/>
      <w:caps w:val="0"/>
      <w:szCs w:val="21"/>
    </w:rPr>
  </w:style>
  <w:style w:type="paragraph" w:customStyle="1" w:styleId="Corpotesto1">
    <w:name w:val="Corpo testo1"/>
    <w:basedOn w:val="Normale"/>
    <w:rsid w:val="007C62F9"/>
    <w:pPr>
      <w:widowControl w:val="0"/>
      <w:tabs>
        <w:tab w:val="left" w:pos="397"/>
        <w:tab w:val="left" w:pos="680"/>
        <w:tab w:val="left" w:pos="1020"/>
      </w:tabs>
      <w:autoSpaceDE w:val="0"/>
      <w:autoSpaceDN w:val="0"/>
      <w:adjustRightInd w:val="0"/>
      <w:textAlignment w:val="center"/>
    </w:pPr>
    <w:rPr>
      <w:rFonts w:ascii="Times New Roman PS" w:hAnsi="Times New Roman PS" w:cs="Times New Roman PS"/>
      <w:color w:val="000000"/>
      <w:sz w:val="22"/>
      <w:szCs w:val="22"/>
    </w:rPr>
  </w:style>
  <w:style w:type="paragraph" w:customStyle="1" w:styleId="titolet2rig">
    <w:name w:val="titolet 2rig"/>
    <w:basedOn w:val="Normale"/>
    <w:uiPriority w:val="99"/>
    <w:rsid w:val="007C62F9"/>
    <w:pPr>
      <w:widowControl w:val="0"/>
      <w:tabs>
        <w:tab w:val="left" w:pos="397"/>
      </w:tabs>
      <w:autoSpaceDE w:val="0"/>
      <w:autoSpaceDN w:val="0"/>
      <w:adjustRightInd w:val="0"/>
      <w:ind w:left="397" w:hanging="397"/>
      <w:textAlignment w:val="center"/>
    </w:pPr>
    <w:rPr>
      <w:rFonts w:ascii="Times New Roman PS Italic" w:hAnsi="Times New Roman PS Italic" w:cs="Times New Roman PS Italic"/>
      <w:i/>
      <w:iCs/>
      <w:color w:val="000000"/>
      <w:sz w:val="22"/>
      <w:szCs w:val="22"/>
    </w:rPr>
  </w:style>
  <w:style w:type="paragraph" w:customStyle="1" w:styleId="riferimenti">
    <w:name w:val="riferimenti"/>
    <w:basedOn w:val="Normale"/>
    <w:uiPriority w:val="99"/>
    <w:rsid w:val="007C62F9"/>
    <w:pPr>
      <w:tabs>
        <w:tab w:val="left" w:pos="680"/>
      </w:tabs>
      <w:autoSpaceDE w:val="0"/>
      <w:autoSpaceDN w:val="0"/>
      <w:adjustRightInd w:val="0"/>
      <w:ind w:left="680" w:hanging="680"/>
      <w:textAlignment w:val="center"/>
    </w:pPr>
    <w:rPr>
      <w:rFonts w:ascii="Times New Roman PS" w:hAnsi="Times New Roman PS" w:cs="Times New Roman PS"/>
      <w:color w:val="000000"/>
      <w:sz w:val="22"/>
      <w:szCs w:val="22"/>
    </w:rPr>
  </w:style>
  <w:style w:type="paragraph" w:styleId="Paragrafoelenco">
    <w:name w:val="List Paragraph"/>
    <w:basedOn w:val="Normale"/>
    <w:uiPriority w:val="34"/>
    <w:qFormat/>
    <w:rsid w:val="007C62F9"/>
    <w:pPr>
      <w:ind w:left="720"/>
      <w:contextualSpacing/>
    </w:pPr>
  </w:style>
  <w:style w:type="character" w:customStyle="1" w:styleId="fontstyle01">
    <w:name w:val="fontstyle01"/>
    <w:basedOn w:val="Carpredefinitoparagrafo"/>
    <w:rsid w:val="007C62F9"/>
    <w:rPr>
      <w:rFonts w:ascii="Verdana" w:hAnsi="Verdana" w:hint="default"/>
      <w:b w:val="0"/>
      <w:bCs w:val="0"/>
      <w:i w:val="0"/>
      <w:iCs w:val="0"/>
      <w:color w:val="000000"/>
      <w:sz w:val="22"/>
      <w:szCs w:val="22"/>
    </w:rPr>
  </w:style>
  <w:style w:type="character" w:styleId="Collegamentoipertestuale">
    <w:name w:val="Hyperlink"/>
    <w:basedOn w:val="Carpredefinitoparagrafo"/>
    <w:uiPriority w:val="99"/>
    <w:unhideWhenUsed/>
    <w:rsid w:val="001A57C9"/>
    <w:rPr>
      <w:color w:val="0563C1" w:themeColor="hyperlink"/>
      <w:u w:val="single"/>
    </w:rPr>
  </w:style>
  <w:style w:type="character" w:styleId="Rimandonotaapidipagina">
    <w:name w:val="footnote reference"/>
    <w:basedOn w:val="Carpredefinitoparagrafo"/>
    <w:uiPriority w:val="99"/>
    <w:semiHidden/>
    <w:unhideWhenUsed/>
    <w:rsid w:val="00C25BE9"/>
    <w:rPr>
      <w:vertAlign w:val="superscript"/>
    </w:rPr>
  </w:style>
  <w:style w:type="character" w:styleId="Rimandocommento">
    <w:name w:val="annotation reference"/>
    <w:basedOn w:val="Carpredefinitoparagrafo"/>
    <w:uiPriority w:val="99"/>
    <w:semiHidden/>
    <w:unhideWhenUsed/>
    <w:rsid w:val="00AE7C38"/>
    <w:rPr>
      <w:sz w:val="16"/>
      <w:szCs w:val="16"/>
    </w:rPr>
  </w:style>
  <w:style w:type="character" w:styleId="Enfasicorsivo">
    <w:name w:val="Emphasis"/>
    <w:basedOn w:val="Carpredefinitoparagrafo"/>
    <w:uiPriority w:val="20"/>
    <w:qFormat/>
    <w:rsid w:val="001C4F40"/>
    <w:rPr>
      <w:i/>
      <w:iCs/>
    </w:rPr>
  </w:style>
  <w:style w:type="paragraph" w:styleId="Testofumetto">
    <w:name w:val="Balloon Text"/>
    <w:basedOn w:val="Normale"/>
    <w:link w:val="TestofumettoCarattere"/>
    <w:uiPriority w:val="99"/>
    <w:semiHidden/>
    <w:unhideWhenUsed/>
    <w:rsid w:val="00A104A1"/>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104A1"/>
    <w:rPr>
      <w:rFonts w:ascii="Tahoma" w:eastAsia="Times New Roman" w:hAnsi="Tahoma" w:cs="Tahoma"/>
      <w:sz w:val="16"/>
      <w:szCs w:val="16"/>
      <w:lang w:eastAsia="it-IT"/>
    </w:rPr>
  </w:style>
  <w:style w:type="paragraph" w:styleId="Testocommento">
    <w:name w:val="annotation text"/>
    <w:basedOn w:val="Normale"/>
    <w:link w:val="TestocommentoCarattere"/>
    <w:uiPriority w:val="99"/>
    <w:semiHidden/>
    <w:unhideWhenUsed/>
    <w:rsid w:val="00C20F8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20F8E"/>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C20F8E"/>
    <w:rPr>
      <w:b/>
      <w:bCs/>
    </w:rPr>
  </w:style>
  <w:style w:type="character" w:customStyle="1" w:styleId="SoggettocommentoCarattere">
    <w:name w:val="Soggetto commento Carattere"/>
    <w:basedOn w:val="TestocommentoCarattere"/>
    <w:link w:val="Soggettocommento"/>
    <w:uiPriority w:val="99"/>
    <w:semiHidden/>
    <w:rsid w:val="00C20F8E"/>
    <w:rPr>
      <w:rFonts w:ascii="Times New Roman" w:eastAsia="Times New Roman" w:hAnsi="Times New Roman" w:cs="Times New Roman"/>
      <w:b/>
      <w:bCs/>
      <w:sz w:val="20"/>
      <w:szCs w:val="20"/>
      <w:lang w:eastAsia="it-IT"/>
    </w:rPr>
  </w:style>
  <w:style w:type="character" w:customStyle="1" w:styleId="Menzionenonrisolta1">
    <w:name w:val="Menzione non risolta1"/>
    <w:basedOn w:val="Carpredefinitoparagrafo"/>
    <w:uiPriority w:val="99"/>
    <w:semiHidden/>
    <w:unhideWhenUsed/>
    <w:rsid w:val="00333900"/>
    <w:rPr>
      <w:color w:val="605E5C"/>
      <w:shd w:val="clear" w:color="auto" w:fill="E1DFDD"/>
    </w:rPr>
  </w:style>
  <w:style w:type="paragraph" w:styleId="NormaleWeb">
    <w:name w:val="Normal (Web)"/>
    <w:basedOn w:val="Normale"/>
    <w:uiPriority w:val="99"/>
    <w:unhideWhenUsed/>
    <w:rsid w:val="003D23FA"/>
    <w:pPr>
      <w:spacing w:before="100" w:beforeAutospacing="1" w:after="100" w:afterAutospacing="1" w:line="240" w:lineRule="auto"/>
      <w:jc w:val="left"/>
    </w:pPr>
    <w:rPr>
      <w:sz w:val="24"/>
      <w:szCs w:val="24"/>
    </w:rPr>
  </w:style>
  <w:style w:type="character" w:customStyle="1" w:styleId="Menzionenonrisolta2">
    <w:name w:val="Menzione non risolta2"/>
    <w:basedOn w:val="Carpredefinitoparagrafo"/>
    <w:uiPriority w:val="99"/>
    <w:semiHidden/>
    <w:unhideWhenUsed/>
    <w:rsid w:val="006064E1"/>
    <w:rPr>
      <w:color w:val="605E5C"/>
      <w:shd w:val="clear" w:color="auto" w:fill="E1DFDD"/>
    </w:rPr>
  </w:style>
  <w:style w:type="character" w:customStyle="1" w:styleId="Menzionenonrisolta3">
    <w:name w:val="Menzione non risolta3"/>
    <w:basedOn w:val="Carpredefinitoparagrafo"/>
    <w:uiPriority w:val="99"/>
    <w:semiHidden/>
    <w:unhideWhenUsed/>
    <w:rsid w:val="000E78DC"/>
    <w:rPr>
      <w:color w:val="605E5C"/>
      <w:shd w:val="clear" w:color="auto" w:fill="E1DFDD"/>
    </w:rPr>
  </w:style>
  <w:style w:type="character" w:customStyle="1" w:styleId="Menzionenonrisolta4">
    <w:name w:val="Menzione non risolta4"/>
    <w:basedOn w:val="Carpredefinitoparagrafo"/>
    <w:uiPriority w:val="99"/>
    <w:semiHidden/>
    <w:unhideWhenUsed/>
    <w:rsid w:val="009578C2"/>
    <w:rPr>
      <w:color w:val="605E5C"/>
      <w:shd w:val="clear" w:color="auto" w:fill="E1DFDD"/>
    </w:rPr>
  </w:style>
  <w:style w:type="paragraph" w:styleId="Revisione">
    <w:name w:val="Revision"/>
    <w:hidden/>
    <w:uiPriority w:val="99"/>
    <w:semiHidden/>
    <w:rsid w:val="00971DCD"/>
    <w:pPr>
      <w:spacing w:after="0" w:line="240" w:lineRule="auto"/>
    </w:pPr>
    <w:rPr>
      <w:rFonts w:ascii="Times New Roman" w:eastAsia="Times New Roman" w:hAnsi="Times New Roman" w:cs="Times New Roman"/>
      <w:sz w:val="26"/>
      <w:szCs w:val="2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37976">
      <w:bodyDiv w:val="1"/>
      <w:marLeft w:val="0"/>
      <w:marRight w:val="0"/>
      <w:marTop w:val="0"/>
      <w:marBottom w:val="0"/>
      <w:divBdr>
        <w:top w:val="none" w:sz="0" w:space="0" w:color="auto"/>
        <w:left w:val="none" w:sz="0" w:space="0" w:color="auto"/>
        <w:bottom w:val="none" w:sz="0" w:space="0" w:color="auto"/>
        <w:right w:val="none" w:sz="0" w:space="0" w:color="auto"/>
      </w:divBdr>
    </w:div>
    <w:div w:id="108742629">
      <w:bodyDiv w:val="1"/>
      <w:marLeft w:val="0"/>
      <w:marRight w:val="0"/>
      <w:marTop w:val="0"/>
      <w:marBottom w:val="0"/>
      <w:divBdr>
        <w:top w:val="none" w:sz="0" w:space="0" w:color="auto"/>
        <w:left w:val="none" w:sz="0" w:space="0" w:color="auto"/>
        <w:bottom w:val="none" w:sz="0" w:space="0" w:color="auto"/>
        <w:right w:val="none" w:sz="0" w:space="0" w:color="auto"/>
      </w:divBdr>
    </w:div>
    <w:div w:id="169680877">
      <w:bodyDiv w:val="1"/>
      <w:marLeft w:val="0"/>
      <w:marRight w:val="0"/>
      <w:marTop w:val="0"/>
      <w:marBottom w:val="0"/>
      <w:divBdr>
        <w:top w:val="none" w:sz="0" w:space="0" w:color="auto"/>
        <w:left w:val="none" w:sz="0" w:space="0" w:color="auto"/>
        <w:bottom w:val="none" w:sz="0" w:space="0" w:color="auto"/>
        <w:right w:val="none" w:sz="0" w:space="0" w:color="auto"/>
      </w:divBdr>
    </w:div>
    <w:div w:id="202444825">
      <w:bodyDiv w:val="1"/>
      <w:marLeft w:val="0"/>
      <w:marRight w:val="0"/>
      <w:marTop w:val="0"/>
      <w:marBottom w:val="0"/>
      <w:divBdr>
        <w:top w:val="none" w:sz="0" w:space="0" w:color="auto"/>
        <w:left w:val="none" w:sz="0" w:space="0" w:color="auto"/>
        <w:bottom w:val="none" w:sz="0" w:space="0" w:color="auto"/>
        <w:right w:val="none" w:sz="0" w:space="0" w:color="auto"/>
      </w:divBdr>
    </w:div>
    <w:div w:id="686296064">
      <w:bodyDiv w:val="1"/>
      <w:marLeft w:val="0"/>
      <w:marRight w:val="0"/>
      <w:marTop w:val="0"/>
      <w:marBottom w:val="0"/>
      <w:divBdr>
        <w:top w:val="none" w:sz="0" w:space="0" w:color="auto"/>
        <w:left w:val="none" w:sz="0" w:space="0" w:color="auto"/>
        <w:bottom w:val="none" w:sz="0" w:space="0" w:color="auto"/>
        <w:right w:val="none" w:sz="0" w:space="0" w:color="auto"/>
      </w:divBdr>
    </w:div>
    <w:div w:id="1369917666">
      <w:bodyDiv w:val="1"/>
      <w:marLeft w:val="0"/>
      <w:marRight w:val="0"/>
      <w:marTop w:val="0"/>
      <w:marBottom w:val="0"/>
      <w:divBdr>
        <w:top w:val="none" w:sz="0" w:space="0" w:color="auto"/>
        <w:left w:val="none" w:sz="0" w:space="0" w:color="auto"/>
        <w:bottom w:val="none" w:sz="0" w:space="0" w:color="auto"/>
        <w:right w:val="none" w:sz="0" w:space="0" w:color="auto"/>
      </w:divBdr>
    </w:div>
    <w:div w:id="1418677160">
      <w:bodyDiv w:val="1"/>
      <w:marLeft w:val="0"/>
      <w:marRight w:val="0"/>
      <w:marTop w:val="0"/>
      <w:marBottom w:val="0"/>
      <w:divBdr>
        <w:top w:val="none" w:sz="0" w:space="0" w:color="auto"/>
        <w:left w:val="none" w:sz="0" w:space="0" w:color="auto"/>
        <w:bottom w:val="none" w:sz="0" w:space="0" w:color="auto"/>
        <w:right w:val="none" w:sz="0" w:space="0" w:color="auto"/>
      </w:divBdr>
    </w:div>
    <w:div w:id="1584872887">
      <w:bodyDiv w:val="1"/>
      <w:marLeft w:val="0"/>
      <w:marRight w:val="0"/>
      <w:marTop w:val="0"/>
      <w:marBottom w:val="0"/>
      <w:divBdr>
        <w:top w:val="none" w:sz="0" w:space="0" w:color="auto"/>
        <w:left w:val="none" w:sz="0" w:space="0" w:color="auto"/>
        <w:bottom w:val="none" w:sz="0" w:space="0" w:color="auto"/>
        <w:right w:val="none" w:sz="0" w:space="0" w:color="auto"/>
      </w:divBdr>
    </w:div>
    <w:div w:id="1867135137">
      <w:bodyDiv w:val="1"/>
      <w:marLeft w:val="0"/>
      <w:marRight w:val="0"/>
      <w:marTop w:val="0"/>
      <w:marBottom w:val="0"/>
      <w:divBdr>
        <w:top w:val="none" w:sz="0" w:space="0" w:color="auto"/>
        <w:left w:val="none" w:sz="0" w:space="0" w:color="auto"/>
        <w:bottom w:val="none" w:sz="0" w:space="0" w:color="auto"/>
        <w:right w:val="none" w:sz="0" w:space="0" w:color="auto"/>
      </w:divBdr>
    </w:div>
    <w:div w:id="2036270352">
      <w:bodyDiv w:val="1"/>
      <w:marLeft w:val="0"/>
      <w:marRight w:val="0"/>
      <w:marTop w:val="0"/>
      <w:marBottom w:val="0"/>
      <w:divBdr>
        <w:top w:val="none" w:sz="0" w:space="0" w:color="auto"/>
        <w:left w:val="none" w:sz="0" w:space="0" w:color="auto"/>
        <w:bottom w:val="none" w:sz="0" w:space="0" w:color="auto"/>
        <w:right w:val="none" w:sz="0" w:space="0" w:color="auto"/>
      </w:divBdr>
    </w:div>
    <w:div w:id="209331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rteconti.it/Download?id=ddfd70d1-1d57-46c6-b12c-6c0001670bb7" TargetMode="External"/><Relationship Id="rId5" Type="http://schemas.openxmlformats.org/officeDocument/2006/relationships/webSettings" Target="webSettings.xml"/><Relationship Id="rId10" Type="http://schemas.openxmlformats.org/officeDocument/2006/relationships/hyperlink" Target="http://s2ew.caritasitaliana.it/materiali/Pubblicazioni/Monitoraggio_RDC/RAPPORTO_CARITAS_RDC2021.pdf"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Foglio_di_lavoro_di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oglio_di_lavoro_di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Foglio1!$B$1</c:f>
              <c:strCache>
                <c:ptCount val="1"/>
                <c:pt idx="0">
                  <c:v>Rdc (sinistra)</c:v>
                </c:pt>
              </c:strCache>
            </c:strRef>
          </c:tx>
          <c:spPr>
            <a:ln w="28575" cap="rnd">
              <a:solidFill>
                <a:schemeClr val="accent1"/>
              </a:solidFill>
              <a:round/>
            </a:ln>
            <a:effectLst/>
          </c:spPr>
          <c:marker>
            <c:symbol val="none"/>
          </c:marker>
          <c:cat>
            <c:numRef>
              <c:f>Foglio1!$A$2:$A$48</c:f>
              <c:numCache>
                <c:formatCode>mmm\-yy</c:formatCode>
                <c:ptCount val="47"/>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numCache>
            </c:numRef>
          </c:cat>
          <c:val>
            <c:numRef>
              <c:f>Foglio1!$B$2:$B$48</c:f>
              <c:numCache>
                <c:formatCode>_-* #.##0_-;\-* #.##0_-;_-* "-"??_-;_-@_-</c:formatCode>
                <c:ptCount val="47"/>
                <c:pt idx="0">
                  <c:v>512568</c:v>
                </c:pt>
                <c:pt idx="1">
                  <c:v>642685</c:v>
                </c:pt>
                <c:pt idx="2">
                  <c:v>745720</c:v>
                </c:pt>
                <c:pt idx="3">
                  <c:v>778175</c:v>
                </c:pt>
                <c:pt idx="4">
                  <c:v>818164</c:v>
                </c:pt>
                <c:pt idx="5">
                  <c:v>829815</c:v>
                </c:pt>
                <c:pt idx="6">
                  <c:v>861956</c:v>
                </c:pt>
                <c:pt idx="7">
                  <c:v>881294</c:v>
                </c:pt>
                <c:pt idx="8">
                  <c:v>906703</c:v>
                </c:pt>
                <c:pt idx="9">
                  <c:v>920156</c:v>
                </c:pt>
                <c:pt idx="10">
                  <c:v>837893</c:v>
                </c:pt>
                <c:pt idx="11">
                  <c:v>906406</c:v>
                </c:pt>
                <c:pt idx="12">
                  <c:v>955406</c:v>
                </c:pt>
                <c:pt idx="13">
                  <c:v>1005039</c:v>
                </c:pt>
                <c:pt idx="14">
                  <c:v>1054619</c:v>
                </c:pt>
                <c:pt idx="15">
                  <c:v>1090271</c:v>
                </c:pt>
                <c:pt idx="16">
                  <c:v>1128180</c:v>
                </c:pt>
                <c:pt idx="17">
                  <c:v>1141705</c:v>
                </c:pt>
                <c:pt idx="18">
                  <c:v>799008</c:v>
                </c:pt>
                <c:pt idx="19">
                  <c:v>1047844</c:v>
                </c:pt>
                <c:pt idx="20">
                  <c:v>1099779</c:v>
                </c:pt>
                <c:pt idx="21">
                  <c:v>1148324</c:v>
                </c:pt>
                <c:pt idx="22">
                  <c:v>1045808</c:v>
                </c:pt>
                <c:pt idx="23">
                  <c:v>1158354</c:v>
                </c:pt>
                <c:pt idx="24">
                  <c:v>1228993</c:v>
                </c:pt>
                <c:pt idx="25">
                  <c:v>1242968</c:v>
                </c:pt>
                <c:pt idx="26">
                  <c:v>1254734</c:v>
                </c:pt>
                <c:pt idx="27">
                  <c:v>1265958</c:v>
                </c:pt>
                <c:pt idx="28">
                  <c:v>1251057</c:v>
                </c:pt>
                <c:pt idx="29">
                  <c:v>1221671</c:v>
                </c:pt>
                <c:pt idx="30">
                  <c:v>1235477</c:v>
                </c:pt>
                <c:pt idx="31">
                  <c:v>1241756</c:v>
                </c:pt>
                <c:pt idx="32">
                  <c:v>1251819</c:v>
                </c:pt>
                <c:pt idx="33">
                  <c:v>1238397</c:v>
                </c:pt>
                <c:pt idx="34">
                  <c:v>1101925</c:v>
                </c:pt>
                <c:pt idx="35">
                  <c:v>1150480</c:v>
                </c:pt>
                <c:pt idx="36">
                  <c:v>1184410</c:v>
                </c:pt>
                <c:pt idx="37">
                  <c:v>965940</c:v>
                </c:pt>
                <c:pt idx="38">
                  <c:v>1054081</c:v>
                </c:pt>
                <c:pt idx="39">
                  <c:v>1075665</c:v>
                </c:pt>
                <c:pt idx="40">
                  <c:v>1083123</c:v>
                </c:pt>
                <c:pt idx="41">
                  <c:v>1057846</c:v>
                </c:pt>
                <c:pt idx="42">
                  <c:v>1059663</c:v>
                </c:pt>
                <c:pt idx="43">
                  <c:v>1069012</c:v>
                </c:pt>
                <c:pt idx="44">
                  <c:v>1067196</c:v>
                </c:pt>
                <c:pt idx="45">
                  <c:v>1047779</c:v>
                </c:pt>
                <c:pt idx="46">
                  <c:v>899842</c:v>
                </c:pt>
              </c:numCache>
            </c:numRef>
          </c:val>
          <c:smooth val="0"/>
          <c:extLst>
            <c:ext xmlns:c16="http://schemas.microsoft.com/office/drawing/2014/chart" uri="{C3380CC4-5D6E-409C-BE32-E72D297353CC}">
              <c16:uniqueId val="{00000000-FAC1-490C-B960-194A24EA79F4}"/>
            </c:ext>
          </c:extLst>
        </c:ser>
        <c:ser>
          <c:idx val="2"/>
          <c:order val="2"/>
          <c:tx>
            <c:strRef>
              <c:f>Foglio1!$D$1</c:f>
              <c:strCache>
                <c:ptCount val="1"/>
                <c:pt idx="0">
                  <c:v>Totale (sinistra)</c:v>
                </c:pt>
              </c:strCache>
            </c:strRef>
          </c:tx>
          <c:spPr>
            <a:ln w="28575" cap="rnd">
              <a:solidFill>
                <a:schemeClr val="accent3"/>
              </a:solidFill>
              <a:round/>
            </a:ln>
            <a:effectLst/>
          </c:spPr>
          <c:marker>
            <c:symbol val="none"/>
          </c:marker>
          <c:cat>
            <c:numRef>
              <c:f>Foglio1!$A$2:$A$48</c:f>
              <c:numCache>
                <c:formatCode>mmm\-yy</c:formatCode>
                <c:ptCount val="47"/>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numCache>
            </c:numRef>
          </c:cat>
          <c:val>
            <c:numRef>
              <c:f>Foglio1!$D$2:$D$48</c:f>
              <c:numCache>
                <c:formatCode>_-* #.##0_-;\-* #.##0_-;_-* "-"??_-;_-@_-</c:formatCode>
                <c:ptCount val="47"/>
                <c:pt idx="0">
                  <c:v>570825</c:v>
                </c:pt>
                <c:pt idx="1">
                  <c:v>725209</c:v>
                </c:pt>
                <c:pt idx="2">
                  <c:v>848462</c:v>
                </c:pt>
                <c:pt idx="3">
                  <c:v>888461</c:v>
                </c:pt>
                <c:pt idx="4">
                  <c:v>934204</c:v>
                </c:pt>
                <c:pt idx="5">
                  <c:v>947272</c:v>
                </c:pt>
                <c:pt idx="6">
                  <c:v>982401</c:v>
                </c:pt>
                <c:pt idx="7">
                  <c:v>1000962</c:v>
                </c:pt>
                <c:pt idx="8">
                  <c:v>1028547</c:v>
                </c:pt>
                <c:pt idx="9">
                  <c:v>1041489</c:v>
                </c:pt>
                <c:pt idx="10">
                  <c:v>947575</c:v>
                </c:pt>
                <c:pt idx="11">
                  <c:v>1020708</c:v>
                </c:pt>
                <c:pt idx="12">
                  <c:v>1072296</c:v>
                </c:pt>
                <c:pt idx="13">
                  <c:v>1123630</c:v>
                </c:pt>
                <c:pt idx="14">
                  <c:v>1175609</c:v>
                </c:pt>
                <c:pt idx="15">
                  <c:v>1213794</c:v>
                </c:pt>
                <c:pt idx="16">
                  <c:v>1254099</c:v>
                </c:pt>
                <c:pt idx="17">
                  <c:v>1268939</c:v>
                </c:pt>
                <c:pt idx="18">
                  <c:v>927994</c:v>
                </c:pt>
                <c:pt idx="19">
                  <c:v>1179557</c:v>
                </c:pt>
                <c:pt idx="20">
                  <c:v>1233093</c:v>
                </c:pt>
                <c:pt idx="21">
                  <c:v>1280304</c:v>
                </c:pt>
                <c:pt idx="22">
                  <c:v>1165641</c:v>
                </c:pt>
                <c:pt idx="23">
                  <c:v>1283290</c:v>
                </c:pt>
                <c:pt idx="24">
                  <c:v>1358323</c:v>
                </c:pt>
                <c:pt idx="25">
                  <c:v>1375130</c:v>
                </c:pt>
                <c:pt idx="26">
                  <c:v>1388985</c:v>
                </c:pt>
                <c:pt idx="27">
                  <c:v>1402185</c:v>
                </c:pt>
                <c:pt idx="28">
                  <c:v>1388933</c:v>
                </c:pt>
                <c:pt idx="29">
                  <c:v>1360515</c:v>
                </c:pt>
                <c:pt idx="30">
                  <c:v>1376188</c:v>
                </c:pt>
                <c:pt idx="31">
                  <c:v>1384426</c:v>
                </c:pt>
                <c:pt idx="32">
                  <c:v>1396082</c:v>
                </c:pt>
                <c:pt idx="33">
                  <c:v>1360879</c:v>
                </c:pt>
                <c:pt idx="34">
                  <c:v>1213789</c:v>
                </c:pt>
                <c:pt idx="35">
                  <c:v>1264531</c:v>
                </c:pt>
                <c:pt idx="36">
                  <c:v>1302356</c:v>
                </c:pt>
                <c:pt idx="37">
                  <c:v>1086340</c:v>
                </c:pt>
                <c:pt idx="38">
                  <c:v>1176721</c:v>
                </c:pt>
                <c:pt idx="39">
                  <c:v>1196038</c:v>
                </c:pt>
                <c:pt idx="40">
                  <c:v>1204631</c:v>
                </c:pt>
                <c:pt idx="41">
                  <c:v>1180508</c:v>
                </c:pt>
                <c:pt idx="42">
                  <c:v>1183953</c:v>
                </c:pt>
                <c:pt idx="43">
                  <c:v>1194944</c:v>
                </c:pt>
                <c:pt idx="44">
                  <c:v>1191123</c:v>
                </c:pt>
                <c:pt idx="45">
                  <c:v>1169203</c:v>
                </c:pt>
                <c:pt idx="46">
                  <c:v>1001743</c:v>
                </c:pt>
              </c:numCache>
            </c:numRef>
          </c:val>
          <c:smooth val="0"/>
          <c:extLst>
            <c:ext xmlns:c16="http://schemas.microsoft.com/office/drawing/2014/chart" uri="{C3380CC4-5D6E-409C-BE32-E72D297353CC}">
              <c16:uniqueId val="{00000002-FAC1-490C-B960-194A24EA79F4}"/>
            </c:ext>
          </c:extLst>
        </c:ser>
        <c:dLbls>
          <c:showLegendKey val="0"/>
          <c:showVal val="0"/>
          <c:showCatName val="0"/>
          <c:showSerName val="0"/>
          <c:showPercent val="0"/>
          <c:showBubbleSize val="0"/>
        </c:dLbls>
        <c:marker val="1"/>
        <c:smooth val="0"/>
        <c:axId val="422207232"/>
        <c:axId val="422201472"/>
      </c:lineChart>
      <c:lineChart>
        <c:grouping val="standard"/>
        <c:varyColors val="0"/>
        <c:ser>
          <c:idx val="1"/>
          <c:order val="1"/>
          <c:tx>
            <c:strRef>
              <c:f>Foglio1!$C$1</c:f>
              <c:strCache>
                <c:ptCount val="1"/>
                <c:pt idx="0">
                  <c:v>Pdc (destra)</c:v>
                </c:pt>
              </c:strCache>
            </c:strRef>
          </c:tx>
          <c:spPr>
            <a:ln w="28575" cap="rnd">
              <a:solidFill>
                <a:schemeClr val="accent2"/>
              </a:solidFill>
              <a:round/>
            </a:ln>
            <a:effectLst/>
          </c:spPr>
          <c:marker>
            <c:symbol val="none"/>
          </c:marker>
          <c:cat>
            <c:numRef>
              <c:f>Foglio1!$A$2:$A$48</c:f>
              <c:numCache>
                <c:formatCode>mmm\-yy</c:formatCode>
                <c:ptCount val="47"/>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numCache>
            </c:numRef>
          </c:cat>
          <c:val>
            <c:numRef>
              <c:f>Foglio1!$C$2:$C$48</c:f>
              <c:numCache>
                <c:formatCode>_-* #.##0_-;\-* #.##0_-;_-* "-"??_-;_-@_-</c:formatCode>
                <c:ptCount val="47"/>
                <c:pt idx="0">
                  <c:v>58257</c:v>
                </c:pt>
                <c:pt idx="1">
                  <c:v>82524</c:v>
                </c:pt>
                <c:pt idx="2">
                  <c:v>102742</c:v>
                </c:pt>
                <c:pt idx="3">
                  <c:v>110286</c:v>
                </c:pt>
                <c:pt idx="4">
                  <c:v>116040</c:v>
                </c:pt>
                <c:pt idx="5">
                  <c:v>117457</c:v>
                </c:pt>
                <c:pt idx="6">
                  <c:v>120445</c:v>
                </c:pt>
                <c:pt idx="7">
                  <c:v>119668</c:v>
                </c:pt>
                <c:pt idx="8">
                  <c:v>121844</c:v>
                </c:pt>
                <c:pt idx="9">
                  <c:v>121333</c:v>
                </c:pt>
                <c:pt idx="10">
                  <c:v>109682</c:v>
                </c:pt>
                <c:pt idx="11">
                  <c:v>114302</c:v>
                </c:pt>
                <c:pt idx="12">
                  <c:v>116890</c:v>
                </c:pt>
                <c:pt idx="13">
                  <c:v>118591</c:v>
                </c:pt>
                <c:pt idx="14">
                  <c:v>120990</c:v>
                </c:pt>
                <c:pt idx="15">
                  <c:v>123523</c:v>
                </c:pt>
                <c:pt idx="16">
                  <c:v>125919</c:v>
                </c:pt>
                <c:pt idx="17">
                  <c:v>127234</c:v>
                </c:pt>
                <c:pt idx="18">
                  <c:v>128986</c:v>
                </c:pt>
                <c:pt idx="19">
                  <c:v>131713</c:v>
                </c:pt>
                <c:pt idx="20">
                  <c:v>133314</c:v>
                </c:pt>
                <c:pt idx="21">
                  <c:v>131980</c:v>
                </c:pt>
                <c:pt idx="22">
                  <c:v>119833</c:v>
                </c:pt>
                <c:pt idx="23">
                  <c:v>124936</c:v>
                </c:pt>
                <c:pt idx="24">
                  <c:v>129330</c:v>
                </c:pt>
                <c:pt idx="25">
                  <c:v>132162</c:v>
                </c:pt>
                <c:pt idx="26">
                  <c:v>134251</c:v>
                </c:pt>
                <c:pt idx="27">
                  <c:v>136227</c:v>
                </c:pt>
                <c:pt idx="28">
                  <c:v>137876</c:v>
                </c:pt>
                <c:pt idx="29">
                  <c:v>138844</c:v>
                </c:pt>
                <c:pt idx="30">
                  <c:v>140711</c:v>
                </c:pt>
                <c:pt idx="31">
                  <c:v>142670</c:v>
                </c:pt>
                <c:pt idx="32">
                  <c:v>144263</c:v>
                </c:pt>
                <c:pt idx="33">
                  <c:v>122482</c:v>
                </c:pt>
                <c:pt idx="34">
                  <c:v>111864</c:v>
                </c:pt>
                <c:pt idx="35">
                  <c:v>114051</c:v>
                </c:pt>
                <c:pt idx="36">
                  <c:v>117946</c:v>
                </c:pt>
                <c:pt idx="37">
                  <c:v>120400</c:v>
                </c:pt>
                <c:pt idx="38">
                  <c:v>122640</c:v>
                </c:pt>
                <c:pt idx="39">
                  <c:v>120373</c:v>
                </c:pt>
                <c:pt idx="40">
                  <c:v>121508</c:v>
                </c:pt>
                <c:pt idx="41">
                  <c:v>122662</c:v>
                </c:pt>
                <c:pt idx="42">
                  <c:v>124290</c:v>
                </c:pt>
                <c:pt idx="43">
                  <c:v>125932</c:v>
                </c:pt>
                <c:pt idx="44">
                  <c:v>123927</c:v>
                </c:pt>
                <c:pt idx="45">
                  <c:v>121424</c:v>
                </c:pt>
                <c:pt idx="46">
                  <c:v>101901</c:v>
                </c:pt>
              </c:numCache>
            </c:numRef>
          </c:val>
          <c:smooth val="0"/>
          <c:extLst>
            <c:ext xmlns:c16="http://schemas.microsoft.com/office/drawing/2014/chart" uri="{C3380CC4-5D6E-409C-BE32-E72D297353CC}">
              <c16:uniqueId val="{00000001-FAC1-490C-B960-194A24EA79F4}"/>
            </c:ext>
          </c:extLst>
        </c:ser>
        <c:dLbls>
          <c:showLegendKey val="0"/>
          <c:showVal val="0"/>
          <c:showCatName val="0"/>
          <c:showSerName val="0"/>
          <c:showPercent val="0"/>
          <c:showBubbleSize val="0"/>
        </c:dLbls>
        <c:marker val="1"/>
        <c:smooth val="0"/>
        <c:axId val="420146224"/>
        <c:axId val="422205312"/>
      </c:lineChart>
      <c:dateAx>
        <c:axId val="42220723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22201472"/>
        <c:crosses val="autoZero"/>
        <c:auto val="1"/>
        <c:lblOffset val="100"/>
        <c:baseTimeUnit val="months"/>
      </c:dateAx>
      <c:valAx>
        <c:axId val="42220147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22207232"/>
        <c:crosses val="autoZero"/>
        <c:crossBetween val="between"/>
      </c:valAx>
      <c:valAx>
        <c:axId val="422205312"/>
        <c:scaling>
          <c:orientation val="minMax"/>
        </c:scaling>
        <c:delete val="0"/>
        <c:axPos val="r"/>
        <c:numFmt formatCode="_-* #.##0_-;\-* #.##0_-;_-* &quot;-&quot;??_-;_-@_-"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20146224"/>
        <c:crosses val="max"/>
        <c:crossBetween val="between"/>
      </c:valAx>
      <c:dateAx>
        <c:axId val="420146224"/>
        <c:scaling>
          <c:orientation val="minMax"/>
        </c:scaling>
        <c:delete val="1"/>
        <c:axPos val="b"/>
        <c:numFmt formatCode="mmm\-yy" sourceLinked="1"/>
        <c:majorTickMark val="out"/>
        <c:minorTickMark val="none"/>
        <c:tickLblPos val="nextTo"/>
        <c:crossAx val="422205312"/>
        <c:crosses val="autoZero"/>
        <c:auto val="1"/>
        <c:lblOffset val="100"/>
        <c:baseTimeUnit val="months"/>
        <c:majorUnit val="1"/>
        <c:minorUnit val="1"/>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Foglio1!$B$1</c:f>
              <c:strCache>
                <c:ptCount val="1"/>
                <c:pt idx="0">
                  <c:v>single</c:v>
                </c:pt>
              </c:strCache>
            </c:strRef>
          </c:tx>
          <c:spPr>
            <a:solidFill>
              <a:schemeClr val="accent1"/>
            </a:solidFill>
            <a:ln>
              <a:noFill/>
            </a:ln>
            <a:effectLst/>
          </c:spPr>
          <c:invertIfNegative val="0"/>
          <c:cat>
            <c:strRef>
              <c:f>Foglio1!$A$2:$A$29</c:f>
              <c:strCache>
                <c:ptCount val="28"/>
                <c:pt idx="0">
                  <c:v>UK</c:v>
                </c:pt>
                <c:pt idx="1">
                  <c:v>Netherlands</c:v>
                </c:pt>
                <c:pt idx="2">
                  <c:v>Ireland</c:v>
                </c:pt>
                <c:pt idx="3">
                  <c:v>Denmark</c:v>
                </c:pt>
                <c:pt idx="4">
                  <c:v>Malta</c:v>
                </c:pt>
                <c:pt idx="5">
                  <c:v>Finland</c:v>
                </c:pt>
                <c:pt idx="6">
                  <c:v>Italy</c:v>
                </c:pt>
                <c:pt idx="7">
                  <c:v>Sweden</c:v>
                </c:pt>
                <c:pt idx="8">
                  <c:v>Cyprus</c:v>
                </c:pt>
                <c:pt idx="9">
                  <c:v>Luxembourg</c:v>
                </c:pt>
                <c:pt idx="10">
                  <c:v>Austria</c:v>
                </c:pt>
                <c:pt idx="11">
                  <c:v>Latvia</c:v>
                </c:pt>
                <c:pt idx="12">
                  <c:v>Belgium</c:v>
                </c:pt>
                <c:pt idx="13">
                  <c:v>Czech Rep.</c:v>
                </c:pt>
                <c:pt idx="14">
                  <c:v>Germany</c:v>
                </c:pt>
                <c:pt idx="15">
                  <c:v>Lithuania</c:v>
                </c:pt>
                <c:pt idx="16">
                  <c:v>France</c:v>
                </c:pt>
                <c:pt idx="17">
                  <c:v>Slovenia</c:v>
                </c:pt>
                <c:pt idx="18">
                  <c:v>Greece</c:v>
                </c:pt>
                <c:pt idx="19">
                  <c:v>Spain</c:v>
                </c:pt>
                <c:pt idx="20">
                  <c:v>Estonia</c:v>
                </c:pt>
                <c:pt idx="21">
                  <c:v>Poland</c:v>
                </c:pt>
                <c:pt idx="22">
                  <c:v>Croatia</c:v>
                </c:pt>
                <c:pt idx="23">
                  <c:v>Portugal</c:v>
                </c:pt>
                <c:pt idx="24">
                  <c:v>Slovak Rep.</c:v>
                </c:pt>
                <c:pt idx="25">
                  <c:v>Bulgaria</c:v>
                </c:pt>
                <c:pt idx="26">
                  <c:v>Hungary</c:v>
                </c:pt>
                <c:pt idx="27">
                  <c:v>Romania</c:v>
                </c:pt>
              </c:strCache>
            </c:strRef>
          </c:cat>
          <c:val>
            <c:numRef>
              <c:f>Foglio1!$B$2:$B$29</c:f>
              <c:numCache>
                <c:formatCode>General</c:formatCode>
                <c:ptCount val="28"/>
                <c:pt idx="0">
                  <c:v>1.2042469857840372</c:v>
                </c:pt>
                <c:pt idx="1">
                  <c:v>1.0245253164556962</c:v>
                </c:pt>
                <c:pt idx="2">
                  <c:v>1.0104159260575898</c:v>
                </c:pt>
                <c:pt idx="3">
                  <c:v>0.94877316416816759</c:v>
                </c:pt>
                <c:pt idx="4">
                  <c:v>0.94702602230483268</c:v>
                </c:pt>
                <c:pt idx="5">
                  <c:v>0.94125310985989263</c:v>
                </c:pt>
                <c:pt idx="6">
                  <c:v>0.88981842380454412</c:v>
                </c:pt>
                <c:pt idx="7">
                  <c:v>0.8744492058304465</c:v>
                </c:pt>
                <c:pt idx="8">
                  <c:v>0.8430326640695236</c:v>
                </c:pt>
                <c:pt idx="9">
                  <c:v>0.7978578994860529</c:v>
                </c:pt>
                <c:pt idx="10">
                  <c:v>0.78405541714771831</c:v>
                </c:pt>
                <c:pt idx="11">
                  <c:v>0.77061109148710705</c:v>
                </c:pt>
                <c:pt idx="12">
                  <c:v>0.76589312189776326</c:v>
                </c:pt>
                <c:pt idx="13">
                  <c:v>0.76042426666666674</c:v>
                </c:pt>
                <c:pt idx="14">
                  <c:v>0.74915050969418351</c:v>
                </c:pt>
                <c:pt idx="15">
                  <c:v>0.71292880537838299</c:v>
                </c:pt>
                <c:pt idx="16">
                  <c:v>0.68774985302763081</c:v>
                </c:pt>
                <c:pt idx="17">
                  <c:v>0.61739647529462649</c:v>
                </c:pt>
                <c:pt idx="18">
                  <c:v>0.6170253285088555</c:v>
                </c:pt>
                <c:pt idx="19">
                  <c:v>0.59130571578395386</c:v>
                </c:pt>
                <c:pt idx="20">
                  <c:v>0.50067335621864273</c:v>
                </c:pt>
                <c:pt idx="21">
                  <c:v>0.42806290599872426</c:v>
                </c:pt>
                <c:pt idx="22">
                  <c:v>0.39431150883025029</c:v>
                </c:pt>
                <c:pt idx="23">
                  <c:v>0.34208627686757853</c:v>
                </c:pt>
                <c:pt idx="24">
                  <c:v>0.29811172305271444</c:v>
                </c:pt>
                <c:pt idx="25">
                  <c:v>0.19002197802197801</c:v>
                </c:pt>
                <c:pt idx="26">
                  <c:v>0.16983155887494042</c:v>
                </c:pt>
                <c:pt idx="27">
                  <c:v>0.11946928713854231</c:v>
                </c:pt>
              </c:numCache>
            </c:numRef>
          </c:val>
          <c:extLst>
            <c:ext xmlns:c16="http://schemas.microsoft.com/office/drawing/2014/chart" uri="{C3380CC4-5D6E-409C-BE32-E72D297353CC}">
              <c16:uniqueId val="{00000000-16B3-4449-A992-7A1263B64E11}"/>
            </c:ext>
          </c:extLst>
        </c:ser>
        <c:ser>
          <c:idx val="1"/>
          <c:order val="1"/>
          <c:tx>
            <c:strRef>
              <c:f>Foglio1!$C$1</c:f>
              <c:strCache>
                <c:ptCount val="1"/>
                <c:pt idx="0">
                  <c:v>coppia 2 figli</c:v>
                </c:pt>
              </c:strCache>
            </c:strRef>
          </c:tx>
          <c:spPr>
            <a:solidFill>
              <a:schemeClr val="accent2"/>
            </a:solidFill>
            <a:ln>
              <a:noFill/>
            </a:ln>
            <a:effectLst/>
          </c:spPr>
          <c:invertIfNegative val="0"/>
          <c:cat>
            <c:strRef>
              <c:f>Foglio1!$A$2:$A$29</c:f>
              <c:strCache>
                <c:ptCount val="28"/>
                <c:pt idx="0">
                  <c:v>UK</c:v>
                </c:pt>
                <c:pt idx="1">
                  <c:v>Netherlands</c:v>
                </c:pt>
                <c:pt idx="2">
                  <c:v>Ireland</c:v>
                </c:pt>
                <c:pt idx="3">
                  <c:v>Denmark</c:v>
                </c:pt>
                <c:pt idx="4">
                  <c:v>Malta</c:v>
                </c:pt>
                <c:pt idx="5">
                  <c:v>Finland</c:v>
                </c:pt>
                <c:pt idx="6">
                  <c:v>Italy</c:v>
                </c:pt>
                <c:pt idx="7">
                  <c:v>Sweden</c:v>
                </c:pt>
                <c:pt idx="8">
                  <c:v>Cyprus</c:v>
                </c:pt>
                <c:pt idx="9">
                  <c:v>Luxembourg</c:v>
                </c:pt>
                <c:pt idx="10">
                  <c:v>Austria</c:v>
                </c:pt>
                <c:pt idx="11">
                  <c:v>Latvia</c:v>
                </c:pt>
                <c:pt idx="12">
                  <c:v>Belgium</c:v>
                </c:pt>
                <c:pt idx="13">
                  <c:v>Czech Rep.</c:v>
                </c:pt>
                <c:pt idx="14">
                  <c:v>Germany</c:v>
                </c:pt>
                <c:pt idx="15">
                  <c:v>Lithuania</c:v>
                </c:pt>
                <c:pt idx="16">
                  <c:v>France</c:v>
                </c:pt>
                <c:pt idx="17">
                  <c:v>Slovenia</c:v>
                </c:pt>
                <c:pt idx="18">
                  <c:v>Greece</c:v>
                </c:pt>
                <c:pt idx="19">
                  <c:v>Spain</c:v>
                </c:pt>
                <c:pt idx="20">
                  <c:v>Estonia</c:v>
                </c:pt>
                <c:pt idx="21">
                  <c:v>Poland</c:v>
                </c:pt>
                <c:pt idx="22">
                  <c:v>Croatia</c:v>
                </c:pt>
                <c:pt idx="23">
                  <c:v>Portugal</c:v>
                </c:pt>
                <c:pt idx="24">
                  <c:v>Slovak Rep.</c:v>
                </c:pt>
                <c:pt idx="25">
                  <c:v>Bulgaria</c:v>
                </c:pt>
                <c:pt idx="26">
                  <c:v>Hungary</c:v>
                </c:pt>
                <c:pt idx="27">
                  <c:v>Romania</c:v>
                </c:pt>
              </c:strCache>
            </c:strRef>
          </c:cat>
          <c:val>
            <c:numRef>
              <c:f>Foglio1!$C$2:$C$29</c:f>
              <c:numCache>
                <c:formatCode>General</c:formatCode>
                <c:ptCount val="28"/>
                <c:pt idx="0">
                  <c:v>0.85989328724305314</c:v>
                </c:pt>
                <c:pt idx="1">
                  <c:v>0.49070740895772291</c:v>
                </c:pt>
                <c:pt idx="2">
                  <c:v>0.91723281796636957</c:v>
                </c:pt>
                <c:pt idx="3">
                  <c:v>1.0452278723778317</c:v>
                </c:pt>
                <c:pt idx="4">
                  <c:v>0.59642690766794004</c:v>
                </c:pt>
                <c:pt idx="5">
                  <c:v>0.86182696804364778</c:v>
                </c:pt>
                <c:pt idx="6">
                  <c:v>0.64101403349932096</c:v>
                </c:pt>
                <c:pt idx="7">
                  <c:v>0.68845269106723295</c:v>
                </c:pt>
                <c:pt idx="8">
                  <c:v>0.79817351598173514</c:v>
                </c:pt>
                <c:pt idx="9">
                  <c:v>0.82325181684009952</c:v>
                </c:pt>
                <c:pt idx="10">
                  <c:v>0.83915798611111114</c:v>
                </c:pt>
                <c:pt idx="11">
                  <c:v>0.64156925405769072</c:v>
                </c:pt>
                <c:pt idx="12">
                  <c:v>0.6930625901709796</c:v>
                </c:pt>
                <c:pt idx="13">
                  <c:v>0.67997495518374673</c:v>
                </c:pt>
                <c:pt idx="14">
                  <c:v>0.86328997461928936</c:v>
                </c:pt>
                <c:pt idx="15">
                  <c:v>0.98798325535582376</c:v>
                </c:pt>
                <c:pt idx="16">
                  <c:v>0.63508065927144208</c:v>
                </c:pt>
                <c:pt idx="17">
                  <c:v>0.81086855789527879</c:v>
                </c:pt>
                <c:pt idx="18">
                  <c:v>0.62568008705114253</c:v>
                </c:pt>
                <c:pt idx="19">
                  <c:v>0.53497303236116667</c:v>
                </c:pt>
                <c:pt idx="20">
                  <c:v>0.60057214712354612</c:v>
                </c:pt>
                <c:pt idx="21">
                  <c:v>0.76188626423767813</c:v>
                </c:pt>
                <c:pt idx="22">
                  <c:v>0.46924477752269511</c:v>
                </c:pt>
                <c:pt idx="23">
                  <c:v>0.51756369882622388</c:v>
                </c:pt>
                <c:pt idx="24">
                  <c:v>0.39175721243911582</c:v>
                </c:pt>
                <c:pt idx="25">
                  <c:v>0.26565835641735924</c:v>
                </c:pt>
                <c:pt idx="26">
                  <c:v>0.1828819211704443</c:v>
                </c:pt>
                <c:pt idx="27">
                  <c:v>0.41418151084122107</c:v>
                </c:pt>
              </c:numCache>
            </c:numRef>
          </c:val>
          <c:extLst>
            <c:ext xmlns:c16="http://schemas.microsoft.com/office/drawing/2014/chart" uri="{C3380CC4-5D6E-409C-BE32-E72D297353CC}">
              <c16:uniqueId val="{00000001-16B3-4449-A992-7A1263B64E11}"/>
            </c:ext>
          </c:extLst>
        </c:ser>
        <c:dLbls>
          <c:showLegendKey val="0"/>
          <c:showVal val="0"/>
          <c:showCatName val="0"/>
          <c:showSerName val="0"/>
          <c:showPercent val="0"/>
          <c:showBubbleSize val="0"/>
        </c:dLbls>
        <c:gapWidth val="219"/>
        <c:overlap val="-27"/>
        <c:axId val="274008800"/>
        <c:axId val="273997984"/>
      </c:barChart>
      <c:catAx>
        <c:axId val="274008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80" b="0" i="0" u="none" strike="noStrike" kern="1200" baseline="0">
                <a:solidFill>
                  <a:schemeClr val="tx1">
                    <a:lumMod val="65000"/>
                    <a:lumOff val="35000"/>
                  </a:schemeClr>
                </a:solidFill>
                <a:latin typeface="+mn-lt"/>
                <a:ea typeface="+mn-ea"/>
                <a:cs typeface="+mn-cs"/>
              </a:defRPr>
            </a:pPr>
            <a:endParaRPr lang="it-IT"/>
          </a:p>
        </c:txPr>
        <c:crossAx val="273997984"/>
        <c:crosses val="autoZero"/>
        <c:auto val="1"/>
        <c:lblAlgn val="ctr"/>
        <c:lblOffset val="100"/>
        <c:noMultiLvlLbl val="0"/>
      </c:catAx>
      <c:valAx>
        <c:axId val="273997984"/>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it-IT"/>
          </a:p>
        </c:txPr>
        <c:crossAx val="274008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C5F93-936F-448C-9664-B6C0CECAF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21</Pages>
  <Words>5882</Words>
  <Characters>33534</Characters>
  <Application>Microsoft Office Word</Application>
  <DocSecurity>0</DocSecurity>
  <Lines>279</Lines>
  <Paragraphs>78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Massimo</dc:creator>
  <cp:lastModifiedBy>Utente Windows</cp:lastModifiedBy>
  <cp:revision>18</cp:revision>
  <cp:lastPrinted>2023-06-14T20:55:00Z</cp:lastPrinted>
  <dcterms:created xsi:type="dcterms:W3CDTF">2023-06-14T07:26:00Z</dcterms:created>
  <dcterms:modified xsi:type="dcterms:W3CDTF">2023-06-16T07:42:00Z</dcterms:modified>
</cp:coreProperties>
</file>