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footer1.xml" ContentType="application/vnd.openxmlformats-officedocument.wordprocessingml.footer+xml"/>
  <Override PartName="/word/settings.xml" ContentType="application/vnd.openxmlformats-officedocument.wordprocessingml.settings+xml"/>
  <Override PartName="/word/footnotes.xml" ContentType="application/vnd.openxmlformats-officedocument.wordprocessingml.footnotes+xml"/>
  <Override PartName="/word/fontTable.xml" ContentType="application/vnd.openxmlformats-officedocument.wordprocessingml.fontTabl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Standard"/>
        <w:spacing w:lineRule="auto" w:line="360"/>
        <w:jc w:val="center"/>
        <w:rPr>
          <w:rStyle w:val="AbsatzStandardschriftart"/>
          <w:sz w:val="28"/>
          <w:szCs w:val="28"/>
          <w:lang w:val="de-DE"/>
        </w:rPr>
      </w:pPr>
      <w:r>
        <w:rPr>
          <w:rStyle w:val="AbsatzStandardschriftart"/>
          <w:sz w:val="28"/>
          <w:szCs w:val="28"/>
          <w:lang w:val="de-DE"/>
        </w:rPr>
        <w:t>Cesare Giacobazzi</w:t>
      </w:r>
    </w:p>
    <w:p>
      <w:pPr>
        <w:pStyle w:val="Standard"/>
        <w:spacing w:lineRule="auto" w:line="360"/>
        <w:jc w:val="center"/>
        <w:rPr>
          <w:lang w:val="de-DE"/>
        </w:rPr>
      </w:pPr>
      <w:r>
        <w:rPr>
          <w:rStyle w:val="AbsatzStandardschriftart"/>
          <w:i/>
          <w:iCs/>
          <w:sz w:val="28"/>
          <w:szCs w:val="28"/>
          <w:lang w:val="de-DE"/>
        </w:rPr>
        <w:t>Die Blechtrommel</w:t>
      </w:r>
      <w:r>
        <w:rPr>
          <w:rStyle w:val="AbsatzStandardschriftart"/>
          <w:sz w:val="28"/>
          <w:szCs w:val="28"/>
          <w:lang w:val="de-DE"/>
        </w:rPr>
        <w:t xml:space="preserve"> als Schelmenroman:</w:t>
      </w:r>
    </w:p>
    <w:p>
      <w:pPr>
        <w:pStyle w:val="Standard"/>
        <w:spacing w:lineRule="auto" w:line="360"/>
        <w:jc w:val="center"/>
        <w:rPr>
          <w:sz w:val="28"/>
          <w:szCs w:val="28"/>
          <w:lang w:val="de-DE"/>
        </w:rPr>
      </w:pPr>
      <w:r>
        <w:rPr>
          <w:sz w:val="28"/>
          <w:szCs w:val="28"/>
          <w:lang w:val="de-DE"/>
        </w:rPr>
        <w:t>Formen, Funktionen und Wirkung</w:t>
      </w:r>
    </w:p>
    <w:p>
      <w:pPr>
        <w:pStyle w:val="Standard"/>
        <w:spacing w:lineRule="auto" w:line="360"/>
        <w:jc w:val="center"/>
        <w:rPr>
          <w:lang w:val="de-DE"/>
        </w:rPr>
      </w:pPr>
      <w:r>
        <w:rPr>
          <w:lang w:val="de-DE"/>
        </w:rPr>
      </w:r>
    </w:p>
    <w:p>
      <w:pPr>
        <w:pStyle w:val="Normal"/>
        <w:suppressAutoHyphens w:val="false"/>
        <w:textAlignment w:val="auto"/>
        <w:rPr>
          <w:rFonts w:ascii="Times New Roman" w:hAnsi="Times New Roman" w:eastAsia="Times New Roman" w:cs="Times New Roman"/>
          <w:color w:val="000000"/>
          <w:kern w:val="0"/>
          <w:lang w:eastAsia="it-IT" w:bidi="ar-SA"/>
        </w:rPr>
      </w:pPr>
      <w:r>
        <w:rPr>
          <w:rFonts w:eastAsia="Times New Roman" w:cs="Times New Roman"/>
          <w:color w:val="000000"/>
          <w:kern w:val="0"/>
          <w:lang w:eastAsia="it-IT" w:bidi="ar-SA"/>
        </w:rPr>
        <w:t>Abstract</w:t>
      </w:r>
    </w:p>
    <w:p>
      <w:pPr>
        <w:pStyle w:val="Normal"/>
        <w:suppressAutoHyphens w:val="false"/>
        <w:textAlignment w:val="auto"/>
        <w:rPr>
          <w:rFonts w:ascii="Times New Roman" w:hAnsi="Times New Roman" w:eastAsia="Times New Roman" w:cs="Times New Roman"/>
          <w:color w:val="000000"/>
          <w:kern w:val="0"/>
          <w:lang w:eastAsia="it-IT" w:bidi="ar-SA"/>
        </w:rPr>
      </w:pPr>
      <w:r>
        <w:rPr>
          <w:rFonts w:eastAsia="Times New Roman" w:cs="Times New Roman" w:ascii="Times New Roman" w:hAnsi="Times New Roman"/>
          <w:color w:val="000000"/>
          <w:kern w:val="0"/>
          <w:lang w:eastAsia="it-IT" w:bidi="ar-SA"/>
        </w:rPr>
      </w:r>
    </w:p>
    <w:p>
      <w:pPr>
        <w:pStyle w:val="Normal"/>
        <w:suppressAutoHyphens w:val="false"/>
        <w:textAlignment w:val="auto"/>
        <w:rPr>
          <w:rFonts w:ascii="Times New Roman" w:hAnsi="Times New Roman" w:eastAsia="Times New Roman" w:cs="Times New Roman"/>
          <w:color w:val="000000"/>
          <w:kern w:val="0"/>
          <w:lang w:eastAsia="it-IT" w:bidi="ar-SA"/>
        </w:rPr>
      </w:pPr>
      <w:r>
        <w:rPr>
          <w:rFonts w:eastAsia="Times New Roman" w:cs="Times New Roman"/>
          <w:color w:val="000000"/>
          <w:kern w:val="0"/>
          <w:lang w:eastAsia="it-IT" w:bidi="ar-SA"/>
        </w:rPr>
        <w:t xml:space="preserve">To regard </w:t>
      </w:r>
      <w:r>
        <w:rPr>
          <w:rFonts w:eastAsia="Times New Roman" w:cs="Times New Roman"/>
          <w:i/>
          <w:iCs/>
          <w:color w:val="000000"/>
          <w:kern w:val="0"/>
          <w:lang w:eastAsia="it-IT" w:bidi="ar-SA"/>
        </w:rPr>
        <w:t>The Tin Drum</w:t>
      </w:r>
      <w:r>
        <w:rPr>
          <w:rFonts w:eastAsia="Times New Roman" w:cs="Times New Roman"/>
          <w:color w:val="000000"/>
          <w:kern w:val="0"/>
          <w:lang w:eastAsia="it-IT" w:bidi="ar-SA"/>
        </w:rPr>
        <w:t xml:space="preserve"> as a continuation of the tradition of the picaresque novel means to attempt to grasp the work hermeneutically in an appropriate way, i.e. to pose questions to the work that not only pay attention to traditional forms of literature, but also to the functions they fulfil in different epochs. Namely, we need to raise the question of what effect the mannerist poetics characterising the </w:t>
      </w:r>
      <w:r>
        <w:rPr>
          <w:rFonts w:eastAsia="Times New Roman" w:cs="Times New Roman"/>
          <w:i/>
          <w:iCs/>
          <w:color w:val="000000"/>
          <w:kern w:val="0"/>
          <w:lang w:eastAsia="it-IT" w:bidi="ar-SA"/>
        </w:rPr>
        <w:t>Schelmenroman</w:t>
      </w:r>
      <w:r>
        <w:rPr>
          <w:rFonts w:eastAsia="Times New Roman" w:cs="Times New Roman"/>
          <w:color w:val="000000"/>
          <w:kern w:val="0"/>
          <w:lang w:eastAsia="it-IT" w:bidi="ar-SA"/>
        </w:rPr>
        <w:t xml:space="preserve"> are aiming for in the context of post-war Germany. This presupposes that we should place the tradition of the picaresque novel at the beginning and not at the end of our interpretation. For this tradition and its poetics are considered its foundation and not its ultimate goal. The simple statement that </w:t>
      </w:r>
      <w:r>
        <w:rPr>
          <w:rFonts w:eastAsia="Times New Roman" w:cs="Times New Roman"/>
          <w:i/>
          <w:iCs/>
          <w:color w:val="000000"/>
          <w:kern w:val="0"/>
          <w:lang w:eastAsia="it-IT" w:bidi="ar-SA"/>
        </w:rPr>
        <w:t>The Tin Drum</w:t>
      </w:r>
      <w:r>
        <w:rPr>
          <w:rFonts w:eastAsia="Times New Roman" w:cs="Times New Roman"/>
          <w:color w:val="000000"/>
          <w:kern w:val="0"/>
          <w:lang w:eastAsia="it-IT" w:bidi="ar-SA"/>
        </w:rPr>
        <w:t xml:space="preserve"> is a picaresque novel cannot, of course, satisfy the conditions of an understanding that takes into account the actualised function of its formal characteristics. It only opens up the space in which our understanding is supposed to move. This movement leads us beyond the limits of a simple ascertainment of the poetological nature of the work, so that our view can be expanded to its contemporary task.</w:t>
      </w:r>
    </w:p>
    <w:p>
      <w:pPr>
        <w:pStyle w:val="Normal"/>
        <w:suppressAutoHyphens w:val="false"/>
        <w:textAlignment w:val="auto"/>
        <w:rPr>
          <w:rFonts w:ascii="Times New Roman" w:hAnsi="Times New Roman" w:eastAsia="Times New Roman" w:cs="Times New Roman"/>
          <w:kern w:val="0"/>
          <w:lang w:eastAsia="it-IT" w:bidi="ar-SA"/>
        </w:rPr>
      </w:pPr>
      <w:r>
        <w:rPr>
          <w:rFonts w:eastAsia="Times New Roman" w:cs="Times New Roman" w:ascii="Times New Roman" w:hAnsi="Times New Roman"/>
          <w:kern w:val="0"/>
          <w:lang w:eastAsia="it-IT" w:bidi="ar-SA"/>
        </w:rPr>
      </w:r>
    </w:p>
    <w:p>
      <w:pPr>
        <w:pStyle w:val="Standard"/>
        <w:spacing w:lineRule="auto" w:line="360"/>
        <w:jc w:val="center"/>
        <w:rPr>
          <w:lang w:val="de-DE"/>
        </w:rPr>
      </w:pPr>
      <w:r>
        <w:rPr>
          <w:lang w:val="de-DE"/>
        </w:rPr>
      </w:r>
    </w:p>
    <w:p>
      <w:pPr>
        <w:pStyle w:val="Standard"/>
        <w:spacing w:lineRule="auto" w:line="360"/>
        <w:jc w:val="center"/>
        <w:rPr>
          <w:lang w:val="de-DE"/>
        </w:rPr>
      </w:pPr>
      <w:r>
        <w:rPr>
          <w:i/>
          <w:iCs/>
          <w:lang w:val="de-DE"/>
        </w:rPr>
        <w:t>Die gattungspoetische Vernunft</w:t>
      </w:r>
    </w:p>
    <w:p>
      <w:pPr>
        <w:pStyle w:val="Standard"/>
        <w:spacing w:lineRule="auto" w:line="360"/>
        <w:rPr>
          <w:lang w:val="de-DE"/>
        </w:rPr>
      </w:pPr>
      <w:r>
        <w:rPr>
          <w:lang w:val="de-DE"/>
        </w:rPr>
      </w:r>
    </w:p>
    <w:p>
      <w:pPr>
        <w:pStyle w:val="Standard"/>
        <w:spacing w:lineRule="auto" w:line="360"/>
        <w:rPr>
          <w:rFonts w:ascii="Times New Roman" w:hAnsi="Times New Roman" w:cs="Times New Roman"/>
          <w:lang w:val="de-DE"/>
        </w:rPr>
      </w:pPr>
      <w:r>
        <w:rPr>
          <w:rFonts w:cs="Times New Roman" w:ascii="Times New Roman" w:hAnsi="Times New Roman"/>
          <w:lang w:val="de-DE"/>
        </w:rPr>
        <w:t>Die Frage nach Sinn und Funktion des Rückgriffes auf eine unzeitmäßige literarische Gattung setzt die Annahme voraus, dass die Gattungsmerkmale eines sprachlichen Kunstwerkes einen eigentümlichen Sinngehalt entfalten und auf eine eigenartige Wirkung abzielen. Es ist der Verdienst Peter Szondis, in Schlegels Werk die historischen Grundlage einer modernen Gattungspoetik erkannt zu haben, die sich kritisch mit Fragen nach dem Rückgriff auf nicht mehr aktuellen Formen auseinandersetzt.</w:t>
      </w:r>
      <w:r>
        <w:rPr>
          <w:rStyle w:val="Richiamoallanotaapidipagina"/>
          <w:rFonts w:cs="Times New Roman" w:ascii="Times New Roman" w:hAnsi="Times New Roman"/>
          <w:lang w:val="de-DE"/>
        </w:rPr>
        <w:footnoteReference w:id="2"/>
      </w:r>
      <w:r>
        <w:rPr>
          <w:rFonts w:cs="Times New Roman" w:ascii="Times New Roman" w:hAnsi="Times New Roman"/>
          <w:lang w:val="de-DE"/>
        </w:rPr>
        <w:t xml:space="preserve"> In der schlegelschen Formulierung </w:t>
      </w:r>
      <w:r>
        <w:rPr>
          <w:rFonts w:eastAsia="Times New Roman" w:cs="Times New Roman" w:ascii="Times New Roman" w:hAnsi="Times New Roman"/>
          <w:lang w:val="de-DE" w:eastAsia="it-IT"/>
        </w:rPr>
        <w:t>«</w:t>
      </w:r>
      <w:r>
        <w:rPr>
          <w:rFonts w:cs="Times New Roman" w:ascii="Times New Roman" w:hAnsi="Times New Roman"/>
          <w:lang w:val="de-DE"/>
        </w:rPr>
        <w:t>Kritik der gattungspoetischen Vernunft</w:t>
      </w:r>
      <w:r>
        <w:rPr>
          <w:rFonts w:eastAsia="Times New Roman" w:cs="Times New Roman" w:ascii="Times New Roman" w:hAnsi="Times New Roman"/>
          <w:lang w:val="de-DE" w:eastAsia="it-IT"/>
        </w:rPr>
        <w:t>»</w:t>
      </w:r>
      <w:r>
        <w:rPr>
          <w:rFonts w:cs="Times New Roman" w:ascii="Times New Roman" w:hAnsi="Times New Roman"/>
          <w:lang w:val="de-DE"/>
        </w:rPr>
        <w:t xml:space="preserve"> ist das kritische Programm enthalten, hinter Erzähl- und Stilprinzipien das Wirken eines Bewusstseins zu erkennen, das eine beabsichtigte Bedeutung und Wirkung erkennt. Daraus entsteht die Notwendigkeit hinter der Materialität der Form, den Willen eines Dichters zu erkennen, der sich durch die Wahl bestimmter Darstellungsformen implizit ausdrückt. Auf Basis dieser schlegelschen Reflexion spricht Szondi von einer </w:t>
      </w:r>
      <w:r>
        <w:rPr>
          <w:rFonts w:eastAsia="Times New Roman" w:cs="Times New Roman" w:ascii="Times New Roman" w:hAnsi="Times New Roman"/>
          <w:lang w:val="de-DE" w:eastAsia="it-IT"/>
        </w:rPr>
        <w:t>«</w:t>
      </w:r>
      <w:r>
        <w:rPr>
          <w:rFonts w:cs="Times New Roman" w:ascii="Times New Roman" w:hAnsi="Times New Roman"/>
          <w:lang w:val="de-DE"/>
        </w:rPr>
        <w:t>Rückbesinnung auf die Bedingungen der Möglichkeit gattungspoetischer Systematik</w:t>
      </w:r>
      <w:r>
        <w:rPr>
          <w:rFonts w:eastAsia="Times New Roman" w:cs="Times New Roman" w:ascii="Times New Roman" w:hAnsi="Times New Roman"/>
          <w:lang w:val="de-DE" w:eastAsia="it-IT"/>
        </w:rPr>
        <w:t>»</w:t>
      </w:r>
      <w:r>
        <w:rPr>
          <w:rFonts w:cs="Times New Roman" w:ascii="Times New Roman" w:hAnsi="Times New Roman"/>
          <w:lang w:val="de-DE"/>
        </w:rPr>
        <w:t>.</w:t>
      </w:r>
      <w:r>
        <w:rPr>
          <w:rStyle w:val="Richiamoallanotaapidipagina"/>
          <w:rFonts w:cs="Times New Roman" w:ascii="Times New Roman" w:hAnsi="Times New Roman"/>
          <w:lang w:val="de-DE"/>
        </w:rPr>
        <w:footnoteReference w:id="3"/>
      </w:r>
    </w:p>
    <w:p>
      <w:pPr>
        <w:pStyle w:val="Standard"/>
        <w:spacing w:lineRule="auto" w:line="360"/>
        <w:rPr>
          <w:rFonts w:ascii="Times New Roman" w:hAnsi="Times New Roman" w:cs="Times New Roman"/>
          <w:lang w:val="de-DE"/>
        </w:rPr>
      </w:pPr>
      <w:r>
        <w:rPr>
          <w:rFonts w:cs="Times New Roman" w:ascii="Times New Roman" w:hAnsi="Times New Roman"/>
          <w:lang w:val="de-DE"/>
        </w:rPr>
      </w:r>
    </w:p>
    <w:p>
      <w:pPr>
        <w:pStyle w:val="Standard"/>
        <w:spacing w:lineRule="auto" w:line="360"/>
        <w:ind w:hanging="0"/>
        <w:rPr>
          <w:rFonts w:ascii="Times New Roman" w:hAnsi="Times New Roman" w:cs="Times New Roman"/>
          <w:lang w:val="de-DE"/>
        </w:rPr>
      </w:pPr>
      <w:r>
        <w:rPr>
          <w:rFonts w:cs="Times New Roman" w:ascii="Times New Roman" w:hAnsi="Times New Roman"/>
          <w:lang w:val="de-DE"/>
        </w:rPr>
        <w:t xml:space="preserve">Der Rückgriff auf eine bestimmte Gattungsform wird deswegen an sich bedeutend, denn er geschieht anhand von der Erwägung, welche Erzählmodalitäten Themen und Sinnmöglichkeiten zulassen oder ausschließen, so z.B. die Position des Erzählers bzw. sein Bewusstsein oder eine geschlossene oder offene Erzählstruktur usw. Es genügt also nicht, die Werke einfach nach ihrer systematischen Konsequenz zu überprüfen. Es geht vielmehr darum, über die Feststellung eines poetischen Darstellungsprinzips hinauszugehen, um die darin enthaltenen Sinnmöglichkeiten und deren gehegten Absichten herauszulesen. Die Erkenntnis einer durch die Poetik artikulierten Kommunikation macht es dann nötig, sich der einmaligen Beziehung bewusst zu werden, die durch </w:t>
      </w:r>
      <w:r>
        <w:rPr>
          <w:rFonts w:cs="Times New Roman" w:ascii="Times New Roman" w:hAnsi="Times New Roman"/>
          <w:lang w:val="de-DE"/>
        </w:rPr>
        <w:t xml:space="preserve">die </w:t>
      </w:r>
      <w:r>
        <w:rPr>
          <w:rFonts w:cs="Times New Roman" w:ascii="Times New Roman" w:hAnsi="Times New Roman"/>
          <w:lang w:val="de-DE"/>
        </w:rPr>
        <w:t>Begegnung von einer der Vergangenheit gehörenden Tradition mit einer neuen Zeit entsteht. Der Unzeitmäßigkeit der Form entspricht die Aktualität der Absicht, worauf die Entscheidung für die Wahl nach bestimmten Gattungsformen gründet.</w:t>
      </w:r>
    </w:p>
    <w:p>
      <w:pPr>
        <w:pStyle w:val="Standard"/>
        <w:spacing w:lineRule="auto" w:line="360"/>
        <w:rPr>
          <w:rFonts w:ascii="Times New Roman" w:hAnsi="Times New Roman" w:cs="Times New Roman"/>
          <w:lang w:val="de-DE"/>
        </w:rPr>
      </w:pPr>
      <w:r>
        <w:rPr>
          <w:rFonts w:cs="Times New Roman" w:ascii="Times New Roman" w:hAnsi="Times New Roman"/>
          <w:lang w:val="de-DE"/>
        </w:rPr>
        <w:t xml:space="preserve">Der Fall der </w:t>
      </w:r>
      <w:r>
        <w:rPr>
          <w:rFonts w:cs="Times New Roman" w:ascii="Times New Roman" w:hAnsi="Times New Roman"/>
          <w:i/>
          <w:iCs/>
          <w:lang w:val="de-DE"/>
        </w:rPr>
        <w:t>Blechtrommel</w:t>
      </w:r>
      <w:r>
        <w:rPr>
          <w:rFonts w:cs="Times New Roman" w:ascii="Times New Roman" w:hAnsi="Times New Roman"/>
          <w:lang w:val="de-DE"/>
        </w:rPr>
        <w:t xml:space="preserve"> ist in diesem Sinne beispielhaft:</w:t>
      </w:r>
      <w:r>
        <w:rPr>
          <w:rFonts w:cs="Times New Roman" w:ascii="Times New Roman" w:hAnsi="Times New Roman"/>
          <w:shd w:fill="FFFFFF" w:val="clear"/>
          <w:lang w:val="de-DE"/>
        </w:rPr>
        <w:t xml:space="preserve">  </w:t>
      </w:r>
      <w:r>
        <w:rPr>
          <w:rFonts w:cs="Times New Roman" w:ascii="Times New Roman" w:hAnsi="Times New Roman"/>
          <w:sz w:val="24"/>
          <w:szCs w:val="24"/>
          <w:shd w:fill="FFFFFF" w:val="clear"/>
          <w:lang w:val="it-IT"/>
        </w:rPr>
        <w:t>Es handelte sich nicht einfach um eine getreue Nachahmung eines alten Vorbilds, so wie das Programm der Klassik irrtümlich manchmal betrachtet wird</w:t>
      </w:r>
      <w:r>
        <w:rPr>
          <w:rFonts w:cs="Times New Roman" w:ascii="Times New Roman" w:hAnsi="Times New Roman"/>
          <w:lang w:val="de-DE"/>
        </w:rPr>
        <w:t>, sondern um die Herstellung eines reflektierten und partiellen Bezugs auf eine ferne Epoche, die thematisch und formell von nicht aktuellen Charakterzügen gekennzeichnet ist. Der Unterschied zu</w:t>
      </w:r>
      <w:r>
        <w:rPr>
          <w:rFonts w:cs="Times New Roman" w:ascii="Times New Roman" w:hAnsi="Times New Roman"/>
          <w:lang w:val="de-DE"/>
        </w:rPr>
        <w:t xml:space="preserve"> einer</w:t>
      </w:r>
      <w:r>
        <w:rPr>
          <w:rFonts w:cs="Times New Roman" w:ascii="Times New Roman" w:hAnsi="Times New Roman"/>
          <w:lang w:val="de-DE"/>
        </w:rPr>
        <w:t xml:space="preserve"> </w:t>
      </w:r>
      <w:r>
        <w:rPr>
          <w:rFonts w:cs="Times New Roman" w:ascii="Times New Roman" w:hAnsi="Times New Roman"/>
          <w:lang w:val="de-DE"/>
        </w:rPr>
        <w:t xml:space="preserve">unkritischen </w:t>
      </w:r>
      <w:r>
        <w:rPr>
          <w:rFonts w:cs="Times New Roman" w:ascii="Times New Roman" w:hAnsi="Times New Roman"/>
          <w:lang w:val="de-DE"/>
        </w:rPr>
        <w:t xml:space="preserve">Rezeption </w:t>
      </w:r>
      <w:r>
        <w:rPr>
          <w:rFonts w:cs="Times New Roman" w:ascii="Times New Roman" w:hAnsi="Times New Roman"/>
          <w:lang w:val="de-DE"/>
        </w:rPr>
        <w:t>eines alten Musters</w:t>
      </w:r>
      <w:r>
        <w:rPr>
          <w:rFonts w:cs="Times New Roman" w:ascii="Times New Roman" w:hAnsi="Times New Roman"/>
          <w:lang w:val="de-DE"/>
        </w:rPr>
        <w:t xml:space="preserve"> ist schon dadurch erkennbar, dass der Bezug nicht von der Allgemeingültigkeit und der Vollkommenheit einer Gattung herrührt, sondern von einer reflektierten und daher partiellen Aufnahme der Vergangenheit, also einer „überdachten Rückbesinnung“</w:t>
      </w:r>
      <w:r>
        <w:rPr>
          <w:rStyle w:val="Richiamoallanotaapidipagina"/>
          <w:rFonts w:cs="Times New Roman" w:ascii="Times New Roman" w:hAnsi="Times New Roman"/>
          <w:lang w:val="de-DE"/>
        </w:rPr>
        <w:footnoteReference w:id="4"/>
      </w:r>
      <w:r>
        <w:rPr>
          <w:rFonts w:cs="Times New Roman" w:ascii="Times New Roman" w:hAnsi="Times New Roman"/>
          <w:lang w:val="de-DE"/>
        </w:rPr>
        <w:t xml:space="preserve"> auf ein Muster, das in einem bestimmten historischen Kontext auf eine eigentümliche Weise immer noch wirken kann.</w:t>
      </w:r>
    </w:p>
    <w:p>
      <w:pPr>
        <w:pStyle w:val="Standard"/>
        <w:spacing w:lineRule="auto" w:line="360"/>
        <w:rPr>
          <w:rFonts w:ascii="Times New Roman" w:hAnsi="Times New Roman" w:cs="Times New Roman"/>
          <w:lang w:val="de-DE"/>
        </w:rPr>
      </w:pPr>
      <w:r>
        <w:rPr>
          <w:rFonts w:cs="Times New Roman" w:ascii="Times New Roman" w:hAnsi="Times New Roman"/>
          <w:lang w:val="de-DE"/>
        </w:rPr>
        <w:t xml:space="preserve">Die aus der Epoche des Barock stammende manieristische Stilrichtung, welche den Schelmenroman prägt (labyrinthische und chaotischen Handlung, sprachliche Mehrstimmigkeit vom Erzähler und von den Figuren, perspektivische Vielfalt der erzählenden Instanz, ethische Indifferenz usw.) wird in der </w:t>
      </w:r>
      <w:r>
        <w:rPr>
          <w:rFonts w:cs="Times New Roman" w:ascii="Times New Roman" w:hAnsi="Times New Roman"/>
          <w:i/>
          <w:iCs/>
          <w:lang w:val="de-DE"/>
        </w:rPr>
        <w:t xml:space="preserve">Blechtrommel </w:t>
      </w:r>
      <w:r>
        <w:rPr>
          <w:rFonts w:cs="Times New Roman" w:ascii="Times New Roman" w:hAnsi="Times New Roman"/>
          <w:lang w:val="de-DE"/>
        </w:rPr>
        <w:t xml:space="preserve">von ihrer Geschichtlichkeit gelöst, damit sie im aktuellen zeitgeschichtlichen Kontext des Zweiten Weltkrieges wirken kann. Zwar ist es aufgrund der Poetik bzw. der schelmischen narrativen Struktur der </w:t>
      </w:r>
      <w:r>
        <w:rPr>
          <w:rFonts w:cs="Times New Roman" w:ascii="Times New Roman" w:hAnsi="Times New Roman"/>
          <w:i/>
          <w:iCs/>
          <w:lang w:val="de-DE"/>
        </w:rPr>
        <w:t>Blechtrommel</w:t>
      </w:r>
      <w:r>
        <w:rPr>
          <w:rFonts w:cs="Times New Roman" w:ascii="Times New Roman" w:hAnsi="Times New Roman"/>
          <w:lang w:val="de-DE"/>
        </w:rPr>
        <w:t xml:space="preserve"> nicht möglich, einen eindeutigen explizit oder implizit sinngemäßen begrifflichen Inhalt zu erkennen, aber man kann einen Moment erkennen, wo rationale Begriffe angewandt werden: Sie bedingen und begründen die besonnene Entscheidung, welche Stilmitte</w:t>
      </w:r>
      <w:r>
        <w:rPr>
          <w:rFonts w:cs="Times New Roman" w:ascii="Times New Roman" w:hAnsi="Times New Roman"/>
          <w:color w:val="111111"/>
          <w:lang w:val="de-DE"/>
        </w:rPr>
        <w:t>ln</w:t>
      </w:r>
      <w:r>
        <w:rPr>
          <w:rFonts w:cs="Times New Roman" w:ascii="Times New Roman" w:hAnsi="Times New Roman"/>
          <w:color w:val="111111"/>
          <w:shd w:fill="FFFFFF" w:val="clear"/>
          <w:lang w:val="de-DE"/>
        </w:rPr>
        <w:t xml:space="preserve"> der literarischen Tradition für die eigene poetische Absicht dienlich sein können. </w:t>
      </w:r>
      <w:r>
        <w:rPr>
          <w:rFonts w:cs="Times New Roman" w:ascii="Times New Roman" w:hAnsi="Times New Roman"/>
          <w:lang w:val="de-DE"/>
        </w:rPr>
        <w:t>Die Rückbesinnung auf die Gattung Schelmenroman ist also Ergebnis einer vorhergehenden und einmaligen begrifflichen Leistung.</w:t>
      </w:r>
    </w:p>
    <w:p>
      <w:pPr>
        <w:pStyle w:val="Standard"/>
        <w:spacing w:lineRule="auto" w:line="360"/>
        <w:rPr>
          <w:rFonts w:ascii="Times New Roman" w:hAnsi="Times New Roman" w:cs="Times New Roman"/>
          <w:lang w:val="de-DE"/>
        </w:rPr>
      </w:pPr>
      <w:r>
        <w:rPr>
          <w:rFonts w:cs="Times New Roman" w:ascii="Times New Roman" w:hAnsi="Times New Roman"/>
          <w:lang w:val="de-DE"/>
        </w:rPr>
        <w:t>So können wir eine Art Gleichzeitigkeit von Gegensätzen feststellen: Einerseits können wir die Aufhebung eines grundsätzlichen Charakterzuges der Aufklärungspoetik durch den Rückgriff auf eine nicht auf Begriffsvermittlung konzentrierte Gattun</w:t>
      </w:r>
      <w:r>
        <w:rPr>
          <w:rFonts w:cs="Times New Roman" w:ascii="Times New Roman" w:hAnsi="Times New Roman"/>
          <w:shd w:fill="FFFFFF" w:val="clear"/>
          <w:lang w:val="de-DE"/>
        </w:rPr>
        <w:t>g erkennen.</w:t>
      </w:r>
      <w:r>
        <w:rPr>
          <w:rStyle w:val="Richiamoallanotaapidipagina"/>
          <w:rFonts w:cs="Times New Roman" w:ascii="Times New Roman" w:hAnsi="Times New Roman"/>
          <w:shd w:fill="FFFFFF" w:val="clear"/>
          <w:lang w:val="de-DE"/>
        </w:rPr>
        <w:footnoteReference w:id="5"/>
      </w:r>
      <w:r>
        <w:rPr>
          <w:rFonts w:cs="Times New Roman" w:ascii="Times New Roman" w:hAnsi="Times New Roman"/>
          <w:shd w:fill="FFFFFF" w:val="clear"/>
          <w:lang w:val="de-DE"/>
        </w:rPr>
        <w:t xml:space="preserve"> Al</w:t>
      </w:r>
      <w:r>
        <w:rPr>
          <w:rFonts w:cs="Times New Roman" w:ascii="Times New Roman" w:hAnsi="Times New Roman"/>
          <w:lang w:val="de-DE"/>
        </w:rPr>
        <w:t>lerdings wird das Erbe der Aufklärung schon dadurch offenkundig, dass die Wahl der Gattung eine Reflexion voraussetzt. Die aus einer fremd gewordenen Erzähltradition übernommene eklatante Abwesenheit einer begrifflichen Substanz zielt im Kontext der Nachkriegszeit bewusst darauf ab, als Provokation und Appell an den Leser zu wirken: Die enttäuschte Erwartung einer artikulierten Mitteilung soll beim Leser eine ideologische und moralische Stellungnahme gegenüber den Gräueltaten der Nazizeit provozieren und ihn zu einer Formulierung dessen anspornen, was im Werk verschwiegen ist. Der aufklärende Moment, welcher eine als begrifflich sinnvoll angebrachte Position zum Ausdruck bringt, gehört einerseits der auktorialen Instanz als Aufgabe, einen gattungspoetischen Entwurf als Appell zu konzipieren; andererseits dem Leser, welchem die Aufgabe übertragen wird, immer wieder das zu leisten, was im Text ostentativ ausgelassen wird.</w:t>
      </w:r>
      <w:r>
        <w:rPr>
          <w:rStyle w:val="Richiamoallanotaapidipagina"/>
          <w:rFonts w:cs="Times New Roman" w:ascii="Times New Roman" w:hAnsi="Times New Roman"/>
          <w:lang w:val="de-DE"/>
        </w:rPr>
        <w:footnoteReference w:id="6"/>
      </w:r>
      <w:r>
        <w:rPr>
          <w:rFonts w:cs="Times New Roman" w:ascii="Times New Roman" w:hAnsi="Times New Roman"/>
          <w:lang w:val="de-DE"/>
        </w:rPr>
        <w:t xml:space="preserve"> Was man sich von dieser Art absurder geschichtlicher Darstellung nicht erwarten darf, ist eine im Text durch Begriffe explizite Rationalität. Denn die Gattungsmerkmale des Schelmenromans üben im unzeitgemäßen Kontext der zweiten Nachkriegszeit ihre Funktion gerade dadurch aus, dass sie dem Leser die Erfahrung einer Unmöglichkeit anbieten: die Unmöglichkeit einer passenden Formulierung, welche im geschichtlichen Bericht einen glaubwürdigen Sinn wiedergeben kann. Sind alle Versuche unvermeidlich zum Scheitern verurteilt, in der geschichtlichen Erzählung eine widerspruchslose inhaltliche und begriffliche Konsistenz zu erkennen, ist der Effekt auf einer pragmatischen Ebene hingegen eklatant: Die beim Leser erzielte Enttäuschung der Erwartung, mit einer geregelten, konsequenten d.h. transparenten Semantik rechnen zu dürfen, impliziert zuerst die Aufgabe, sich mit der Abwesenheit von Sinn auseinanderzusetzen. Das mag als absurdes, als ins Leere laufendes Unternehmen erscheinen. Wir können aber diese sinnlose Arbeit als Chance betrachten, das scheinbare Unzeitgemäße in seiner Zeitmäßigkeit zu überprüfen. Denn wir können gerade in diesem Scheitern der Sprache als Vermittlung von Nachvollziehbarem einen Beitrag zur damals aktuellen Diskussion erkennen, die Adorno mit dem Satz über die Unmöglichkeit eröffnete, nach Auschwitz noch Gedichte zu schreiben. Die </w:t>
      </w:r>
      <w:r>
        <w:rPr>
          <w:rFonts w:cs="Times New Roman" w:ascii="Times New Roman" w:hAnsi="Times New Roman"/>
          <w:i/>
          <w:iCs/>
          <w:lang w:val="de-DE"/>
        </w:rPr>
        <w:t>Blechtrommel</w:t>
      </w:r>
      <w:r>
        <w:rPr>
          <w:rFonts w:cs="Times New Roman" w:ascii="Times New Roman" w:hAnsi="Times New Roman"/>
          <w:lang w:val="de-DE"/>
        </w:rPr>
        <w:t xml:space="preserve"> können wir sinngemäß als Antwort auf diese Provokation Adornos gelten lassen: Eine poetische Gattung, die das Chaos und die Absurdität der menschlichen Welt einfach reproduziert, ohne Bemühung, sie verständlich zu machen, braucht eine paradoxe Sprache, genauer gesagt: eine Sprache, die das Schweigen in Szene setzt. Da es sich um eine bewusste Inszenierung handelt, können wir sie nicht als eine Geste des Verzichtes und der Resignation betrachten. Vielmehr ist es nötig, sie als Versuch gelten zu lassen, für die literarische Sprache noch mögliche Ausdrucksmittel in einer Zeit zu finden, in der die deutsche Literatur immer noch vom Bewusstsein der „Stunde Null“ belastet war, d.h einer durch die Nazizeit in ihrer Semantik und ihrer Funktion pervertierten Sprache. So können wir uns die Frage stellen und versuchen, sie zu beantworten, inwiefern Grass mit seinem Schelmenroman in der chaotischen, nicht begriffliche Erzählweise eines barocken/manieristischen Erzählstils den Weg für eine Literatur nach Auschwitz sucht.</w:t>
      </w:r>
    </w:p>
    <w:p>
      <w:pPr>
        <w:pStyle w:val="Standard"/>
        <w:spacing w:lineRule="auto" w:line="360"/>
        <w:rPr>
          <w:rFonts w:ascii="Times New Roman" w:hAnsi="Times New Roman" w:cs="Times New Roman"/>
          <w:lang w:val="de-DE"/>
        </w:rPr>
      </w:pPr>
      <w:r>
        <w:rPr>
          <w:rFonts w:cs="Times New Roman" w:ascii="Times New Roman" w:hAnsi="Times New Roman"/>
          <w:lang w:val="de-DE"/>
        </w:rPr>
      </w:r>
    </w:p>
    <w:p>
      <w:pPr>
        <w:pStyle w:val="Standard"/>
        <w:spacing w:lineRule="auto" w:line="360"/>
        <w:jc w:val="center"/>
        <w:rPr>
          <w:rFonts w:ascii="Times New Roman" w:hAnsi="Times New Roman" w:cs="Times New Roman"/>
          <w:i/>
          <w:i/>
          <w:iCs/>
          <w:lang w:val="de-DE"/>
        </w:rPr>
      </w:pPr>
      <w:r>
        <w:rPr>
          <w:rFonts w:cs="Times New Roman" w:ascii="Times New Roman" w:hAnsi="Times New Roman"/>
          <w:i/>
          <w:iCs/>
          <w:lang w:val="de-DE"/>
        </w:rPr>
        <w:t>Eine ethische Perspektive auf die geschichtliche Darstellung</w:t>
      </w:r>
    </w:p>
    <w:p>
      <w:pPr>
        <w:pStyle w:val="Standard"/>
        <w:spacing w:lineRule="auto" w:line="360"/>
        <w:rPr>
          <w:rFonts w:ascii="Times New Roman" w:hAnsi="Times New Roman" w:cs="Times New Roman"/>
          <w:lang w:val="de-DE"/>
        </w:rPr>
      </w:pPr>
      <w:r>
        <w:rPr>
          <w:rFonts w:cs="Times New Roman" w:ascii="Times New Roman" w:hAnsi="Times New Roman"/>
          <w:lang w:val="de-DE"/>
        </w:rPr>
      </w:r>
    </w:p>
    <w:p>
      <w:pPr>
        <w:pStyle w:val="Standard"/>
        <w:spacing w:lineRule="auto" w:line="360"/>
        <w:rPr>
          <w:rFonts w:ascii="Times New Roman" w:hAnsi="Times New Roman" w:cs="Times New Roman"/>
          <w:lang w:val="de-DE"/>
        </w:rPr>
      </w:pPr>
      <w:r>
        <w:rPr>
          <w:rFonts w:cs="Times New Roman" w:ascii="Times New Roman" w:hAnsi="Times New Roman"/>
          <w:lang w:val="de-DE"/>
        </w:rPr>
        <w:t xml:space="preserve">Wenn wir auf einer Interpretation der </w:t>
      </w:r>
      <w:r>
        <w:rPr>
          <w:rStyle w:val="AbsatzStandardschriftart"/>
          <w:rFonts w:cs="Times New Roman" w:ascii="Times New Roman" w:hAnsi="Times New Roman"/>
          <w:i/>
          <w:iCs/>
          <w:lang w:val="de-DE"/>
        </w:rPr>
        <w:t>Blechtrommel</w:t>
      </w:r>
      <w:r>
        <w:rPr>
          <w:rFonts w:cs="Times New Roman" w:ascii="Times New Roman" w:hAnsi="Times New Roman"/>
          <w:lang w:val="de-DE"/>
        </w:rPr>
        <w:t xml:space="preserve"> bestehen wollen, die auf die Tradition des Schelmenromans zurückgreift, müssen wir uns zuerst mit folgender Aussage von Günter Grass auseinandersetzen: </w:t>
      </w:r>
      <w:r>
        <w:rPr>
          <w:rFonts w:eastAsia="Times New Roman" w:cs="Times New Roman" w:ascii="Times New Roman" w:hAnsi="Times New Roman"/>
          <w:color w:val="111111"/>
          <w:lang w:val="de-DE" w:eastAsia="it-IT"/>
        </w:rPr>
        <w:t>«</w:t>
      </w:r>
      <w:r>
        <w:rPr>
          <w:rFonts w:cs="Times New Roman" w:ascii="Times New Roman" w:hAnsi="Times New Roman"/>
          <w:lang w:val="de-DE"/>
        </w:rPr>
        <w:t>Ganz gewiß helfen Kästchenvorstellungen wie ‘der neue Schelmenroman’ überhaupt nicht weiter</w:t>
      </w:r>
      <w:r>
        <w:rPr>
          <w:rFonts w:eastAsia="Times New Roman" w:cs="Times New Roman" w:ascii="Times New Roman" w:hAnsi="Times New Roman"/>
          <w:color w:val="111111"/>
          <w:lang w:val="de-DE" w:eastAsia="it-IT"/>
        </w:rPr>
        <w:t>»</w:t>
      </w:r>
      <w:r>
        <w:rPr>
          <w:rStyle w:val="Richiamoallanotaapidipagina"/>
          <w:rFonts w:cs="Times New Roman" w:ascii="Times New Roman" w:hAnsi="Times New Roman"/>
        </w:rPr>
        <w:footnoteReference w:id="7"/>
      </w:r>
      <w:r>
        <w:rPr>
          <w:rFonts w:cs="Times New Roman" w:ascii="Times New Roman" w:hAnsi="Times New Roman"/>
          <w:lang w:val="de-DE"/>
        </w:rPr>
        <w:t xml:space="preserve">. Daher sollten wir bei unserem interpretativen Vorhaben den Fokus nicht auf den Begriff </w:t>
      </w:r>
      <w:r>
        <w:rPr>
          <w:rFonts w:eastAsia="Times New Roman" w:cs="Times New Roman" w:ascii="Times New Roman" w:hAnsi="Times New Roman"/>
          <w:lang w:val="de-DE" w:eastAsia="it-IT"/>
        </w:rPr>
        <w:t>«</w:t>
      </w:r>
      <w:r>
        <w:rPr>
          <w:rFonts w:cs="Times New Roman" w:ascii="Times New Roman" w:hAnsi="Times New Roman"/>
          <w:lang w:val="de-DE"/>
        </w:rPr>
        <w:t>Schelmenroman</w:t>
      </w:r>
      <w:r>
        <w:rPr>
          <w:rFonts w:eastAsia="Times New Roman" w:cs="Times New Roman" w:ascii="Times New Roman" w:hAnsi="Times New Roman"/>
          <w:lang w:val="de-DE" w:eastAsia="it-IT"/>
        </w:rPr>
        <w:t>»</w:t>
      </w:r>
      <w:r>
        <w:rPr>
          <w:rFonts w:cs="Times New Roman" w:ascii="Times New Roman" w:hAnsi="Times New Roman"/>
          <w:lang w:val="de-DE"/>
        </w:rPr>
        <w:t xml:space="preserve"> legen, sondern auf den Begriff </w:t>
      </w:r>
      <w:r>
        <w:rPr>
          <w:rFonts w:eastAsia="Times New Roman" w:cs="Times New Roman" w:ascii="Times New Roman" w:hAnsi="Times New Roman"/>
          <w:lang w:val="de-DE" w:eastAsia="it-IT"/>
        </w:rPr>
        <w:t>«</w:t>
      </w:r>
      <w:r>
        <w:rPr>
          <w:rFonts w:cs="Times New Roman" w:ascii="Times New Roman" w:hAnsi="Times New Roman"/>
          <w:lang w:val="de-DE"/>
        </w:rPr>
        <w:t>Kästchenvorstellungen</w:t>
      </w:r>
      <w:r>
        <w:rPr>
          <w:rFonts w:eastAsia="Times New Roman" w:cs="Times New Roman" w:ascii="Times New Roman" w:hAnsi="Times New Roman"/>
          <w:lang w:val="de-DE" w:eastAsia="it-IT"/>
        </w:rPr>
        <w:t>»</w:t>
      </w:r>
      <w:r>
        <w:rPr>
          <w:rFonts w:cs="Times New Roman" w:ascii="Times New Roman" w:hAnsi="Times New Roman"/>
          <w:lang w:val="de-DE"/>
        </w:rPr>
        <w:t xml:space="preserve">. So sehe ich in dem bildhaften Ausdruck </w:t>
      </w:r>
      <w:r>
        <w:rPr>
          <w:rFonts w:eastAsia="Times New Roman" w:cs="Times New Roman" w:ascii="Times New Roman" w:hAnsi="Times New Roman"/>
          <w:lang w:val="de-DE" w:eastAsia="it-IT"/>
        </w:rPr>
        <w:t>«</w:t>
      </w:r>
      <w:r>
        <w:rPr>
          <w:rFonts w:cs="Times New Roman" w:ascii="Times New Roman" w:hAnsi="Times New Roman"/>
          <w:lang w:val="de-DE"/>
        </w:rPr>
        <w:t>Kästchenvorstellungen</w:t>
      </w:r>
      <w:r>
        <w:rPr>
          <w:rFonts w:eastAsia="Times New Roman" w:cs="Times New Roman" w:ascii="Times New Roman" w:hAnsi="Times New Roman"/>
          <w:lang w:val="de-DE" w:eastAsia="it-IT"/>
        </w:rPr>
        <w:t>»</w:t>
      </w:r>
      <w:r>
        <w:rPr>
          <w:rFonts w:cs="Times New Roman" w:ascii="Times New Roman" w:hAnsi="Times New Roman"/>
          <w:lang w:val="de-DE"/>
        </w:rPr>
        <w:t xml:space="preserve"> vor allem die Warnung vor der Gefahr, eine literarische Tradition einfach als Wiederholung immergleicher Muster aufzufassen. Es gilt vielmehr, darin eine Bewegung zu erkennen, die sich in der Begegnung von bestimmten literarischen Formen der Vergangenheit mit der gegenwärtigen Zeit entfaltet. Darum findet das Bleibende, das in neuen Zusammenhängen erscheint, immer eine einmalige und einzigartige Anwendung. Gerade in der Art der Anwendung drückt sich ihre Originalität aus. Es geht also nicht darum, auf die Bezeichnung Schelmenroman zurückzugreifen, um den ersten Roman von Günter Grass im System der Literaturgeschichte zu archivieren und sich damit zufriedenzugeben. Es geht vielmehr darum, der Offenheit der Begegnung von Tradiertem und Aktuellem gerecht zu werden, indem wir uns fragen, in welcher Beziehung sie zueinander stehen und warum gerade eine Romangattung der alten barocken Tradition zur Darstellung der jüngsten Vergangenheit angewandt wird.</w:t>
      </w:r>
    </w:p>
    <w:p>
      <w:pPr>
        <w:pStyle w:val="Standard"/>
        <w:spacing w:lineRule="auto" w:line="360"/>
        <w:rPr>
          <w:rFonts w:ascii="Times New Roman" w:hAnsi="Times New Roman" w:cs="Times New Roman"/>
          <w:lang w:val="de-DE"/>
        </w:rPr>
      </w:pPr>
      <w:r>
        <w:rPr>
          <w:rStyle w:val="AbsatzStandardschriftart"/>
          <w:rFonts w:cs="Times New Roman" w:ascii="Times New Roman" w:hAnsi="Times New Roman"/>
          <w:iCs/>
          <w:lang w:val="de-DE"/>
        </w:rPr>
        <w:t>Die</w:t>
      </w:r>
      <w:r>
        <w:rPr>
          <w:rStyle w:val="AbsatzStandardschriftart"/>
          <w:rFonts w:cs="Times New Roman" w:ascii="Times New Roman" w:hAnsi="Times New Roman"/>
          <w:i/>
          <w:iCs/>
          <w:lang w:val="de-DE"/>
        </w:rPr>
        <w:t xml:space="preserve"> Blechtrommel</w:t>
      </w:r>
      <w:r>
        <w:rPr>
          <w:rFonts w:cs="Times New Roman" w:ascii="Times New Roman" w:hAnsi="Times New Roman"/>
          <w:lang w:val="de-DE"/>
        </w:rPr>
        <w:t xml:space="preserve"> als Fortsetzung der Tradition des Schelmenromans zu betrachten bedeutet also den Versuch zu unternehmen, das Werk hermeneutisch angemessen zu erfassen, d.h. an das Werk Fragen zu stellen, die nicht nur auf tradierte Formen der Literatur achten, sondern auch auf die Funktionen, die sie in unterschiedlichen Epochen erfüllen. Und zwar gilt es, die Frage aufzuwerfen, auf welche Wirkung die den Schelmenroman charakterisierende manieristische Poetik im Kontext der deutschen Nachkriegszeit abzielt. Das setzt voraus, dass wir die Tradition des Schelmenromans an den Anfang und nicht an das Ende unserer Interpretation verlegen müssen. Denn diese Tradition und deren Poetik gelten als ihre Grundlage und nicht als ihr Endziel. Die einfache Festellung, </w:t>
      </w:r>
      <w:r>
        <w:rPr>
          <w:rStyle w:val="AbsatzStandardschriftart"/>
          <w:rFonts w:cs="Times New Roman" w:ascii="Times New Roman" w:hAnsi="Times New Roman"/>
          <w:iCs/>
          <w:lang w:val="de-DE"/>
        </w:rPr>
        <w:t>die</w:t>
      </w:r>
      <w:r>
        <w:rPr>
          <w:rStyle w:val="AbsatzStandardschriftart"/>
          <w:rFonts w:cs="Times New Roman" w:ascii="Times New Roman" w:hAnsi="Times New Roman"/>
          <w:i/>
          <w:iCs/>
          <w:lang w:val="de-DE"/>
        </w:rPr>
        <w:t xml:space="preserve"> Blechtrommel </w:t>
      </w:r>
      <w:r>
        <w:rPr>
          <w:rFonts w:cs="Times New Roman" w:ascii="Times New Roman" w:hAnsi="Times New Roman"/>
          <w:lang w:val="de-DE"/>
        </w:rPr>
        <w:t>sei ein Schelmenroman, kann freilich nicht den Bedingungen eines Verstehens genügen, das der aktualisierten Funktion ihrer formellen Eigenschaften Rechnung trägt. Sie öffnet nur den Raum, in dem sich unser Verstehen bewegen soll. Diese Bewegung führt uns über die Grenzen einer einfachen Feststellung der poetologischen Beschaffenheit des Werkes hinaus, damit sich unser Blick auf seine zeitgemäße Aufgabe erweitern kann.</w:t>
      </w:r>
    </w:p>
    <w:p>
      <w:pPr>
        <w:pStyle w:val="Standard"/>
        <w:spacing w:lineRule="auto" w:line="360"/>
        <w:rPr>
          <w:rFonts w:ascii="Times New Roman" w:hAnsi="Times New Roman" w:cs="Times New Roman"/>
          <w:lang w:val="de-DE"/>
        </w:rPr>
      </w:pPr>
      <w:r>
        <w:rPr>
          <w:rFonts w:cs="Times New Roman" w:ascii="Times New Roman" w:hAnsi="Times New Roman"/>
          <w:lang w:val="de-DE"/>
        </w:rPr>
        <w:t>Es ist also notwendig, sich auf einen Traditionsbegriff zu beziehen, der die literarische Tradition zwar als eine Wiederkehr des Immergleichen auffasst, allerdings kann diese Wiederkehr keine bloße Nachahmung dessen sein, was schon gewesen ist. Auf eine bekannte Formel Nietzsches zurückgreifend können wir behaupten, dass etwas, das zurückkommt, nicht mehr dasselbe sein kann, das es einmal war. Im Verlauf der Zeit ist es freilich anders geworden. Diese Andersartigkeit hängt allerdings nicht nur mit der Veränderung der formellen Beschaffenheit zusammen, die es auszeichnet. Vielmehr werden die Divergenzen vom Blick, vom Empfinden und von der Intention derjenigen bedingt, die die tradierten Muster wieder aufnehmen bzw. auf ihre Weise erfahren.</w:t>
      </w:r>
      <w:r>
        <w:rPr>
          <w:rStyle w:val="Richiamoallanotaapidipagina"/>
          <w:rFonts w:cs="Times New Roman" w:ascii="Times New Roman" w:hAnsi="Times New Roman"/>
        </w:rPr>
        <w:footnoteReference w:id="8"/>
      </w:r>
      <w:r>
        <w:rPr>
          <w:rStyle w:val="AbsatzStandardschriftart"/>
          <w:rFonts w:cs="Times New Roman" w:ascii="Times New Roman" w:hAnsi="Times New Roman"/>
          <w:color w:val="000000"/>
          <w:lang w:val="de-DE"/>
        </w:rPr>
        <w:t xml:space="preserve"> </w:t>
      </w:r>
      <w:r>
        <w:rPr>
          <w:rFonts w:cs="Times New Roman" w:ascii="Times New Roman" w:hAnsi="Times New Roman"/>
          <w:lang w:val="de-DE"/>
        </w:rPr>
        <w:t>Was sich in der literarischen Tradition ändert, ist also prinzipiell der Blickwinkel und das Bewusstsein derjenigen, die der formellen Eigenart des Werkes begegnen und die sich mit dem Werk aus der Distanz einer unzeitgemäßen Form auseinandersetzen.</w:t>
      </w:r>
    </w:p>
    <w:p>
      <w:pPr>
        <w:pStyle w:val="Standard"/>
        <w:spacing w:lineRule="auto" w:line="360"/>
        <w:rPr>
          <w:rFonts w:ascii="Times New Roman" w:hAnsi="Times New Roman" w:cs="Times New Roman"/>
          <w:lang w:val="de-DE"/>
        </w:rPr>
      </w:pPr>
      <w:r>
        <w:rPr>
          <w:rFonts w:cs="Times New Roman" w:ascii="Times New Roman" w:hAnsi="Times New Roman"/>
          <w:lang w:val="de-DE"/>
        </w:rPr>
        <w:t>Von diesem Traditionsbegriff ausgehend können wir die hermeneutische Frage auf diese Weise formulieren: Welche Funktion üben die Poetik und die Ästhetik einer im Barock entstandenen Romangattung aus, wenn diese sich mit einem zeitgeschichtlichen Stoff befasst? Da das Neue der tradierten Muster vor allem vor dem Blick der zeitgenössischen Leser entsteht, können wir diese Frage auch auf folgende Weise formulieren: Welche neuen Perspektiven auf die Zeitgeschichte kann gerade das Erzählmuster des Schelmenromans erschließen, die anderen Erzählformen verschlossen bleiben? Infrage kommt also die Rezeption der Leser, welche sich anhand von ihnen fremden Erzählmustern mit der Aufarbeitung der jüngsten deutschen Geschichte beschäftigen müssen.</w:t>
      </w:r>
    </w:p>
    <w:p>
      <w:pPr>
        <w:pStyle w:val="Standard"/>
        <w:spacing w:lineRule="auto" w:line="360"/>
        <w:rPr>
          <w:rFonts w:ascii="Times New Roman" w:hAnsi="Times New Roman" w:cs="Times New Roman"/>
          <w:lang w:val="de-DE"/>
        </w:rPr>
      </w:pPr>
      <w:r>
        <w:rPr>
          <w:rFonts w:cs="Times New Roman" w:ascii="Times New Roman" w:hAnsi="Times New Roman"/>
          <w:lang w:val="de-DE"/>
        </w:rPr>
        <w:t xml:space="preserve">Um eine Antwort auf diese auf die Rezeption abzielenden Fragen zu erhalten, sollten wir zunächst auf einen der nicht häufigen Beiträge der Sekundärliteratur zur </w:t>
      </w:r>
      <w:r>
        <w:rPr>
          <w:rStyle w:val="AbsatzStandardschriftart"/>
          <w:rFonts w:cs="Times New Roman" w:ascii="Times New Roman" w:hAnsi="Times New Roman"/>
          <w:i/>
          <w:iCs/>
          <w:lang w:val="de-DE"/>
        </w:rPr>
        <w:t xml:space="preserve">Blechtrommel </w:t>
      </w:r>
      <w:r>
        <w:rPr>
          <w:rFonts w:cs="Times New Roman" w:ascii="Times New Roman" w:hAnsi="Times New Roman"/>
          <w:lang w:val="de-DE"/>
        </w:rPr>
        <w:t xml:space="preserve">zurückgreifen, die sich auf einen wirkungsäthetischen Ansatz beziehen. Es handelt sich um Georg Justs Monographie </w:t>
      </w:r>
      <w:r>
        <w:rPr>
          <w:rStyle w:val="AbsatzStandardschriftart"/>
          <w:rFonts w:cs="Times New Roman" w:ascii="Times New Roman" w:hAnsi="Times New Roman"/>
          <w:i/>
          <w:iCs/>
          <w:lang w:val="de-DE"/>
        </w:rPr>
        <w:t>Darstellung und Appell in der Blechtrommel von Günter Grass</w:t>
      </w:r>
      <w:r>
        <w:rPr>
          <w:rFonts w:cs="Times New Roman" w:ascii="Times New Roman" w:hAnsi="Times New Roman"/>
          <w:lang w:val="de-DE"/>
        </w:rPr>
        <w:t xml:space="preserve">, 1972 erschienen. Dank dieses Ansatzes können wir unsere Aufmerksamkeit nicht ausschließlich auf den Schelmenroman als Träger eines objektivierbaren Stoffes richten, sondern auch auf seine kommunikative bzw. provozierende Funktion. </w:t>
      </w:r>
      <w:r>
        <w:rPr>
          <w:rStyle w:val="AbsatzStandardschriftart"/>
          <w:rFonts w:cs="Times New Roman" w:ascii="Times New Roman" w:hAnsi="Times New Roman"/>
          <w:shd w:fill="FFFFFF" w:val="clear"/>
          <w:lang w:val="de-DE"/>
        </w:rPr>
        <w:t>Die in diesem Sinne schlüssige Frage ist also nicht, wie der schelmische Held ist oder was er tut</w:t>
      </w:r>
      <w:r>
        <w:rPr>
          <w:rFonts w:cs="Times New Roman" w:ascii="Times New Roman" w:hAnsi="Times New Roman"/>
          <w:shd w:fill="FFFFFF" w:val="clear"/>
          <w:lang w:val="de-DE"/>
        </w:rPr>
        <w:t xml:space="preserve">, </w:t>
      </w:r>
      <w:r>
        <w:rPr>
          <w:rFonts w:cs="Times New Roman" w:ascii="Times New Roman" w:hAnsi="Times New Roman"/>
          <w:lang w:val="de-DE"/>
        </w:rPr>
        <w:t>sondern wie seine Charakterisierung auf den Leser wirkt und welche Reaktionen sie beim Leser hervorrufen. Die provokative bzw. appellative Dimension des Romans drückt sich vor allem dadurch aus, dass ein politisch und moralisch aufgeladener zeitgeschichtlicher Stoff von einem naiven Erzähler wiedergegeben wird, der überhaupt keine ideologischen und ethischen Vorstellungen an den Tag legt und daher keine Stellung zu dem Thema bezieht. Die grundsätzliche Provokation des Schelms besteht also darin, dass wir gerade durch seine Naivität nicht in der Lage sind, dessen Willen zu erkennen oder seinen Worten und Taten einen Sinn zu entnehmen. Denn das, was diese Unwissenheit beim Lesen verursacht, ist nicht prinzipiell Argwohn gegenüber der Glaubwürdigkeit der dargestellten Zeitgeschichte, sondern eine moralische und ideologische Ablehnung seiner Indifferenz gegenüber den Schrecken der Nazizeit. So können wir behaupten, nicht das, was dargeboten wird – z.B. wie eine kleinbürgerliche Familie während und nach der Nazizeit lebt und denkt – sei kommunikativ aussagekräftig, sondern die Art der Darstellung, die durch die naive amoralische und unideologische Perspektive des Schelms inszeniert wird. Oskar als Erzähler ist zu verspielt und zu absurd, damit der Leser eine Bestätigung seiner Vorstellungen bekommt, wie eine Darstellung der tragischen Zeitgeschichte sein sollte.</w:t>
      </w:r>
    </w:p>
    <w:p>
      <w:pPr>
        <w:pStyle w:val="Standard"/>
        <w:spacing w:lineRule="auto" w:line="360"/>
        <w:rPr>
          <w:rFonts w:ascii="Times New Roman" w:hAnsi="Times New Roman" w:cs="Times New Roman"/>
          <w:lang w:val="de-DE"/>
        </w:rPr>
      </w:pPr>
      <w:r>
        <w:rPr>
          <w:rFonts w:cs="Times New Roman" w:ascii="Times New Roman" w:hAnsi="Times New Roman"/>
          <w:lang w:val="de-DE"/>
        </w:rPr>
        <w:t>Die närrische Naivität der Provokation kann insofern nicht einmal an die Bildung einer Gegenvorstellung des Lesers appellieren, weil eben darin keine Meinung zu erkennen ist. Oskar, der schelmische Held, ist zu launisch, verspielt und unbeständig, um ihn auf eine mehr oder weniger einheitliche Position zurückführen zu können. So ist es sehr problematisch, ihn als positiven Helden zu betrachten, der gegen das Naziregime Wiederstand leistet und für eine gerechte Welt kämpft. Genauso unangemessen ist es aber auch, ihn für einen Inbegriff des Bösen zu halten, der das Naziregime repräsentiert. Wie problematisch es ist, in ihm eine beispielhafte bzw. satirische Funktion zu erkennen, zeigt sich exemplarisch in dem Gegenstand, den er lange Zeit bei sich trägt und dem der Romantitel gewidmet ist: in der Trommel. In der Sekundärliteratur, welche auf ihrem Denotationscharakter bestand und darin eine feste Bedeutung suchte, wurde ihre Zweideutigkeit einfach reproduziert, nicht aufgehoben. Auf der einen Seite sah man in ihren Farben Weiß und Rot einen Bezug zur polnischen Fahne und brachte das rabiate Trommeln Oskars gleichnishaft mit Hitlers Polenfeldzug in Zusammenhang, der zum Zweiten Weltkrieg führte. Auf der anderen Seite hat die Sekundärliteratur Oskars Trommeln als Zeichen seines Widerstandes gegen das Naziregime gedeutet.</w:t>
      </w:r>
    </w:p>
    <w:p>
      <w:pPr>
        <w:pStyle w:val="Standard"/>
        <w:spacing w:lineRule="auto" w:line="360"/>
        <w:rPr>
          <w:rFonts w:ascii="Times New Roman" w:hAnsi="Times New Roman" w:cs="Times New Roman"/>
          <w:lang w:val="de-DE"/>
        </w:rPr>
      </w:pPr>
      <w:r>
        <w:rPr>
          <w:rFonts w:cs="Times New Roman" w:ascii="Times New Roman" w:hAnsi="Times New Roman"/>
          <w:lang w:val="de-DE"/>
        </w:rPr>
        <w:t>Eine zweideutige Symbolik, die keinen eindeutigen Bedeutungsträger erkennen lässt, ist nicht einfach gar keine Symbolik, sie präsentiert sich vielmehr als die Negierung der Möglichkeit einer Symbolik. Denn sie lässt zwar die Erwartung entstehen, in dem Gegenstand sei eine in einer materiellen Form versteckte Bedeutung anwesend, die erkannt werden muss. Dieses Erkennen wird aber dadurch erschwert, dass es mehrere sich widersprechende Möglichkeiten gibt, den Gegenstand zu deuten. Das manieristische Spiel mit einem Überschuss an Bedeutung lässt sich nicht auf das Symbolische, sondern auf die barocke Allegorese zurückführen. Anstatt uns um die im Bild versteckte Mitteilung zu bemühen, die entziffert werden soll, sind wir aufgefordert, uns der unergründlichen Verschlossenheit des Sinnes zu stellen. Wir dürfen uns nicht in der Ordnung einer sicheren Erkenntnis denken, sondern wir sollen die schwierige Aufgabe übernehmen, uns mit dem Chaos der dargestellten Welt auseinanderzusetzen.</w:t>
      </w:r>
    </w:p>
    <w:p>
      <w:pPr>
        <w:pStyle w:val="Standard"/>
        <w:spacing w:lineRule="auto" w:line="360"/>
        <w:rPr>
          <w:rFonts w:ascii="Times New Roman" w:hAnsi="Times New Roman" w:cs="Times New Roman"/>
          <w:lang w:val="de-DE"/>
        </w:rPr>
      </w:pPr>
      <w:r>
        <w:rPr>
          <w:rFonts w:cs="Times New Roman" w:ascii="Times New Roman" w:hAnsi="Times New Roman"/>
          <w:lang w:val="de-DE"/>
        </w:rPr>
        <w:t xml:space="preserve">Die bevorzugte Art, wodurch in der </w:t>
      </w:r>
      <w:r>
        <w:rPr>
          <w:rStyle w:val="AbsatzStandardschriftart"/>
          <w:rFonts w:cs="Times New Roman" w:ascii="Times New Roman" w:hAnsi="Times New Roman"/>
          <w:i/>
          <w:iCs/>
          <w:lang w:val="de-DE"/>
        </w:rPr>
        <w:t>Blechtrommel</w:t>
      </w:r>
      <w:r>
        <w:rPr>
          <w:rFonts w:cs="Times New Roman" w:ascii="Times New Roman" w:hAnsi="Times New Roman"/>
          <w:lang w:val="de-DE"/>
        </w:rPr>
        <w:t xml:space="preserve"> eine scheinbar ernsthaft organisierte Ordnung als täuschende Inszenierung, d.h. als verstecktes Chaos demaskiert wird, besteht in einer Art </w:t>
      </w:r>
      <w:r>
        <w:rPr>
          <w:rFonts w:eastAsia="Times New Roman" w:cs="Times New Roman" w:ascii="Times New Roman" w:hAnsi="Times New Roman"/>
          <w:lang w:val="de-DE" w:eastAsia="it-IT"/>
        </w:rPr>
        <w:t>«</w:t>
      </w:r>
      <w:r>
        <w:rPr>
          <w:rFonts w:cs="Times New Roman" w:ascii="Times New Roman" w:hAnsi="Times New Roman"/>
          <w:lang w:val="de-DE"/>
        </w:rPr>
        <w:t>karnevalistischer</w:t>
      </w:r>
      <w:r>
        <w:rPr>
          <w:rFonts w:eastAsia="Times New Roman" w:cs="Times New Roman" w:ascii="Times New Roman" w:hAnsi="Times New Roman"/>
          <w:lang w:val="de-DE" w:eastAsia="it-IT"/>
        </w:rPr>
        <w:t>»</w:t>
      </w:r>
      <w:r>
        <w:rPr>
          <w:rFonts w:cs="Times New Roman" w:ascii="Times New Roman" w:hAnsi="Times New Roman"/>
          <w:lang w:val="de-DE"/>
        </w:rPr>
        <w:t xml:space="preserve"> Darstellung von historischen Ereignissen. Das, was als wichtig und würdig gilt, wird dadurch in eine heitere und groteske Erscheinung verzerrt. Im Kapitel </w:t>
      </w:r>
      <w:r>
        <w:rPr>
          <w:rStyle w:val="AbsatzStandardschriftart"/>
          <w:rFonts w:cs="Times New Roman" w:ascii="Times New Roman" w:hAnsi="Times New Roman"/>
          <w:i/>
          <w:iCs/>
          <w:lang w:val="de-DE"/>
        </w:rPr>
        <w:t>Die Tribüne</w:t>
      </w:r>
      <w:r>
        <w:rPr>
          <w:rFonts w:cs="Times New Roman" w:ascii="Times New Roman" w:hAnsi="Times New Roman"/>
          <w:lang w:val="de-DE"/>
        </w:rPr>
        <w:t xml:space="preserve"> kommt das sehr deutlich zum Ausdruck: Ein feierlicher Nazi-Aufmarsch verwandelt sich durch Oskars Trommeln in eine riesige Charleston-Tanzparty, welche die unheilschwangere Ernsthaftigkeit der Veranstaltung konterkariert. Die düsteren Gesichter der Nazis, die mit Massendemonstrationen Hitlers Machtergreifung vorbereiten, verwandeln sich in heitere Mienen, und sogar die strengsten Hierarchen des Regimes stellen ein clowneskes Äußeres zur Schau. Ein Regime, das die ganze Welt erobern will und nach tausendjähriger Herrschaft strebt, zeigt das Bild einer lächerlichen trivialen Inszenierung.</w:t>
      </w:r>
    </w:p>
    <w:p>
      <w:pPr>
        <w:pStyle w:val="Standard"/>
        <w:spacing w:lineRule="auto" w:line="360"/>
        <w:rPr>
          <w:rFonts w:ascii="Times New Roman" w:hAnsi="Times New Roman" w:cs="Times New Roman"/>
          <w:lang w:val="de-DE"/>
        </w:rPr>
      </w:pPr>
      <w:r>
        <w:rPr>
          <w:rFonts w:cs="Times New Roman" w:ascii="Times New Roman" w:hAnsi="Times New Roman"/>
          <w:lang w:val="de-DE"/>
        </w:rPr>
        <w:t xml:space="preserve">Betrachten wir die Wirkung dieser Karnevalisierung auf den Leser, so ist ein fragwürdiger heikler Aspekt nicht zu übersehen. Denn der Erzähler Oskar Matzerath beschränkt sich nicht einfach darauf, dem Leser zu einer Erkenntnis zu verhelfen, die ihn im Bereich seiner kognitiven Fähigkeiten herausfordert. Er zielt obendrein darauf ab, ihn auf einer ethisch-moralischen Ebene zu provozieren. Denn der karnevalistische Scherz ist überhaupt nicht harmlos, wenn er mit der Nazi- bzw. mit der schwierigen deutschen Geschichte getrieben wird. Noch unheimlicher wirkt er, wenn man dadurch Witze mit tragischen blutigen Kriegsereignissen macht, wie es im Kapitel </w:t>
      </w:r>
      <w:r>
        <w:rPr>
          <w:rStyle w:val="AbsatzStandardschriftart"/>
          <w:rFonts w:cs="Times New Roman" w:ascii="Times New Roman" w:hAnsi="Times New Roman"/>
          <w:i/>
          <w:iCs/>
          <w:lang w:val="de-DE"/>
        </w:rPr>
        <w:t xml:space="preserve">Die Polnische Post </w:t>
      </w:r>
      <w:r>
        <w:rPr>
          <w:rFonts w:cs="Times New Roman" w:ascii="Times New Roman" w:hAnsi="Times New Roman"/>
          <w:lang w:val="de-DE"/>
        </w:rPr>
        <w:t xml:space="preserve">der Fall ist. Denn der Spaß mit den Gräueln der deutschen Geschichte widerspricht der ethischen Erwartung, wonach der Erzähler das Leiden mitfühlt, von dem er berichtet. Dieses Kapitel findet eine unübersehbare Entsprechung in der Darstellung der Schlacht bei Wittstock im </w:t>
      </w:r>
      <w:r>
        <w:rPr>
          <w:rStyle w:val="AbsatzStandardschriftart"/>
          <w:rFonts w:cs="Times New Roman" w:ascii="Times New Roman" w:hAnsi="Times New Roman"/>
          <w:i/>
          <w:iCs/>
          <w:lang w:val="de-DE"/>
        </w:rPr>
        <w:t xml:space="preserve">Abentheurlichen Simplicissimus Teutsch </w:t>
      </w:r>
      <w:r>
        <w:rPr>
          <w:rFonts w:cs="Times New Roman" w:ascii="Times New Roman" w:hAnsi="Times New Roman"/>
          <w:lang w:val="de-DE"/>
        </w:rPr>
        <w:t>Hans Jakob Christoph von Grimmelshausens. In beiden Fällen verwandelt sich das Komische des Grauens in das Grauen des Komischen.</w:t>
      </w:r>
    </w:p>
    <w:p>
      <w:pPr>
        <w:pStyle w:val="Standard"/>
        <w:spacing w:lineRule="auto" w:line="360"/>
        <w:rPr>
          <w:rFonts w:ascii="Times New Roman" w:hAnsi="Times New Roman" w:cs="Times New Roman"/>
          <w:lang w:val="de-DE"/>
        </w:rPr>
      </w:pPr>
      <w:r>
        <w:rPr>
          <w:rFonts w:cs="Times New Roman" w:ascii="Times New Roman" w:hAnsi="Times New Roman"/>
          <w:lang w:val="de-DE"/>
        </w:rPr>
        <w:t xml:space="preserve">Die Beschreibung der Schlacht in Grimmelshausens Schelmenroman liefert allerlei grauenhafte Einzelheiten, ohne dass uns der Erzähler ein Zeichen seiner menschlichen Anteilnahme gibt. Er verzichtet nicht einmal auf die scherzhafte und manieristisch geistreiche Erzählweise, die eine karnevalistische Umkehrung der gewöhnlichen Verhältnisse bedingt. So erfährt der Leser, dass die Kavaliere nicht auf den Pferden sitzen, sondern dass die Pferde auf den Kavalieren liegen; auch bedeckt die Erde nicht wie üblich die Toten, sondern die Toten bedecken die Erde; weiter befinden sich Köpfe an Stellen, wo keine Toten sind, und umgekehrt liegen Tote dort, wo keine Köpfe sind. Dieses Spiel wird geradezu ausschweifend getrieben und der Leser kommt nicht umhin, sich von dieser unheimlichen Gleichzeitigkeit spaßiger Darstellung und grausiger Wirklichkeit gestört zu fühlen. Hat diese Provokation im Rahmen der barocken Poetik u. a. die Funktion, beim Leser die Angst vor dem Tode zu beschwören, indem sie in einer spielerischen, schlauen und geistreichen dramatischen Inszenierung ausgemalt wird, so wirkt sie in </w:t>
      </w:r>
      <w:r>
        <w:rPr>
          <w:rStyle w:val="AbsatzStandardschriftart"/>
          <w:rFonts w:cs="Times New Roman" w:ascii="Times New Roman" w:hAnsi="Times New Roman"/>
          <w:iCs/>
          <w:lang w:val="de-DE"/>
        </w:rPr>
        <w:t>der</w:t>
      </w:r>
      <w:r>
        <w:rPr>
          <w:rStyle w:val="AbsatzStandardschriftart"/>
          <w:rFonts w:cs="Times New Roman" w:ascii="Times New Roman" w:hAnsi="Times New Roman"/>
          <w:i/>
          <w:iCs/>
          <w:lang w:val="de-DE"/>
        </w:rPr>
        <w:t xml:space="preserve"> Blechtrommel</w:t>
      </w:r>
      <w:r>
        <w:rPr>
          <w:rFonts w:cs="Times New Roman" w:ascii="Times New Roman" w:hAnsi="Times New Roman"/>
          <w:lang w:val="de-DE"/>
        </w:rPr>
        <w:t xml:space="preserve"> auf eine eigentümlich aktualisierte Weise.</w:t>
      </w:r>
    </w:p>
    <w:p>
      <w:pPr>
        <w:pStyle w:val="Standard"/>
        <w:spacing w:lineRule="auto" w:line="360"/>
        <w:rPr>
          <w:rFonts w:ascii="Times New Roman" w:hAnsi="Times New Roman" w:cs="Times New Roman"/>
          <w:lang w:val="de-DE"/>
        </w:rPr>
      </w:pPr>
      <w:r>
        <w:rPr>
          <w:rFonts w:cs="Times New Roman" w:ascii="Times New Roman" w:hAnsi="Times New Roman"/>
          <w:lang w:val="de-DE"/>
        </w:rPr>
        <w:t xml:space="preserve">Wir finden in der </w:t>
      </w:r>
      <w:r>
        <w:rPr>
          <w:rStyle w:val="AbsatzStandardschriftart"/>
          <w:rFonts w:cs="Times New Roman" w:ascii="Times New Roman" w:hAnsi="Times New Roman"/>
          <w:i/>
          <w:iCs/>
          <w:lang w:val="de-DE"/>
        </w:rPr>
        <w:t>Blechtrommel</w:t>
      </w:r>
      <w:r>
        <w:rPr>
          <w:rFonts w:cs="Times New Roman" w:ascii="Times New Roman" w:hAnsi="Times New Roman"/>
          <w:lang w:val="de-DE"/>
        </w:rPr>
        <w:t xml:space="preserve"> im schon erwähnten Kapitel </w:t>
      </w:r>
      <w:r>
        <w:rPr>
          <w:rStyle w:val="AbsatzStandardschriftart"/>
          <w:rFonts w:cs="Times New Roman" w:ascii="Times New Roman" w:hAnsi="Times New Roman"/>
          <w:i/>
          <w:iCs/>
          <w:lang w:val="de-DE"/>
        </w:rPr>
        <w:t xml:space="preserve">Die Polnische Post </w:t>
      </w:r>
      <w:r>
        <w:rPr>
          <w:rFonts w:cs="Times New Roman" w:ascii="Times New Roman" w:hAnsi="Times New Roman"/>
          <w:lang w:val="de-DE"/>
        </w:rPr>
        <w:t>eine ähnliche Art, mit dem Entsetzen über blutige Kriegsereignisse Scherze zu treiben. In diesem Kapitel wird der brutale Überfall der Deutschen auf die Danziger Post dargestellt. Während Hitlers Truppen das Postgebäude mit massiver Gewalt angreifen, hat Oskar nur ein Ziel: seine Trommel in Sicherheit zu bringen. Völlig auf diesen Gedanken konzentriert, übersieht er die leidvoll Sterbenden und die Toten, die um ihn herum liegen. Mit derselben blinden gruseligen Naivität berichtet Oskar provizierend nur von Marginalien und Bagatellen. Insofern legt Oskar eine Perspektive an den Tag, die jener des Simplicius’ sehr ähnlich ist, denn seine eigenwilligen närrischen Reflexionen erinnern an dessen Art, grausame Geschehnisse zu kommentieren. So ist Oskar z.B. um die herumliegende Briefpost besorgt, die vom Blut der Verletzten und Sterbenden verschmiert wird; er freut sich, weil die Gören nach Warschau deportiert wurden, weil ihm dadurch die Begegnung mit Gleichaltrigen erspart wird; oder er bedauert, dass Onkel Jan nicht vorzeigbar ist, weil dieser vor Angst völlig außer sich ist. Man könnte beliebig mit solchen Beispielen fortfahren. Aufgrund seiner grauenerregend blinden Ahnungslosigkeit kann Oskar sogar ein makabres Kartenspiel mit sterbenden und toten Postangestellten inszenieren. Sicher kann seine Naivität genau wie jene des Simplicius lustig wirken, weil die von ihr bedingte Unterlassung ein sicheres Mittel der Komik volkstümlicher Prägung ist. Dennoch kippt die Komik des Schrecklichen bald in das Schreckliche des Komischen, weil der Leser anders als der Schelm die Möglichkeit hat, nicht nur all das Grauen des Dargestellten, sondern auch jenes der Art von dessen Darstellung zu empfinden.</w:t>
      </w:r>
    </w:p>
    <w:p>
      <w:pPr>
        <w:pStyle w:val="Standard"/>
        <w:spacing w:lineRule="auto" w:line="360"/>
        <w:rPr>
          <w:rFonts w:ascii="Times New Roman" w:hAnsi="Times New Roman" w:cs="Times New Roman"/>
          <w:lang w:val="de-DE"/>
        </w:rPr>
      </w:pPr>
      <w:r>
        <w:rPr>
          <w:rFonts w:cs="Times New Roman" w:ascii="Times New Roman" w:hAnsi="Times New Roman"/>
          <w:lang w:val="de-DE"/>
        </w:rPr>
        <w:t>In diesem poetologischen Kontext, bei dem sich der Schelm erlauben kann, was ethisch verwerflich ist, kann er sicherlich keine Instanz sein, der man Vertrauen schenkt. Im Gegenteil: Seine naive Unwissenheit um die menschlichen Werte ethischer Natur appelliert an den Leser, sich mit allem auseinanderzusetzen, was von ihm kommt. Sogar mit gesellschaftlich relevanten und vertretbaren Aussagen Oskars muss der Leser kritisch umgehen, denn sie werden durch die närrischen und einfältigen Darstellungsformen unterminiert, die die Abenteuer des Schelms schildern. So lässt die dem Bewusstsein des Lesers entfernte naive Perspektive weder eine kritische noch eine affirmative Position erkennen. Jede Möglichkeit der Konkretisierung einer Aussage verschwindet in manieristischen Erzählerreden, welche Unzusammenhängendes sowie Wichtiges und Unwichtiges in labyrinthischen Ausschweifungen aneinanderreihen.</w:t>
      </w:r>
    </w:p>
    <w:p>
      <w:pPr>
        <w:pStyle w:val="Standard"/>
        <w:spacing w:lineRule="auto" w:line="360"/>
        <w:rPr>
          <w:rFonts w:ascii="Times New Roman" w:hAnsi="Times New Roman" w:cs="Times New Roman"/>
          <w:lang w:val="de-DE"/>
        </w:rPr>
      </w:pPr>
      <w:r>
        <w:rPr>
          <w:rFonts w:cs="Times New Roman" w:ascii="Times New Roman" w:hAnsi="Times New Roman"/>
          <w:lang w:val="de-DE"/>
        </w:rPr>
        <w:t>Wenn wir aber diese unseren moralischen Vorstellungen widersprechende Perspektivierung als Appell aufnehmen, uns mit der chaotischen, absurden zeitgeschichtlichen Darstellung auseinanderzusetzen und unser Wissen ebenso wie unser ethisches Bewusstsein zu aktivieren, dann besteht die Chance, sogar ideologische Relevanz im schelmischen Spiel mit dem Schrecken zu erkennen. Die Naivität des Schelmen wirkt in einer eigentümlichen Weise auf den Leser, indem er gezwungen wird, sich selbst das zu veranschaulichen und</w:t>
      </w:r>
      <w:r>
        <w:rPr>
          <w:rStyle w:val="AbsatzStandardschriftart"/>
          <w:rFonts w:cs="Times New Roman" w:ascii="Times New Roman" w:hAnsi="Times New Roman"/>
          <w:color w:val="000000"/>
          <w:lang w:val="de-DE"/>
        </w:rPr>
        <w:t xml:space="preserve"> darüber nachzudenken,</w:t>
      </w:r>
      <w:r>
        <w:rPr>
          <w:rFonts w:cs="Times New Roman" w:ascii="Times New Roman" w:hAnsi="Times New Roman"/>
          <w:lang w:val="de-DE"/>
        </w:rPr>
        <w:t xml:space="preserve"> was der Schelm in seiner Unwissenheit nicht sehen und verstehen kann. Er muss also das leisten, was der Held in seinem beschränkten Blickwinkel nicht leisten kann: das Geschehen in seinen historischen Kontext einzubetten.</w:t>
      </w:r>
    </w:p>
    <w:p>
      <w:pPr>
        <w:pStyle w:val="Standard"/>
        <w:spacing w:lineRule="auto" w:line="360"/>
        <w:rPr>
          <w:rFonts w:ascii="Times New Roman" w:hAnsi="Times New Roman" w:cs="Times New Roman"/>
          <w:lang w:val="de-DE"/>
        </w:rPr>
      </w:pPr>
      <w:r>
        <w:rPr>
          <w:rStyle w:val="AbsatzStandardschriftart"/>
          <w:rFonts w:cs="Times New Roman" w:ascii="Times New Roman" w:hAnsi="Times New Roman"/>
          <w:color w:val="000000"/>
          <w:lang w:val="de-DE"/>
        </w:rPr>
        <w:t>Diese von einer manieristischen Barockpoetik erzeugte Wirkung</w:t>
      </w:r>
      <w:r>
        <w:rPr>
          <w:rFonts w:cs="Times New Roman" w:ascii="Times New Roman" w:hAnsi="Times New Roman"/>
          <w:lang w:val="de-DE"/>
        </w:rPr>
        <w:t xml:space="preserve"> führt aber nicht zu einer einfachen Abrufung von geschichtlichem Wissen, das in seinem Gedächtnis ruht. Die naive Perspektive des Schelmen wirkt auf den Leser in gewisser Weise belehrend: Er macht dadurch die Erfahrung, wie die großen Ereignisse auch eine kleine bagatellhafte menschliche Dimension haben. Die überraschende Blindheit für das Schreckliche lässt das Banale der tragischen Ereignisse durchschauen, d.h. ihre Einbettung im Alltag und daher ihre Nähe zu belanglosen Angelegenheiten und kleinen Sorgen. So widerspricht die vom Schelmen dargestellte Wirlichkeit dem, was der kleinbürgerliche Mief garantiert: Ruhe, Sicherheit und Geborgenheit. Diese absurde geschichtliche Darstellung Oskars kommt beim Leser als eine destabilisierende Erfahrung an: als eine verblüffende, ja unheimliche Gleichzeitigkeit von kleinen und großen Ereignissen, von ruhigem Leben und tragischen Schicksalen, von kleinen unbedeutenden Sorgen und extremen Angstzuständen.</w:t>
      </w:r>
    </w:p>
    <w:p>
      <w:pPr>
        <w:pStyle w:val="Standard"/>
        <w:spacing w:lineRule="auto" w:line="360"/>
        <w:rPr>
          <w:rFonts w:ascii="Times New Roman" w:hAnsi="Times New Roman" w:cs="Times New Roman"/>
          <w:lang w:val="de-DE"/>
        </w:rPr>
      </w:pPr>
      <w:r>
        <w:rPr>
          <w:rFonts w:cs="Times New Roman" w:ascii="Times New Roman" w:hAnsi="Times New Roman"/>
          <w:lang w:val="de-DE"/>
        </w:rPr>
        <w:t xml:space="preserve">Soziologisch betrachtet wird die Perspektive des Schelms für den Leser dadurch ein Gewinn, dass er sich der Rolle des Kleinbürgerlichen im Naziregime bewusster werden kann. Günter Grass hat selbst darauf hingewiesen, dass es ihm in der </w:t>
      </w:r>
      <w:r>
        <w:rPr>
          <w:rStyle w:val="AbsatzStandardschriftart"/>
          <w:rFonts w:cs="Times New Roman" w:ascii="Times New Roman" w:hAnsi="Times New Roman"/>
          <w:i/>
          <w:iCs/>
          <w:lang w:val="de-DE"/>
        </w:rPr>
        <w:t>Blechtrommel</w:t>
      </w:r>
      <w:r>
        <w:rPr>
          <w:rFonts w:cs="Times New Roman" w:ascii="Times New Roman" w:hAnsi="Times New Roman"/>
          <w:lang w:val="de-DE"/>
        </w:rPr>
        <w:t xml:space="preserve"> darum ging, auf den Bezug zwischen der kleinbürgerlichen Welt und dem Naziregime hinzudeuten.</w:t>
      </w:r>
      <w:r>
        <w:rPr>
          <w:rStyle w:val="Richiamoallanotaapidipagina"/>
          <w:rFonts w:cs="Times New Roman" w:ascii="Times New Roman" w:hAnsi="Times New Roman"/>
        </w:rPr>
        <w:footnoteReference w:id="9"/>
      </w:r>
      <w:r>
        <w:rPr>
          <w:rFonts w:cs="Times New Roman" w:ascii="Times New Roman" w:hAnsi="Times New Roman"/>
          <w:lang w:val="de-DE"/>
        </w:rPr>
        <w:t xml:space="preserve"> Die ernste tragische Wirklichkeit der Nazizeit wird nicht aus einer Perspektive betrachtet,</w:t>
      </w:r>
      <w:r>
        <w:rPr>
          <w:rFonts w:cs="Times New Roman" w:ascii="Times New Roman" w:hAnsi="Times New Roman"/>
          <w:shd w:fill="FFFFFF" w:val="clear"/>
          <w:lang w:val="de-DE"/>
        </w:rPr>
        <w:t xml:space="preserve"> </w:t>
      </w:r>
      <w:r>
        <w:rPr>
          <w:rStyle w:val="AbsatzStandardschriftart"/>
          <w:rFonts w:cs="Times New Roman" w:ascii="Times New Roman" w:hAnsi="Times New Roman"/>
          <w:shd w:fill="FFFFFF" w:val="clear"/>
          <w:lang w:val="de-DE"/>
        </w:rPr>
        <w:t>in der die Bösen stets die Herrschenden und Großen sind.</w:t>
      </w:r>
      <w:r>
        <w:rPr>
          <w:rFonts w:cs="Times New Roman" w:ascii="Times New Roman" w:hAnsi="Times New Roman"/>
          <w:shd w:fill="FFFFFF" w:val="clear"/>
          <w:lang w:val="de-DE"/>
        </w:rPr>
        <w:t xml:space="preserve"> </w:t>
      </w:r>
      <w:r>
        <w:rPr>
          <w:rFonts w:cs="Times New Roman" w:ascii="Times New Roman" w:hAnsi="Times New Roman"/>
          <w:lang w:val="de-DE"/>
        </w:rPr>
        <w:t xml:space="preserve">Das dämonische Böse gehört auch der kleinen alltäglichen Welt an, dem kleinbürgerlichen Raum. Dank diesem nicht freisprechenden Urteil über die kleinen Leute in Bezug auf ihre Verstrickungen in die Nazi-Diktatur werden die Weichen für das Bewusstsein der 1960er Jahre gestellt und auch Menschen für Verbrechen zur Rechenschaft gezogen, die als kleine Rädchen im Getriebe des Naziregimes fungierten. Die </w:t>
      </w:r>
      <w:r>
        <w:rPr>
          <w:rStyle w:val="AbsatzStandardschriftart"/>
          <w:rFonts w:cs="Times New Roman" w:ascii="Times New Roman" w:hAnsi="Times New Roman"/>
          <w:i/>
          <w:lang w:val="de-DE"/>
        </w:rPr>
        <w:t>Blechtrommel</w:t>
      </w:r>
      <w:r>
        <w:rPr>
          <w:rFonts w:cs="Times New Roman" w:ascii="Times New Roman" w:hAnsi="Times New Roman"/>
          <w:lang w:val="de-DE"/>
        </w:rPr>
        <w:t xml:space="preserve"> gilt damit als ein Vorläufer einer anderen Perspektive auf jene kleinen, vermeintlich unbelasteten Täter, eine Perspektive, die erst mit dem Prozess gegen Adolf Eichmann 1961 ins allgemeine Bewusstsein rückte.</w:t>
      </w:r>
    </w:p>
    <w:p>
      <w:pPr>
        <w:pStyle w:val="Standard"/>
        <w:spacing w:lineRule="auto" w:line="360"/>
        <w:rPr>
          <w:rFonts w:ascii="Times New Roman" w:hAnsi="Times New Roman" w:cs="Times New Roman"/>
          <w:lang w:val="de-DE"/>
        </w:rPr>
      </w:pPr>
      <w:r>
        <w:rPr>
          <w:rFonts w:cs="Times New Roman" w:ascii="Times New Roman" w:hAnsi="Times New Roman"/>
          <w:lang w:val="de-DE"/>
        </w:rPr>
        <w:t xml:space="preserve">So stellt </w:t>
      </w:r>
      <w:r>
        <w:rPr>
          <w:rStyle w:val="AbsatzStandardschriftart"/>
          <w:rFonts w:cs="Times New Roman" w:ascii="Times New Roman" w:hAnsi="Times New Roman"/>
          <w:iCs/>
          <w:lang w:val="de-DE"/>
        </w:rPr>
        <w:t>die</w:t>
      </w:r>
      <w:r>
        <w:rPr>
          <w:rStyle w:val="AbsatzStandardschriftart"/>
          <w:rFonts w:cs="Times New Roman" w:ascii="Times New Roman" w:hAnsi="Times New Roman"/>
          <w:i/>
          <w:iCs/>
          <w:lang w:val="de-DE"/>
        </w:rPr>
        <w:t xml:space="preserve"> Blechtrommel </w:t>
      </w:r>
      <w:r>
        <w:rPr>
          <w:rFonts w:cs="Times New Roman" w:ascii="Times New Roman" w:hAnsi="Times New Roman"/>
          <w:lang w:val="de-DE"/>
        </w:rPr>
        <w:t xml:space="preserve">eine Schwelle dar, nach deren Überschreiten die Frage </w:t>
      </w:r>
      <w:r>
        <w:rPr>
          <w:rFonts w:eastAsia="Times New Roman" w:cs="Times New Roman" w:ascii="Times New Roman" w:hAnsi="Times New Roman"/>
          <w:lang w:val="de-DE" w:eastAsia="it-IT"/>
        </w:rPr>
        <w:t>«</w:t>
      </w:r>
      <w:r>
        <w:rPr>
          <w:rFonts w:cs="Times New Roman" w:ascii="Times New Roman" w:hAnsi="Times New Roman"/>
          <w:lang w:val="de-DE"/>
        </w:rPr>
        <w:t>Wie konnte das geschehen?</w:t>
      </w:r>
      <w:r>
        <w:rPr>
          <w:rFonts w:eastAsia="Times New Roman" w:cs="Times New Roman" w:ascii="Times New Roman" w:hAnsi="Times New Roman"/>
          <w:lang w:val="de-DE" w:eastAsia="it-IT"/>
        </w:rPr>
        <w:t>»</w:t>
      </w:r>
      <w:r>
        <w:rPr>
          <w:rFonts w:cs="Times New Roman" w:ascii="Times New Roman" w:hAnsi="Times New Roman"/>
          <w:lang w:val="de-DE"/>
        </w:rPr>
        <w:t xml:space="preserve"> anders beantwortet werden muss als noch in den 1950er Jahren: Die Deutschen sind nicht von einem großen Verführer, von einem schrecklichen Dämon in die Irre geführt und korrumpiert worden. In der kleinbürgerlichen Mentalität liegt schon der Kern dessen, woraus die nationalsozialistische Ideologie mit ihren schrecklichen Folgen entstanden ist. Für das unermessliche Drama der neueren deutschen Geschichte sind nicht nur die Großen verantwortlich, das ist gerade die Erkenntnis, die zu einer radikalen Wende in der Aufarbeitung der jüngsten deutschen Vergangenheit führte. Grass hat übrigens dieses Thema in </w:t>
      </w:r>
      <w:r>
        <w:rPr>
          <w:rStyle w:val="AbsatzStandardschriftart"/>
          <w:rFonts w:cs="Times New Roman" w:ascii="Times New Roman" w:hAnsi="Times New Roman"/>
          <w:i/>
          <w:iCs/>
          <w:lang w:val="de-DE"/>
        </w:rPr>
        <w:t>Mein Jahrhundert</w:t>
      </w:r>
      <w:r>
        <w:rPr>
          <w:rFonts w:cs="Times New Roman" w:ascii="Times New Roman" w:hAnsi="Times New Roman"/>
          <w:lang w:val="de-DE"/>
        </w:rPr>
        <w:t xml:space="preserve"> (1999 ersch.) nochmals aufgegriffen. In Kapitel </w:t>
      </w:r>
      <w:r>
        <w:rPr>
          <w:rFonts w:cs="Times New Roman" w:ascii="Times New Roman" w:hAnsi="Times New Roman"/>
          <w:i/>
          <w:iCs/>
          <w:lang w:val="de-DE"/>
        </w:rPr>
        <w:t>1964</w:t>
      </w:r>
      <w:r>
        <w:rPr>
          <w:rFonts w:cs="Times New Roman" w:ascii="Times New Roman" w:hAnsi="Times New Roman"/>
          <w:lang w:val="de-DE"/>
        </w:rPr>
        <w:t xml:space="preserve"> gerät eine junge Frankfurterin per Zufall in den Saal, in dem der erste Auschwitz-Prozess stattfindet. Die von ihr beigewohnten Sitzungen lassen sie eine Wirklichkeit erkennen, derer sie sich bis dahin nicht bewusst war: die Angeklagten, die fürchterlichen kriminellen Taten bezichtigt wurden, unterschieden sich vom Aussehen und von der Haltung her nicht von den Menschen, mit denen sie lebte, die sie kannte und liebte. Das Paradoxon, das sie wahrnimmt, liegt nicht in der Erzählung der geschichtlichen Wirklichkeit, wie wir denken könnten, wenn wir uns mit der schelmischen Erzählperspektive Oskars auseinandersetzen. Die widerprüchliche Gleichzeitigkeit von Vertrautheit und Distanz ist schon dem Dargestellten inhärent und nicht der Art der Darstellung. Betroffen ist nicht die Art der geschichtlichen Erzählung, sondern die Geschichte selbst. Eine absurde Erzählweise ist also keine Verzerrung der Geschichte, sondern eine Art, diese mimetisch-nachahmend darzustellen. Das ist die Erkenntnis der jungen Frau, die sich plötzlich in die Absurdität der Geschichte involviert fühlt: Wenn sogar gutmütige Menschen in der Lage sind, brutale Kriminelle zu werden, kann das Absurde der Geschichte überall sein, ja gerade dort, wo man es nicht erwartet, d.h. bei den </w:t>
      </w:r>
      <w:r>
        <w:rPr>
          <w:rFonts w:eastAsia="Times New Roman" w:cs="Times New Roman" w:ascii="Times New Roman" w:hAnsi="Times New Roman"/>
          <w:lang w:val="de-DE" w:eastAsia="it-IT"/>
        </w:rPr>
        <w:t>«</w:t>
      </w:r>
      <w:r>
        <w:rPr>
          <w:rFonts w:cs="Times New Roman" w:ascii="Times New Roman" w:hAnsi="Times New Roman"/>
          <w:lang w:val="de-DE"/>
        </w:rPr>
        <w:t>normalen</w:t>
      </w:r>
      <w:r>
        <w:rPr>
          <w:rFonts w:eastAsia="Times New Roman" w:cs="Times New Roman" w:ascii="Times New Roman" w:hAnsi="Times New Roman"/>
          <w:lang w:val="de-DE" w:eastAsia="it-IT"/>
        </w:rPr>
        <w:t>»</w:t>
      </w:r>
      <w:r>
        <w:rPr>
          <w:rFonts w:cs="Times New Roman" w:ascii="Times New Roman" w:hAnsi="Times New Roman"/>
          <w:lang w:val="de-DE"/>
        </w:rPr>
        <w:t xml:space="preserve"> Menschen, die den Alltag mit ihr teilen.</w:t>
      </w:r>
    </w:p>
    <w:p>
      <w:pPr>
        <w:pStyle w:val="Standard"/>
        <w:spacing w:lineRule="auto" w:line="360"/>
        <w:rPr>
          <w:rFonts w:ascii="Times New Roman" w:hAnsi="Times New Roman" w:cs="Times New Roman"/>
          <w:lang w:val="de-DE"/>
        </w:rPr>
      </w:pPr>
      <w:r>
        <w:rPr>
          <w:rFonts w:cs="Times New Roman" w:ascii="Times New Roman" w:hAnsi="Times New Roman"/>
          <w:lang w:val="de-DE"/>
        </w:rPr>
        <w:t>Die unheimliche Erfahrung dieses Paradoxons mündet in dem Bewusstsein, dass gerade aus der Welt, welche Gemessenheit, Ruhe und Sicherheit zum Fundament ihrer Existenz macht, eine radikalisierte Ideologie entstand, die zu Krieg, Tod und inkommensurablen kriminellen Taten führte. Gerade eine kleine Welt, die nach einer strengen Verteidigung der eigenen bescheidenen Existenz strebte, hat zu einer verheerenden Politik geführt, welche für einen katastrophalen Weltkrieg verantwortlich ist. Auch diejenigen, die nicht direkt mitgemacht haben, und sogar die Nachgeborenen müssen sich zwangsläufig mit dieser Zwiespältigkeit auseinandersetzen, will man die Geschichte erzählen und erklären. Was man logisch weder darstellen noch erklären kann, stellt uns vor die Aufgabe, eine Erzählung und eine Erklärung zu suchen, obwohl wir wissen, dass diese</w:t>
      </w:r>
      <w:r>
        <w:rPr>
          <w:rStyle w:val="AbsatzStandardschriftart"/>
          <w:rFonts w:cs="Times New Roman" w:ascii="Times New Roman" w:hAnsi="Times New Roman"/>
          <w:color w:val="000000"/>
          <w:lang w:val="de-DE"/>
        </w:rPr>
        <w:t xml:space="preserve"> unzuverlässig sein werden und </w:t>
      </w:r>
      <w:r>
        <w:rPr>
          <w:rFonts w:cs="Times New Roman" w:ascii="Times New Roman" w:hAnsi="Times New Roman"/>
          <w:lang w:val="de-DE"/>
        </w:rPr>
        <w:t>uns nie zufriedenstellen</w:t>
      </w:r>
      <w:r>
        <w:rPr>
          <w:rStyle w:val="AbsatzStandardschriftart"/>
          <w:rFonts w:cs="Times New Roman" w:ascii="Times New Roman" w:hAnsi="Times New Roman"/>
          <w:color w:val="000000"/>
          <w:lang w:val="de-DE"/>
        </w:rPr>
        <w:t xml:space="preserve"> können</w:t>
      </w:r>
      <w:r>
        <w:rPr>
          <w:rFonts w:cs="Times New Roman" w:ascii="Times New Roman" w:hAnsi="Times New Roman"/>
          <w:lang w:val="de-DE"/>
        </w:rPr>
        <w:t>. Aus diesem Grund ist es nötig, einen Umgang</w:t>
      </w:r>
      <w:r>
        <w:rPr>
          <w:rStyle w:val="Hervorhebung"/>
          <w:rFonts w:cs="Times New Roman" w:ascii="Times New Roman" w:hAnsi="Times New Roman"/>
          <w:i w:val="false"/>
          <w:color w:val="000000"/>
          <w:lang w:val="de-DE"/>
        </w:rPr>
        <w:t xml:space="preserve"> mit den Geschehnissen</w:t>
      </w:r>
      <w:r>
        <w:rPr>
          <w:rStyle w:val="Hervorhebung"/>
          <w:rFonts w:cs="Times New Roman" w:ascii="Times New Roman" w:hAnsi="Times New Roman"/>
          <w:i w:val="false"/>
          <w:color w:val="5F6368"/>
          <w:lang w:val="de-DE"/>
        </w:rPr>
        <w:t xml:space="preserve"> </w:t>
      </w:r>
      <w:r>
        <w:rPr>
          <w:rStyle w:val="Hervorhebung"/>
          <w:rFonts w:cs="Times New Roman" w:ascii="Times New Roman" w:hAnsi="Times New Roman"/>
          <w:i w:val="false"/>
          <w:color w:val="000000"/>
          <w:lang w:val="de-DE"/>
        </w:rPr>
        <w:t>der Vergangenheit</w:t>
      </w:r>
      <w:r>
        <w:rPr>
          <w:rStyle w:val="AbsatzStandardschriftart"/>
          <w:rFonts w:cs="Times New Roman" w:ascii="Times New Roman" w:hAnsi="Times New Roman"/>
          <w:color w:val="000000"/>
          <w:lang w:val="de-DE"/>
        </w:rPr>
        <w:t xml:space="preserve"> </w:t>
      </w:r>
      <w:r>
        <w:rPr>
          <w:rFonts w:cs="Times New Roman" w:ascii="Times New Roman" w:hAnsi="Times New Roman"/>
          <w:lang w:val="de-DE"/>
        </w:rPr>
        <w:t>zu finden, die eine allgemeine Verantwortung voraussetzen: jene der erneuten Verbalisierung und Erklärung dessen, was man weder angemessen darstellen noch verstehen kann. Diese produktive Art, Geschichtliches zu rezipieren, die gerade dank des Rückgriffs auf die barocke Poetik des Schelmenromans befördert wird, macht die Geschichte immer wieder erzählbar, d.h. sie ist nie abgeschlossen.</w:t>
      </w:r>
    </w:p>
    <w:p>
      <w:pPr>
        <w:pStyle w:val="Standard"/>
        <w:spacing w:lineRule="auto" w:line="360"/>
        <w:rPr>
          <w:rFonts w:ascii="Times New Roman" w:hAnsi="Times New Roman" w:cs="Times New Roman"/>
          <w:lang w:val="de-DE"/>
        </w:rPr>
      </w:pPr>
      <w:r>
        <w:rPr>
          <w:rFonts w:cs="Times New Roman" w:ascii="Times New Roman" w:hAnsi="Times New Roman"/>
          <w:lang w:val="de-DE"/>
        </w:rPr>
        <w:t xml:space="preserve">Auf diesem Weg können wir ein grundsätzliches Ziel erkennen, das wir dank der Lektüre der </w:t>
      </w:r>
      <w:r>
        <w:rPr>
          <w:rStyle w:val="AbsatzStandardschriftart"/>
          <w:rFonts w:cs="Times New Roman" w:ascii="Times New Roman" w:hAnsi="Times New Roman"/>
          <w:i/>
          <w:iCs/>
          <w:lang w:val="de-DE"/>
        </w:rPr>
        <w:t xml:space="preserve">Blechtrommel </w:t>
      </w:r>
      <w:r>
        <w:rPr>
          <w:rFonts w:cs="Times New Roman" w:ascii="Times New Roman" w:hAnsi="Times New Roman"/>
          <w:lang w:val="de-DE"/>
        </w:rPr>
        <w:t xml:space="preserve">anvisieren können: Die ästhetische Erfahrung mit einer manieristischen Poetik als Grundlage betrachten, damit wir einen Umgang mit der Geschichte praktizieren, der immer wieder Fragen offen lässt, so dass unser Bild dessen was geschehen ist, nicht zur Ruhe kommt, d.h. sich nicht als leeres Ritual materialisiert, das sich vom </w:t>
      </w:r>
      <w:r>
        <w:rPr>
          <w:rStyle w:val="AbsatzStandardschriftart"/>
          <w:rFonts w:cs="Times New Roman" w:ascii="Times New Roman" w:hAnsi="Times New Roman"/>
          <w:shd w:fill="FFFFFF" w:val="clear"/>
          <w:lang w:val="de-DE"/>
        </w:rPr>
        <w:t>lebendigen Denken und Erfahren immer weiter entfernt</w:t>
      </w:r>
      <w:r>
        <w:rPr>
          <w:rFonts w:cs="Times New Roman" w:ascii="Times New Roman" w:hAnsi="Times New Roman"/>
          <w:shd w:fill="FFFFFF" w:val="clear"/>
          <w:lang w:val="de-DE"/>
        </w:rPr>
        <w:t>.</w:t>
      </w:r>
      <w:r>
        <w:rPr>
          <w:rFonts w:cs="Times New Roman" w:ascii="Times New Roman" w:hAnsi="Times New Roman"/>
          <w:lang w:val="de-DE"/>
        </w:rPr>
        <w:t xml:space="preserve"> Die aus dem unerhörten Perspektivischen entstandene Notwendigkeit, sich mit mehreren Möglichkeiten der geschichtlichen Darstellung auseinanderzusetzen, ermöglicht uns eine Erfahrung mit der Geschichte, die ihre Grenzen und ihr Bedürfnis nach Vervollkommnung preisgibt. Auf diese Weise bekommt das geschichliche Erzählen den Charakter einer unendlichen Aufgabe, die immer neu versucht werden muss, denn geschichtliches Denken ist – philosophisch formuliert – nicht außerhalb der Zeit, sondern in der vergehenden Zeit. Gerade wegen dieses Vergehens muss Geschichte immer neu </w:t>
      </w:r>
      <w:r>
        <w:rPr>
          <w:rFonts w:eastAsia="Times New Roman" w:cs="Times New Roman" w:ascii="Times New Roman" w:hAnsi="Times New Roman"/>
          <w:color w:val="111111"/>
          <w:lang w:val="de-DE" w:eastAsia="it-IT"/>
        </w:rPr>
        <w:t>«</w:t>
      </w:r>
      <w:r>
        <w:rPr>
          <w:rFonts w:cs="Times New Roman" w:ascii="Times New Roman" w:hAnsi="Times New Roman"/>
          <w:lang w:val="de-DE"/>
        </w:rPr>
        <w:t>gemacht</w:t>
      </w:r>
      <w:r>
        <w:rPr>
          <w:rFonts w:eastAsia="Times New Roman" w:cs="Times New Roman" w:ascii="Times New Roman" w:hAnsi="Times New Roman"/>
          <w:color w:val="111111"/>
          <w:lang w:val="de-DE" w:eastAsia="it-IT"/>
        </w:rPr>
        <w:t xml:space="preserve">» </w:t>
      </w:r>
      <w:r>
        <w:rPr>
          <w:rFonts w:cs="Times New Roman" w:ascii="Times New Roman" w:hAnsi="Times New Roman"/>
          <w:lang w:val="de-DE"/>
        </w:rPr>
        <w:t>werden. In diesem Sinne ist geschichtliches Erzählen auch eine Möglichkeit, Geschichte zu machen. Der Schelm Oskar hat Geschichte gemacht, indem er uns seine schelmische Geschichte erzählte. Jetzt sind wir dran. Wir müssen unsere Geschichte erzählen.</w:t>
      </w:r>
    </w:p>
    <w:p>
      <w:pPr>
        <w:pStyle w:val="Standard"/>
        <w:spacing w:lineRule="auto" w:line="360"/>
        <w:rPr>
          <w:lang w:val="de-DE"/>
        </w:rPr>
      </w:pPr>
      <w:r>
        <w:rPr>
          <w:lang w:val="de-DE"/>
        </w:rPr>
      </w:r>
    </w:p>
    <w:p>
      <w:pPr>
        <w:pStyle w:val="Standard"/>
        <w:spacing w:lineRule="auto" w:line="360"/>
        <w:jc w:val="right"/>
        <w:rPr>
          <w:lang w:val="de-DE"/>
        </w:rPr>
      </w:pPr>
      <w:r>
        <w:rPr>
          <w:lang w:val="de-DE"/>
        </w:rPr>
        <w:t>Cesare Giacobazzi</w:t>
      </w:r>
    </w:p>
    <w:p>
      <w:pPr>
        <w:pStyle w:val="Standard"/>
        <w:spacing w:lineRule="auto" w:line="360"/>
        <w:jc w:val="right"/>
        <w:rPr/>
      </w:pPr>
      <w:r>
        <w:rPr/>
        <w:t>Università di Modena e Reggio Emilia</w:t>
      </w:r>
    </w:p>
    <w:p>
      <w:pPr>
        <w:pStyle w:val="Standard"/>
        <w:spacing w:lineRule="auto" w:line="360"/>
        <w:jc w:val="right"/>
        <w:rPr/>
      </w:pPr>
      <w:r>
        <w:rPr/>
      </w:r>
    </w:p>
    <w:p>
      <w:pPr>
        <w:pStyle w:val="Standard"/>
        <w:spacing w:lineRule="auto" w:line="360"/>
        <w:jc w:val="right"/>
        <w:rPr/>
      </w:pPr>
      <w:r>
        <w:rPr/>
      </w:r>
    </w:p>
    <w:sectPr>
      <w:footerReference w:type="default" r:id="rId2"/>
      <w:footnotePr>
        <w:numFmt w:val="decimal"/>
      </w:footnotePr>
      <w:type w:val="nextPage"/>
      <w:pgSz w:w="11906" w:h="16838"/>
      <w:pgMar w:left="1134" w:right="1134" w:gutter="0" w:header="0" w:top="1417" w:footer="720" w:bottom="1134"/>
      <w:pgNumType w:fmt="decimal"/>
      <w:formProt w:val="false"/>
      <w:textDirection w:val="lrTb"/>
      <w:docGrid w:type="default" w:linePitch="326"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Liberation Sans">
    <w:altName w:val="Arial"/>
    <w:charset w:val="01"/>
    <w:family w:val="roman"/>
    <w:pitch w:val="variable"/>
  </w:font>
  <w:font w:name="Times New Roman">
    <w:charset w:val="01"/>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uzeile"/>
      <w:rPr/>
    </w:pPr>
    <w:r>
      <w:rPr/>
      <w:fldChar w:fldCharType="begin"/>
    </w:r>
    <w:r>
      <w:rPr/>
      <w:instrText xml:space="preserve"> PAGE </w:instrText>
    </w:r>
    <w:r>
      <w:rPr/>
      <w:fldChar w:fldCharType="separate"/>
    </w:r>
    <w:r>
      <w:rPr/>
      <w:t>12</w:t>
    </w:r>
    <w:r>
      <w:rPr/>
      <w:fldChar w:fldCharType="end"/>
    </w:r>
  </w:p>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pPr>
        <w:rPr>
          <w:sz w:val="12"/>
        </w:rPr>
      </w:pPr>
      <w:r>
        <w:separator/>
      </w:r>
    </w:p>
  </w:footnote>
  <w:footnote w:id="1" w:type="continuationSeparator">
    <w:p>
      <w:pPr>
        <w:rPr>
          <w:sz w:val="12"/>
        </w:rPr>
      </w:pPr>
      <w:r>
        <w:continuationSeparator/>
      </w:r>
    </w:p>
  </w:footnote>
  <w:footnote w:id="2">
    <w:p>
      <w:pPr>
        <w:pStyle w:val="Footnote"/>
        <w:ind w:left="0" w:hanging="0"/>
        <w:rPr>
          <w:sz w:val="18"/>
          <w:szCs w:val="18"/>
          <w:lang w:val="de-DE"/>
        </w:rPr>
      </w:pPr>
      <w:r>
        <w:rPr>
          <w:rStyle w:val="Caratterinotaapidipagina"/>
        </w:rPr>
        <w:footnoteRef/>
      </w:r>
      <w:r>
        <w:rPr>
          <w:sz w:val="18"/>
          <w:szCs w:val="18"/>
          <w:lang w:val="de-DE"/>
        </w:rPr>
        <w:t xml:space="preserve"> </w:t>
      </w:r>
      <w:r>
        <w:rPr>
          <w:sz w:val="18"/>
          <w:szCs w:val="18"/>
          <w:lang w:val="de-DE"/>
        </w:rPr>
        <w:t xml:space="preserve">Eine Schlüsselfunktion hat dabei der Begriff </w:t>
      </w:r>
      <w:r>
        <w:rPr>
          <w:rFonts w:eastAsia="Times New Roman" w:cs="Times New Roman" w:ascii="Times New Roman" w:hAnsi="Times New Roman"/>
          <w:color w:val="111111"/>
          <w:sz w:val="18"/>
          <w:szCs w:val="18"/>
          <w:lang w:val="de-DE" w:eastAsia="it-IT"/>
        </w:rPr>
        <w:t>«</w:t>
      </w:r>
      <w:r>
        <w:rPr>
          <w:sz w:val="18"/>
          <w:szCs w:val="18"/>
          <w:lang w:val="de-DE"/>
        </w:rPr>
        <w:t>Kritik der gattungspoetischen Vernunft</w:t>
      </w:r>
      <w:r>
        <w:rPr>
          <w:rFonts w:eastAsia="Times New Roman" w:cs="Times New Roman" w:ascii="Times New Roman" w:hAnsi="Times New Roman"/>
          <w:color w:val="111111"/>
          <w:sz w:val="18"/>
          <w:szCs w:val="18"/>
          <w:lang w:val="de-DE" w:eastAsia="it-IT"/>
        </w:rPr>
        <w:t xml:space="preserve">» </w:t>
      </w:r>
      <w:r>
        <w:rPr>
          <w:sz w:val="18"/>
          <w:szCs w:val="18"/>
          <w:lang w:val="de-DE"/>
        </w:rPr>
        <w:t xml:space="preserve">… auf den Szondi wieder und wieder zurückkommt, wie um ihn den Zuhörenden (bzw. Lesenden) einzuprägen. Wenn sich hier sogleich die Frage stellt, ob es eine gattungspoetische Vernunft geben kann und wie ihre Kritik aussehen möchte, hilft ein Blick auf die Definition, die Szondi dem Begriff beifügt. Er spricht von der </w:t>
      </w:r>
      <w:r>
        <w:rPr>
          <w:rFonts w:eastAsia="Times New Roman" w:cs="Times New Roman" w:ascii="Times New Roman" w:hAnsi="Times New Roman"/>
          <w:color w:val="111111"/>
          <w:sz w:val="18"/>
          <w:szCs w:val="18"/>
          <w:lang w:val="de-DE" w:eastAsia="it-IT"/>
        </w:rPr>
        <w:t>«</w:t>
      </w:r>
      <w:r>
        <w:rPr>
          <w:sz w:val="18"/>
          <w:szCs w:val="18"/>
          <w:lang w:val="de-DE"/>
        </w:rPr>
        <w:t>kritizistischen Rückbesinnung auf die Bedingungen der Möglichkeit gattungspoetischer Systematik</w:t>
      </w:r>
      <w:r>
        <w:rPr>
          <w:rFonts w:eastAsia="Times New Roman" w:cs="Times New Roman" w:ascii="Times New Roman" w:hAnsi="Times New Roman"/>
          <w:color w:val="111111"/>
          <w:sz w:val="18"/>
          <w:szCs w:val="18"/>
          <w:lang w:val="de-DE" w:eastAsia="it-IT"/>
        </w:rPr>
        <w:t>»</w:t>
      </w:r>
      <w:r>
        <w:rPr>
          <w:sz w:val="18"/>
          <w:szCs w:val="18"/>
          <w:lang w:val="de-DE"/>
        </w:rPr>
        <w:t>.</w:t>
      </w:r>
    </w:p>
    <w:p>
      <w:pPr>
        <w:pStyle w:val="Footnote"/>
        <w:ind w:left="0" w:hanging="340"/>
        <w:rPr>
          <w:sz w:val="18"/>
          <w:szCs w:val="18"/>
          <w:lang w:val="de-DE"/>
        </w:rPr>
      </w:pPr>
      <w:r>
        <w:rPr>
          <w:sz w:val="18"/>
          <w:szCs w:val="18"/>
          <w:lang w:val="de-DE"/>
        </w:rPr>
        <w:t xml:space="preserve">H.- C. Riechers, </w:t>
      </w:r>
      <w:r>
        <w:rPr>
          <w:rFonts w:eastAsia="Times New Roman" w:cs="Times New Roman" w:ascii="Times New Roman" w:hAnsi="Times New Roman"/>
          <w:i/>
          <w:iCs/>
          <w:color w:val="111111"/>
          <w:sz w:val="18"/>
          <w:szCs w:val="18"/>
          <w:lang w:val="de-DE" w:eastAsia="it-IT"/>
        </w:rPr>
        <w:t>«</w:t>
      </w:r>
      <w:r>
        <w:rPr>
          <w:i/>
          <w:iCs/>
          <w:sz w:val="18"/>
          <w:szCs w:val="18"/>
          <w:lang w:val="de-DE"/>
        </w:rPr>
        <w:t>eine Art Kritik der gattungspoetischen Vernunft</w:t>
      </w:r>
      <w:r>
        <w:rPr>
          <w:rFonts w:eastAsia="Times New Roman" w:cs="Times New Roman" w:ascii="Times New Roman" w:hAnsi="Times New Roman"/>
          <w:i/>
          <w:iCs/>
          <w:color w:val="111111"/>
          <w:sz w:val="18"/>
          <w:szCs w:val="18"/>
          <w:lang w:val="de-DE" w:eastAsia="it-IT"/>
        </w:rPr>
        <w:t>»</w:t>
      </w:r>
      <w:r>
        <w:rPr>
          <w:rFonts w:eastAsia="Times New Roman" w:cs="Times New Roman" w:ascii="Times New Roman" w:hAnsi="Times New Roman"/>
          <w:i/>
          <w:iCs/>
          <w:sz w:val="18"/>
          <w:szCs w:val="18"/>
          <w:lang w:val="de-DE" w:eastAsia="it-IT"/>
        </w:rPr>
        <w:t xml:space="preserve"> </w:t>
      </w:r>
      <w:r>
        <w:rPr>
          <w:i/>
          <w:iCs/>
          <w:sz w:val="18"/>
          <w:szCs w:val="18"/>
          <w:lang w:val="de-DE"/>
        </w:rPr>
        <w:t>Peter Szondi liest Friedrich Schlegel</w:t>
      </w:r>
      <w:r>
        <w:rPr>
          <w:sz w:val="18"/>
          <w:szCs w:val="18"/>
          <w:lang w:val="de-DE"/>
        </w:rPr>
        <w:t xml:space="preserve">, in: </w:t>
      </w:r>
      <w:r>
        <w:rPr>
          <w:i/>
          <w:iCs/>
          <w:sz w:val="18"/>
          <w:szCs w:val="18"/>
          <w:lang w:val="de-DE"/>
        </w:rPr>
        <w:t>Schlegel-Studien</w:t>
      </w:r>
      <w:r>
        <w:rPr>
          <w:sz w:val="18"/>
          <w:szCs w:val="18"/>
          <w:lang w:val="de-DE"/>
        </w:rPr>
        <w:t>, hg. von Ulrich Breuer, Remigius Bunia, Armin Erlinghagen, Bd. 7, Ferdinand Schöningh, Paderborn • München • Wien • Zürich, 2013, S. 239.</w:t>
      </w:r>
    </w:p>
    <w:p>
      <w:pPr>
        <w:pStyle w:val="Footnote"/>
        <w:ind w:left="0" w:hanging="0"/>
        <w:rPr>
          <w:sz w:val="18"/>
          <w:szCs w:val="18"/>
          <w:lang w:val="de-DE"/>
        </w:rPr>
      </w:pPr>
      <w:r>
        <w:rPr/>
      </w:r>
    </w:p>
  </w:footnote>
  <w:footnote w:id="3">
    <w:p>
      <w:pPr>
        <w:pStyle w:val="Footnote"/>
        <w:ind w:left="-113" w:hanging="0"/>
        <w:rPr>
          <w:sz w:val="18"/>
          <w:szCs w:val="18"/>
          <w:lang w:val="de-DE"/>
        </w:rPr>
      </w:pPr>
      <w:r>
        <w:rPr>
          <w:rStyle w:val="Caratterinotaapidipagina"/>
        </w:rPr>
        <w:footnoteRef/>
      </w:r>
      <w:r>
        <w:rPr>
          <w:sz w:val="18"/>
          <w:szCs w:val="18"/>
          <w:lang w:val="de-DE"/>
        </w:rPr>
        <w:t xml:space="preserve"> </w:t>
      </w:r>
      <w:r>
        <w:rPr>
          <w:rFonts w:eastAsia="Times New Roman" w:cs="Times New Roman" w:ascii="Times New Roman" w:hAnsi="Times New Roman"/>
          <w:color w:val="111111"/>
          <w:sz w:val="18"/>
          <w:szCs w:val="18"/>
          <w:lang w:val="de-DE" w:eastAsia="it-IT"/>
        </w:rPr>
        <w:t>Ibid.</w:t>
      </w:r>
    </w:p>
  </w:footnote>
  <w:footnote w:id="4">
    <w:p>
      <w:pPr>
        <w:pStyle w:val="Footnote"/>
        <w:ind w:left="0" w:hanging="0"/>
        <w:rPr>
          <w:sz w:val="18"/>
          <w:szCs w:val="18"/>
          <w:lang w:val="de-DE"/>
        </w:rPr>
      </w:pPr>
      <w:r>
        <w:rPr>
          <w:rStyle w:val="Caratterinotaapidipagina"/>
        </w:rPr>
        <w:footnoteRef/>
      </w:r>
      <w:r>
        <w:rPr>
          <w:sz w:val="18"/>
          <w:szCs w:val="18"/>
          <w:lang w:val="de-DE"/>
        </w:rPr>
        <w:t xml:space="preserve"> </w:t>
      </w:r>
      <w:r>
        <w:rPr>
          <w:rFonts w:eastAsia="Times New Roman" w:cs="Times New Roman" w:ascii="Times New Roman" w:hAnsi="Times New Roman"/>
          <w:color w:val="111111"/>
          <w:sz w:val="18"/>
          <w:szCs w:val="18"/>
          <w:lang w:val="de-DE" w:eastAsia="it-IT"/>
        </w:rPr>
        <w:t>Ibid. S. 241</w:t>
      </w:r>
    </w:p>
  </w:footnote>
  <w:footnote w:id="5">
    <w:p>
      <w:pPr>
        <w:pStyle w:val="Footnote"/>
        <w:ind w:left="0" w:hanging="0"/>
        <w:rPr>
          <w:lang w:val="de-DE"/>
        </w:rPr>
      </w:pPr>
      <w:r>
        <w:rPr>
          <w:rStyle w:val="Caratterinotaapidipagina"/>
        </w:rPr>
        <w:footnoteRef/>
      </w:r>
      <w:r>
        <w:rPr>
          <w:sz w:val="18"/>
          <w:szCs w:val="18"/>
          <w:lang w:val="de-DE"/>
        </w:rPr>
        <w:t xml:space="preserve"> </w:t>
      </w:r>
      <w:r>
        <w:rPr>
          <w:sz w:val="18"/>
          <w:szCs w:val="18"/>
          <w:lang w:val="de-DE"/>
        </w:rPr>
        <w:t xml:space="preserve">Die Unmöglichkeit, anhand von rationalen Begriffen die Frage </w:t>
      </w:r>
      <w:r>
        <w:rPr>
          <w:rFonts w:eastAsia="Times New Roman" w:cs="Times New Roman" w:ascii="Times New Roman" w:hAnsi="Times New Roman"/>
          <w:color w:val="111111"/>
          <w:sz w:val="18"/>
          <w:szCs w:val="18"/>
          <w:lang w:val="de-DE" w:eastAsia="it-IT"/>
        </w:rPr>
        <w:t>«</w:t>
      </w:r>
      <w:r>
        <w:rPr>
          <w:sz w:val="18"/>
          <w:szCs w:val="18"/>
          <w:lang w:val="de-DE"/>
        </w:rPr>
        <w:t>Wie konnte das geschehen?</w:t>
      </w:r>
      <w:r>
        <w:rPr>
          <w:rFonts w:eastAsia="Times New Roman" w:cs="Times New Roman" w:ascii="Times New Roman" w:hAnsi="Times New Roman"/>
          <w:color w:val="111111"/>
          <w:sz w:val="18"/>
          <w:szCs w:val="18"/>
          <w:lang w:val="de-DE" w:eastAsia="it-IT"/>
        </w:rPr>
        <w:t>»</w:t>
      </w:r>
      <w:r>
        <w:rPr>
          <w:sz w:val="18"/>
          <w:szCs w:val="18"/>
          <w:lang w:val="de-DE"/>
        </w:rPr>
        <w:t xml:space="preserve"> zu beanworten, wird von Grass z.B. in seiner bekannten Rede </w:t>
      </w:r>
      <w:r>
        <w:rPr>
          <w:rFonts w:eastAsia="Times New Roman" w:cs="Times New Roman" w:ascii="Times New Roman" w:hAnsi="Times New Roman"/>
          <w:color w:val="111111"/>
          <w:sz w:val="18"/>
          <w:szCs w:val="18"/>
          <w:lang w:val="de-DE" w:eastAsia="it-IT"/>
        </w:rPr>
        <w:t>«</w:t>
      </w:r>
      <w:r>
        <w:rPr>
          <w:sz w:val="18"/>
          <w:szCs w:val="18"/>
          <w:lang w:val="de-DE"/>
        </w:rPr>
        <w:t>Wie sagen wir es den Kindern</w:t>
      </w:r>
      <w:r>
        <w:rPr>
          <w:rFonts w:eastAsia="Times New Roman" w:cs="Times New Roman" w:ascii="Times New Roman" w:hAnsi="Times New Roman"/>
          <w:color w:val="111111"/>
          <w:sz w:val="18"/>
          <w:szCs w:val="18"/>
          <w:lang w:val="de-DE" w:eastAsia="it-IT"/>
        </w:rPr>
        <w:t>»</w:t>
      </w:r>
      <w:r>
        <w:rPr>
          <w:sz w:val="18"/>
          <w:szCs w:val="18"/>
          <w:lang w:val="de-DE"/>
        </w:rPr>
        <w:t xml:space="preserve"> folgendermaßen thematisiert: </w:t>
      </w:r>
      <w:r>
        <w:rPr>
          <w:rFonts w:eastAsia="Times New Roman" w:cs="Times New Roman" w:ascii="Times New Roman" w:hAnsi="Times New Roman"/>
          <w:color w:val="111111"/>
          <w:sz w:val="18"/>
          <w:szCs w:val="18"/>
          <w:lang w:val="de-DE" w:eastAsia="it-IT"/>
        </w:rPr>
        <w:t>«</w:t>
      </w:r>
      <w:r>
        <w:rPr>
          <w:sz w:val="18"/>
          <w:szCs w:val="18"/>
          <w:lang w:val="de-DE"/>
        </w:rPr>
        <w:t>Sobald die älteren Söhne nach dem Grund für die abstrakt</w:t>
      </w:r>
      <w:r>
        <w:rPr>
          <w:lang w:val="de-DE"/>
        </w:rPr>
        <w:t xml:space="preserve"> </w:t>
      </w:r>
      <w:r>
        <w:rPr>
          <w:sz w:val="18"/>
          <w:szCs w:val="18"/>
          <w:lang w:val="de-DE"/>
        </w:rPr>
        <w:t>bleibende Ungeheurlichkeit fragten, verirrten sich die Eltern in Erklärungen komplizierter Entwicklungsbaläufe, die geschichtlich, sozial, religiös begründet sein wollten. Ein Wust von Zusammenhängen, deren Kausalität einzig absurd zu sein schien</w:t>
      </w:r>
      <w:r>
        <w:rPr>
          <w:rFonts w:eastAsia="Times New Roman" w:cs="Times New Roman" w:ascii="Times New Roman" w:hAnsi="Times New Roman"/>
          <w:color w:val="111111"/>
          <w:sz w:val="18"/>
          <w:szCs w:val="18"/>
          <w:lang w:val="de-DE" w:eastAsia="it-IT"/>
        </w:rPr>
        <w:t>»</w:t>
      </w:r>
      <w:r>
        <w:rPr>
          <w:sz w:val="18"/>
          <w:szCs w:val="18"/>
          <w:lang w:val="de-DE"/>
        </w:rPr>
        <w:t>.</w:t>
      </w:r>
    </w:p>
    <w:p>
      <w:pPr>
        <w:pStyle w:val="Footnote"/>
        <w:ind w:left="0" w:hanging="340"/>
        <w:rPr>
          <w:sz w:val="18"/>
          <w:szCs w:val="18"/>
          <w:lang w:val="de-DE"/>
        </w:rPr>
      </w:pPr>
      <w:r>
        <w:rPr>
          <w:sz w:val="18"/>
          <w:szCs w:val="18"/>
          <w:lang w:val="de-DE"/>
        </w:rPr>
        <w:t xml:space="preserve"> </w:t>
      </w:r>
      <w:r>
        <w:rPr>
          <w:sz w:val="18"/>
          <w:szCs w:val="18"/>
          <w:lang w:val="de-DE"/>
        </w:rPr>
        <w:t xml:space="preserve">G. Grass, </w:t>
      </w:r>
      <w:r>
        <w:rPr>
          <w:i/>
          <w:iCs/>
          <w:sz w:val="18"/>
          <w:szCs w:val="18"/>
          <w:lang w:val="de-DE"/>
        </w:rPr>
        <w:t>Wie sagen wir es den Kindern?</w:t>
      </w:r>
      <w:r>
        <w:rPr>
          <w:sz w:val="18"/>
          <w:szCs w:val="18"/>
          <w:lang w:val="de-DE"/>
        </w:rPr>
        <w:t xml:space="preserve">, in: </w:t>
      </w:r>
      <w:r>
        <w:rPr>
          <w:rFonts w:eastAsia="Times New Roman" w:cs="Times New Roman" w:ascii="Times New Roman" w:hAnsi="Times New Roman"/>
          <w:color w:val="111111"/>
          <w:sz w:val="18"/>
          <w:szCs w:val="18"/>
          <w:lang w:val="de-DE" w:eastAsia="it-IT"/>
        </w:rPr>
        <w:t>«</w:t>
      </w:r>
      <w:r>
        <w:rPr>
          <w:sz w:val="18"/>
          <w:szCs w:val="18"/>
          <w:lang w:val="de-DE"/>
        </w:rPr>
        <w:t>Essay, Reden, Briefe, Kommentare</w:t>
      </w:r>
      <w:r>
        <w:rPr>
          <w:rFonts w:eastAsia="Times New Roman" w:cs="Times New Roman" w:ascii="Times New Roman" w:hAnsi="Times New Roman"/>
          <w:color w:val="111111"/>
          <w:sz w:val="18"/>
          <w:szCs w:val="18"/>
          <w:lang w:val="de-DE" w:eastAsia="it-IT"/>
        </w:rPr>
        <w:t>»</w:t>
      </w:r>
      <w:r>
        <w:rPr>
          <w:sz w:val="18"/>
          <w:szCs w:val="18"/>
          <w:lang w:val="de-DE"/>
        </w:rPr>
        <w:t>, Werkausgabe in zehn Bänden, Band, IX hg. von Daniela Hermes, Luchterhand, Darmstadt und Neuwied, 1987, S. 756.</w:t>
      </w:r>
    </w:p>
  </w:footnote>
  <w:footnote w:id="6">
    <w:p>
      <w:pPr>
        <w:pStyle w:val="Footnote"/>
        <w:ind w:left="57" w:hanging="0"/>
        <w:rPr>
          <w:sz w:val="18"/>
          <w:szCs w:val="18"/>
          <w:lang w:val="de-DE"/>
        </w:rPr>
      </w:pPr>
      <w:r>
        <w:rPr>
          <w:rStyle w:val="Caratterinotaapidipagina"/>
        </w:rPr>
        <w:footnoteRef/>
      </w:r>
      <w:r>
        <w:rPr>
          <w:sz w:val="18"/>
          <w:szCs w:val="18"/>
          <w:lang w:val="de-DE"/>
        </w:rPr>
        <w:t xml:space="preserve"> </w:t>
      </w:r>
      <w:r>
        <w:rPr>
          <w:sz w:val="18"/>
          <w:szCs w:val="18"/>
          <w:lang w:val="de-DE"/>
        </w:rPr>
        <w:t xml:space="preserve">Nach einer von Grass selbst verwendeten Metapher mythologischer Herkunft können wir diese als </w:t>
      </w:r>
      <w:r>
        <w:rPr>
          <w:rFonts w:eastAsia="Times New Roman" w:cs="Times New Roman" w:ascii="Times New Roman" w:hAnsi="Times New Roman"/>
          <w:color w:val="111111"/>
          <w:sz w:val="18"/>
          <w:szCs w:val="18"/>
          <w:lang w:val="de-DE" w:eastAsia="it-IT"/>
        </w:rPr>
        <w:t>«</w:t>
      </w:r>
      <w:r>
        <w:rPr>
          <w:sz w:val="18"/>
          <w:szCs w:val="18"/>
          <w:lang w:val="de-DE"/>
        </w:rPr>
        <w:t>Sisyphosaufgabe</w:t>
      </w:r>
      <w:r>
        <w:rPr>
          <w:rFonts w:eastAsia="Times New Roman" w:cs="Times New Roman" w:ascii="Times New Roman" w:hAnsi="Times New Roman"/>
          <w:color w:val="111111"/>
          <w:sz w:val="18"/>
          <w:szCs w:val="18"/>
          <w:lang w:val="de-DE" w:eastAsia="it-IT"/>
        </w:rPr>
        <w:t>»</w:t>
      </w:r>
      <w:r>
        <w:rPr>
          <w:sz w:val="18"/>
          <w:szCs w:val="18"/>
          <w:lang w:val="de-DE"/>
        </w:rPr>
        <w:t xml:space="preserve"> betrachten: Der Leser muss den </w:t>
      </w:r>
      <w:r>
        <w:rPr>
          <w:rFonts w:eastAsia="Times New Roman" w:cs="Times New Roman" w:ascii="Times New Roman" w:hAnsi="Times New Roman"/>
          <w:color w:val="111111"/>
          <w:sz w:val="18"/>
          <w:szCs w:val="18"/>
          <w:lang w:val="de-DE" w:eastAsia="it-IT"/>
        </w:rPr>
        <w:t>«</w:t>
      </w:r>
      <w:r>
        <w:rPr>
          <w:sz w:val="18"/>
          <w:szCs w:val="18"/>
          <w:lang w:val="de-DE"/>
        </w:rPr>
        <w:t>Stein</w:t>
      </w:r>
      <w:r>
        <w:rPr>
          <w:rFonts w:eastAsia="Times New Roman" w:cs="Times New Roman" w:ascii="Times New Roman" w:hAnsi="Times New Roman"/>
          <w:color w:val="111111"/>
          <w:sz w:val="18"/>
          <w:szCs w:val="18"/>
          <w:lang w:val="de-DE" w:eastAsia="it-IT"/>
        </w:rPr>
        <w:t>«</w:t>
      </w:r>
      <w:r>
        <w:rPr>
          <w:sz w:val="18"/>
          <w:szCs w:val="18"/>
          <w:lang w:val="de-DE"/>
        </w:rPr>
        <w:t xml:space="preserve"> einer immer neuen Erzählung der jüngsten Geschichte </w:t>
      </w:r>
      <w:r>
        <w:rPr>
          <w:rFonts w:eastAsia="Times New Roman" w:cs="Times New Roman" w:ascii="Times New Roman" w:hAnsi="Times New Roman"/>
          <w:color w:val="111111"/>
          <w:sz w:val="18"/>
          <w:szCs w:val="18"/>
          <w:lang w:val="de-DE" w:eastAsia="it-IT"/>
        </w:rPr>
        <w:t>«</w:t>
      </w:r>
      <w:r>
        <w:rPr>
          <w:sz w:val="18"/>
          <w:szCs w:val="18"/>
          <w:lang w:val="de-DE"/>
        </w:rPr>
        <w:t>wälzen</w:t>
      </w:r>
      <w:r>
        <w:rPr>
          <w:rFonts w:eastAsia="Times New Roman" w:cs="Times New Roman" w:ascii="Times New Roman" w:hAnsi="Times New Roman"/>
          <w:color w:val="111111"/>
          <w:sz w:val="18"/>
          <w:szCs w:val="18"/>
          <w:lang w:val="de-DE" w:eastAsia="it-IT"/>
        </w:rPr>
        <w:t>»</w:t>
      </w:r>
      <w:r>
        <w:rPr>
          <w:sz w:val="18"/>
          <w:szCs w:val="18"/>
          <w:lang w:val="de-DE"/>
        </w:rPr>
        <w:t>, ohne die Hoffnung, die vernünftigste bzw. die richtige zu finden. Dieser Appell, wie im Mythos von Sisyphos bei einer zum Scheitern verurteilten Arbeit auszuharren, spielt in den Grass’ Werken der achtziger Jahre eine wichtige Rolle. In diesem Zusammenhang ist zu erwähnen:</w:t>
      </w:r>
    </w:p>
    <w:p>
      <w:pPr>
        <w:pStyle w:val="Footnote"/>
        <w:ind w:left="57" w:hanging="0"/>
        <w:rPr>
          <w:sz w:val="18"/>
          <w:szCs w:val="18"/>
          <w:lang w:val="de-DE"/>
        </w:rPr>
      </w:pPr>
      <w:r>
        <w:rPr>
          <w:sz w:val="18"/>
          <w:szCs w:val="18"/>
          <w:lang w:val="de-DE"/>
        </w:rPr>
        <w:t xml:space="preserve">F. Brunssen, </w:t>
      </w:r>
      <w:r>
        <w:rPr>
          <w:i/>
          <w:iCs/>
          <w:sz w:val="18"/>
          <w:szCs w:val="18"/>
          <w:lang w:val="de-DE"/>
        </w:rPr>
        <w:t>Das Absurde in Günter Grass’ Literatur der achtziger Jahre</w:t>
      </w:r>
      <w:r>
        <w:rPr>
          <w:sz w:val="18"/>
          <w:szCs w:val="18"/>
          <w:lang w:val="de-DE"/>
        </w:rPr>
        <w:t>, Königshausen &amp; Neumann, 1997.</w:t>
      </w:r>
    </w:p>
  </w:footnote>
  <w:footnote w:id="7">
    <w:p>
      <w:pPr>
        <w:pStyle w:val="Footnote"/>
        <w:ind w:left="0" w:hanging="0"/>
        <w:rPr>
          <w:lang w:val="de-DE"/>
        </w:rPr>
      </w:pPr>
      <w:r>
        <w:rPr>
          <w:rStyle w:val="Caratterinotaapidipagina"/>
        </w:rPr>
        <w:footnoteRef/>
      </w:r>
      <w:r>
        <w:rPr>
          <w:lang w:val="de-DE"/>
        </w:rPr>
        <w:t xml:space="preserve"> </w:t>
      </w:r>
      <w:r>
        <w:rPr>
          <w:sz w:val="18"/>
          <w:szCs w:val="18"/>
          <w:lang w:val="de-DE"/>
        </w:rPr>
        <w:t xml:space="preserve">H. L. Arnold, </w:t>
      </w:r>
      <w:r>
        <w:rPr>
          <w:i/>
          <w:iCs/>
          <w:sz w:val="18"/>
          <w:szCs w:val="18"/>
          <w:lang w:val="de-DE"/>
        </w:rPr>
        <w:t>Gespräche mit Günter Grass</w:t>
      </w:r>
      <w:r>
        <w:rPr>
          <w:sz w:val="18"/>
          <w:szCs w:val="18"/>
          <w:lang w:val="de-DE"/>
        </w:rPr>
        <w:t>, Text+Kritik, München, Juni 1978, S. 1–39, hier S. 2.</w:t>
      </w:r>
    </w:p>
  </w:footnote>
  <w:footnote w:id="8">
    <w:p>
      <w:pPr>
        <w:pStyle w:val="Footnote"/>
        <w:ind w:left="0" w:hanging="0"/>
        <w:rPr>
          <w:lang w:val="de-DE"/>
        </w:rPr>
      </w:pPr>
      <w:r>
        <w:rPr>
          <w:rStyle w:val="Caratterinotaapidipagina"/>
        </w:rPr>
        <w:footnoteRef/>
      </w:r>
      <w:r>
        <w:rPr>
          <w:rStyle w:val="AbsatzStandardschriftart"/>
          <w:color w:val="000000"/>
          <w:sz w:val="18"/>
          <w:szCs w:val="18"/>
          <w:lang w:val="de-DE"/>
        </w:rPr>
        <w:t xml:space="preserve"> </w:t>
      </w:r>
      <w:r>
        <w:rPr>
          <w:rStyle w:val="AbsatzStandardschriftart"/>
          <w:rFonts w:eastAsia="Times New Roman" w:cs="Times New Roman" w:ascii="Times New Roman" w:hAnsi="Times New Roman"/>
          <w:color w:val="111111"/>
          <w:sz w:val="18"/>
          <w:szCs w:val="18"/>
          <w:lang w:val="de-DE" w:eastAsia="it-IT"/>
        </w:rPr>
        <w:t>«</w:t>
      </w:r>
      <w:r>
        <w:rPr>
          <w:rStyle w:val="AbsatzStandardschriftart"/>
          <w:color w:val="000000"/>
          <w:sz w:val="18"/>
          <w:szCs w:val="18"/>
          <w:lang w:val="de-DE"/>
        </w:rPr>
        <w:t>Jene Denker, in denen alle Sterne sich in kyklischen Bahnen bewegen, sind nicht die tiefsten; wer in sich wie in einen ungeheuren Weltraum hineinsieht und Milchstraßen in sich trägt, der weiß auch, wie unregelmäßig alle Milchstraßen sind; sie führen bis ins Chaos und Labyrinth des Daseins hinein</w:t>
      </w:r>
      <w:r>
        <w:rPr>
          <w:rStyle w:val="AbsatzStandardschriftart"/>
          <w:rFonts w:eastAsia="Times New Roman" w:cs="Times New Roman" w:ascii="Times New Roman" w:hAnsi="Times New Roman"/>
          <w:color w:val="111111"/>
          <w:sz w:val="18"/>
          <w:szCs w:val="18"/>
          <w:lang w:val="de-DE" w:eastAsia="it-IT"/>
        </w:rPr>
        <w:t>».</w:t>
      </w:r>
    </w:p>
    <w:p>
      <w:pPr>
        <w:pStyle w:val="Footnote"/>
        <w:ind w:left="0" w:hanging="0"/>
        <w:rPr>
          <w:lang w:val="de-DE"/>
        </w:rPr>
      </w:pPr>
      <w:r>
        <w:rPr>
          <w:rStyle w:val="AbsatzStandardschriftart"/>
          <w:color w:val="000000"/>
          <w:sz w:val="18"/>
          <w:szCs w:val="18"/>
          <w:lang w:val="de-DE"/>
        </w:rPr>
        <w:t xml:space="preserve"> </w:t>
      </w:r>
      <w:r>
        <w:rPr>
          <w:rStyle w:val="AbsatzStandardschriftart"/>
          <w:color w:val="000000"/>
          <w:sz w:val="18"/>
          <w:szCs w:val="18"/>
          <w:lang w:val="de-DE"/>
        </w:rPr>
        <w:t xml:space="preserve">F. Nietzsche, </w:t>
      </w:r>
      <w:r>
        <w:rPr>
          <w:rStyle w:val="AbsatzStandardschriftart"/>
          <w:i/>
          <w:iCs/>
          <w:color w:val="000000"/>
          <w:sz w:val="18"/>
          <w:szCs w:val="18"/>
          <w:lang w:val="de-DE"/>
        </w:rPr>
        <w:t>Werke in zwei Bänden</w:t>
      </w:r>
      <w:r>
        <w:rPr>
          <w:rStyle w:val="AbsatzStandardschriftart"/>
          <w:color w:val="000000"/>
          <w:sz w:val="18"/>
          <w:szCs w:val="18"/>
          <w:lang w:val="de-DE"/>
        </w:rPr>
        <w:t>, Bd. II, hrsg. von Karl Schlechta, München 1954, S. 187.</w:t>
      </w:r>
    </w:p>
  </w:footnote>
  <w:footnote w:id="9">
    <w:p>
      <w:pPr>
        <w:pStyle w:val="Fuzeile"/>
        <w:rPr>
          <w:lang w:val="de-DE"/>
        </w:rPr>
      </w:pPr>
      <w:r>
        <w:rPr>
          <w:rStyle w:val="Caratterinotaapidipagina"/>
        </w:rPr>
        <w:footnoteRef/>
      </w:r>
      <w:r>
        <w:rPr>
          <w:rStyle w:val="AbsatzStandardschriftart"/>
          <w:color w:val="000000"/>
          <w:sz w:val="18"/>
          <w:szCs w:val="18"/>
          <w:lang w:val="de-DE"/>
        </w:rPr>
        <w:t xml:space="preserve"> </w:t>
      </w:r>
      <w:r>
        <w:rPr>
          <w:rStyle w:val="AbsatzStandardschriftart"/>
          <w:color w:val="000000"/>
          <w:sz w:val="18"/>
          <w:szCs w:val="18"/>
          <w:lang w:val="de-DE"/>
        </w:rPr>
        <w:t xml:space="preserve">Vgl. Hans Magnus Enzensberger, </w:t>
      </w:r>
      <w:r>
        <w:rPr>
          <w:rStyle w:val="AbsatzStandardschriftart"/>
          <w:i/>
          <w:iCs/>
          <w:color w:val="000000"/>
          <w:sz w:val="18"/>
          <w:szCs w:val="18"/>
          <w:lang w:val="de-DE"/>
        </w:rPr>
        <w:t>Wilhelm Meister, auf Blech getrommelt</w:t>
      </w:r>
      <w:r>
        <w:rPr>
          <w:rStyle w:val="AbsatzStandardschriftart"/>
          <w:color w:val="000000"/>
          <w:sz w:val="18"/>
          <w:szCs w:val="18"/>
          <w:lang w:val="de-DE"/>
        </w:rPr>
        <w:t xml:space="preserve">, in </w:t>
      </w:r>
      <w:r>
        <w:rPr>
          <w:rStyle w:val="Hervorhebung"/>
          <w:i w:val="false"/>
          <w:iCs w:val="false"/>
          <w:color w:val="000000"/>
          <w:sz w:val="18"/>
          <w:szCs w:val="18"/>
          <w:lang w:val="de-DE"/>
        </w:rPr>
        <w:t>Von Buch zu Buch – Günter Grass in der Kritik</w:t>
      </w:r>
      <w:r>
        <w:rPr>
          <w:rStyle w:val="AbsatzStandardschriftart"/>
          <w:color w:val="000000"/>
          <w:sz w:val="18"/>
          <w:szCs w:val="18"/>
          <w:lang w:val="de-DE"/>
        </w:rPr>
        <w:t>. Eine Dokumentation. hg. von Gert Loschütz, Neuwied, Berlin, 1968,</w:t>
      </w:r>
      <w:r>
        <w:rPr>
          <w:rStyle w:val="AbsatzStandardschriftart"/>
          <w:color w:val="000000"/>
          <w:sz w:val="18"/>
          <w:szCs w:val="18"/>
          <w:shd w:fill="FFFFFF" w:val="clear"/>
          <w:lang w:val="de-DE"/>
        </w:rPr>
        <w:t xml:space="preserve"> S. 8–12; </w:t>
      </w:r>
      <w:r>
        <w:rPr>
          <w:rStyle w:val="AbsatzStandardschriftart"/>
          <w:color w:val="000000"/>
          <w:sz w:val="18"/>
          <w:szCs w:val="18"/>
          <w:lang w:val="de-DE"/>
        </w:rPr>
        <w:t xml:space="preserve">vgl. Helmut Koopmann, Günter Grass, </w:t>
      </w:r>
      <w:r>
        <w:rPr>
          <w:rStyle w:val="AbsatzStandardschriftart"/>
          <w:i/>
          <w:iCs/>
          <w:color w:val="000000"/>
          <w:sz w:val="18"/>
          <w:szCs w:val="18"/>
          <w:lang w:val="de-DE"/>
        </w:rPr>
        <w:t>Der Faschismus als Kleinbürgertum und was daraus wurde,</w:t>
      </w:r>
      <w:r>
        <w:rPr>
          <w:rStyle w:val="AbsatzStandardschriftart"/>
          <w:color w:val="000000"/>
          <w:sz w:val="18"/>
          <w:szCs w:val="18"/>
          <w:lang w:val="de-DE"/>
        </w:rPr>
        <w:t xml:space="preserve"> in </w:t>
      </w:r>
      <w:r>
        <w:rPr>
          <w:rStyle w:val="AbsatzStandardschriftart"/>
          <w:rFonts w:eastAsia="Times New Roman" w:cs="Times New Roman" w:ascii="Times New Roman" w:hAnsi="Times New Roman"/>
          <w:color w:val="000000"/>
          <w:sz w:val="18"/>
          <w:szCs w:val="18"/>
          <w:lang w:val="de-DE" w:eastAsia="it-IT"/>
        </w:rPr>
        <w:t>«</w:t>
      </w:r>
      <w:r>
        <w:rPr>
          <w:rStyle w:val="AbsatzStandardschriftart"/>
          <w:color w:val="000000"/>
          <w:sz w:val="18"/>
          <w:szCs w:val="18"/>
          <w:lang w:val="de-DE"/>
        </w:rPr>
        <w:t>Gegenwartsliteratur und Drittes Reich</w:t>
      </w:r>
      <w:r>
        <w:rPr>
          <w:rStyle w:val="AbsatzStandardschriftart"/>
          <w:rFonts w:eastAsia="Times New Roman" w:cs="Times New Roman" w:ascii="Times New Roman" w:hAnsi="Times New Roman"/>
          <w:color w:val="111111"/>
          <w:sz w:val="18"/>
          <w:szCs w:val="18"/>
          <w:lang w:val="de-DE" w:eastAsia="it-IT"/>
        </w:rPr>
        <w:t>»</w:t>
      </w:r>
      <w:r>
        <w:rPr>
          <w:rStyle w:val="AbsatzStandardschriftart"/>
          <w:color w:val="000000"/>
          <w:sz w:val="18"/>
          <w:szCs w:val="18"/>
          <w:lang w:val="de-DE"/>
        </w:rPr>
        <w:t>, hg. von H. Wagener, Stuttgart 1977, S. 163–182.</w:t>
      </w:r>
    </w:p>
  </w:footnote>
</w:footnotes>
</file>

<file path=word/settings.xml><?xml version="1.0" encoding="utf-8"?>
<w:settings xmlns:w="http://schemas.openxmlformats.org/wordprocessingml/2006/main">
  <w:zoom w:percent="147"/>
  <w:defaultTabStop w:val="709"/>
  <w:autoHyphenation w:val="true"/>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hyphenationZone w:val="283"/>
  <w:themeFontLang w:val="it-IT"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Lohit Devanagari"/>
        <w:kern w:val="2"/>
        <w:sz w:val="24"/>
        <w:szCs w:val="24"/>
        <w:lang w:val="it-IT" w:eastAsia="zh-CN" w:bidi="hi-IN"/>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spacing w:before="0" w:after="0"/>
      <w:jc w:val="left"/>
      <w:textAlignment w:val="baseline"/>
    </w:pPr>
    <w:rPr>
      <w:rFonts w:ascii="Liberation Serif" w:hAnsi="Liberation Serif" w:eastAsia="Noto Serif CJK SC" w:cs="Lohit Devanagari"/>
      <w:color w:val="auto"/>
      <w:kern w:val="2"/>
      <w:sz w:val="24"/>
      <w:szCs w:val="24"/>
      <w:lang w:val="it-IT" w:eastAsia="zh-CN" w:bidi="hi-IN"/>
    </w:rPr>
  </w:style>
  <w:style w:type="character" w:styleId="DefaultParagraphFont" w:default="1">
    <w:name w:val="Default Paragraph Font"/>
    <w:uiPriority w:val="1"/>
    <w:semiHidden/>
    <w:unhideWhenUsed/>
    <w:qFormat/>
    <w:rPr/>
  </w:style>
  <w:style w:type="character" w:styleId="AbsatzStandardschriftart" w:customStyle="1">
    <w:name w:val="Absatz-Standardschriftart"/>
    <w:qFormat/>
    <w:rPr/>
  </w:style>
  <w:style w:type="character" w:styleId="Funotenzeichen" w:customStyle="1">
    <w:name w:val="Fußnotenzeichen"/>
    <w:basedOn w:val="AbsatzStandardschriftart"/>
    <w:qFormat/>
    <w:rPr>
      <w:vertAlign w:val="superscript"/>
    </w:rPr>
  </w:style>
  <w:style w:type="character" w:styleId="Kommentarzeichen" w:customStyle="1">
    <w:name w:val="Kommentarzeichen"/>
    <w:basedOn w:val="AbsatzStandardschriftart"/>
    <w:qFormat/>
    <w:rPr>
      <w:sz w:val="16"/>
      <w:szCs w:val="16"/>
    </w:rPr>
  </w:style>
  <w:style w:type="character" w:styleId="Hervorhebung" w:customStyle="1">
    <w:name w:val="Hervorhebung"/>
    <w:qFormat/>
    <w:rPr>
      <w:i/>
      <w:iCs/>
    </w:rPr>
  </w:style>
  <w:style w:type="character" w:styleId="FootnoteSymbol" w:customStyle="1">
    <w:name w:val="Footnote Symbol"/>
    <w:qFormat/>
    <w:rPr/>
  </w:style>
  <w:style w:type="character" w:styleId="Richiamoallanotaapidipagina" w:customStyle="1">
    <w:name w:val="Richiamo alla nota a piè di pagina"/>
    <w:rPr>
      <w:vertAlign w:val="superscript"/>
    </w:rPr>
  </w:style>
  <w:style w:type="character" w:styleId="Caratterinotaapidipagina">
    <w:name w:val="Caratteri nota a piè di pagina"/>
    <w:basedOn w:val="DefaultParagraphFont"/>
    <w:uiPriority w:val="99"/>
    <w:semiHidden/>
    <w:unhideWhenUsed/>
    <w:qFormat/>
    <w:rPr>
      <w:vertAlign w:val="superscript"/>
    </w:rPr>
  </w:style>
  <w:style w:type="character" w:styleId="Richiamoallanotadichiusura">
    <w:name w:val="Richiamo alla nota di chiusura"/>
    <w:rPr>
      <w:vertAlign w:val="superscript"/>
    </w:rPr>
  </w:style>
  <w:style w:type="character" w:styleId="Caratterinotadichiusura">
    <w:name w:val="Caratteri nota di chiusura"/>
    <w:qFormat/>
    <w:rPr/>
  </w:style>
  <w:style w:type="paragraph" w:styleId="Titolo" w:customStyle="1">
    <w:name w:val="Titolo"/>
    <w:basedOn w:val="Standard"/>
    <w:next w:val="Textbody"/>
    <w:qFormat/>
    <w:pPr>
      <w:keepNext w:val="true"/>
      <w:spacing w:before="240" w:after="120"/>
    </w:pPr>
    <w:rPr>
      <w:rFonts w:ascii="Liberation Sans" w:hAnsi="Liberation Sans" w:eastAsia="Noto Sans CJK SC"/>
      <w:sz w:val="28"/>
      <w:szCs w:val="28"/>
    </w:rPr>
  </w:style>
  <w:style w:type="paragraph" w:styleId="Corpodeltesto">
    <w:name w:val="Body Text"/>
    <w:basedOn w:val="Normal"/>
    <w:pPr>
      <w:spacing w:lineRule="auto" w:line="276" w:before="0" w:after="140"/>
    </w:pPr>
    <w:rPr/>
  </w:style>
  <w:style w:type="paragraph" w:styleId="Elenco">
    <w:name w:val="List"/>
    <w:basedOn w:val="Textbody"/>
    <w:pPr/>
    <w:rPr/>
  </w:style>
  <w:style w:type="paragraph" w:styleId="Didascalia">
    <w:name w:val="Caption"/>
    <w:basedOn w:val="Normal"/>
    <w:qFormat/>
    <w:pPr>
      <w:suppressLineNumbers/>
      <w:spacing w:before="120" w:after="120"/>
    </w:pPr>
    <w:rPr>
      <w:rFonts w:cs="Lohit Devanagari"/>
      <w:i/>
      <w:iCs/>
      <w:sz w:val="24"/>
      <w:szCs w:val="24"/>
    </w:rPr>
  </w:style>
  <w:style w:type="paragraph" w:styleId="Indice" w:customStyle="1">
    <w:name w:val="Indice"/>
    <w:basedOn w:val="Standard"/>
    <w:qFormat/>
    <w:pPr>
      <w:suppressLineNumbers/>
    </w:pPr>
    <w:rPr/>
  </w:style>
  <w:style w:type="paragraph" w:styleId="Standard" w:customStyle="1">
    <w:name w:val="Standard"/>
    <w:qFormat/>
    <w:pPr>
      <w:widowControl/>
      <w:suppressAutoHyphens w:val="true"/>
      <w:bidi w:val="0"/>
      <w:spacing w:before="0" w:after="0"/>
      <w:jc w:val="left"/>
      <w:textAlignment w:val="baseline"/>
    </w:pPr>
    <w:rPr>
      <w:rFonts w:ascii="Liberation Serif" w:hAnsi="Liberation Serif" w:eastAsia="Noto Serif CJK SC" w:cs="Lohit Devanagari"/>
      <w:color w:val="auto"/>
      <w:kern w:val="2"/>
      <w:sz w:val="24"/>
      <w:szCs w:val="24"/>
      <w:lang w:val="it-IT" w:eastAsia="zh-CN" w:bidi="hi-IN"/>
    </w:rPr>
  </w:style>
  <w:style w:type="paragraph" w:styleId="Textbody" w:customStyle="1">
    <w:name w:val="Text body"/>
    <w:basedOn w:val="Standard"/>
    <w:qFormat/>
    <w:pPr>
      <w:spacing w:lineRule="auto" w:line="276" w:before="0" w:after="140"/>
    </w:pPr>
    <w:rPr/>
  </w:style>
  <w:style w:type="paragraph" w:styleId="Caption">
    <w:name w:val="caption"/>
    <w:basedOn w:val="Standard"/>
    <w:qFormat/>
    <w:pPr>
      <w:suppressLineNumbers/>
      <w:spacing w:before="120" w:after="120"/>
    </w:pPr>
    <w:rPr>
      <w:i/>
      <w:iCs/>
    </w:rPr>
  </w:style>
  <w:style w:type="paragraph" w:styleId="Intestazioneepidipagina" w:customStyle="1">
    <w:name w:val="Intestazione e piè di pagina"/>
    <w:basedOn w:val="Standard"/>
    <w:qFormat/>
    <w:pPr>
      <w:suppressLineNumbers/>
      <w:tabs>
        <w:tab w:val="clear" w:pos="709"/>
        <w:tab w:val="center" w:pos="4986" w:leader="none"/>
        <w:tab w:val="right" w:pos="9972" w:leader="none"/>
      </w:tabs>
    </w:pPr>
    <w:rPr/>
  </w:style>
  <w:style w:type="paragraph" w:styleId="Fuzeile" w:customStyle="1">
    <w:name w:val="Fußzeile"/>
    <w:basedOn w:val="Intestazioneepidipagina"/>
    <w:qFormat/>
    <w:pPr>
      <w:tabs>
        <w:tab w:val="clear" w:pos="4986"/>
        <w:tab w:val="clear" w:pos="9972"/>
        <w:tab w:val="center" w:pos="4819" w:leader="none"/>
        <w:tab w:val="right" w:pos="9638" w:leader="none"/>
      </w:tabs>
    </w:pPr>
    <w:rPr/>
  </w:style>
  <w:style w:type="paragraph" w:styleId="Footnote" w:customStyle="1">
    <w:name w:val="Footnote"/>
    <w:basedOn w:val="Standard"/>
    <w:qFormat/>
    <w:pPr>
      <w:suppressLineNumbers/>
      <w:ind w:left="339" w:hanging="339"/>
    </w:pPr>
    <w:rPr>
      <w:sz w:val="20"/>
      <w:szCs w:val="20"/>
    </w:rPr>
  </w:style>
  <w:style w:type="paragraph" w:styleId="Pidipagina">
    <w:name w:val="Footer"/>
    <w:basedOn w:val="Intestazioneepidipagina"/>
    <w:pPr>
      <w:tabs>
        <w:tab w:val="clear" w:pos="4986"/>
        <w:tab w:val="clear" w:pos="9972"/>
        <w:tab w:val="center" w:pos="5386" w:leader="none"/>
        <w:tab w:val="right" w:pos="10772" w:leader="none"/>
      </w:tabs>
    </w:pPr>
    <w:rPr/>
  </w:style>
  <w:style w:type="paragraph" w:styleId="NormalWeb">
    <w:name w:val="Normal (Web)"/>
    <w:basedOn w:val="Normal"/>
    <w:uiPriority w:val="99"/>
    <w:semiHidden/>
    <w:unhideWhenUsed/>
    <w:qFormat/>
    <w:rsid w:val="000d2114"/>
    <w:pPr>
      <w:suppressAutoHyphens w:val="false"/>
      <w:spacing w:beforeAutospacing="1" w:afterAutospacing="1"/>
      <w:textAlignment w:val="auto"/>
    </w:pPr>
    <w:rPr>
      <w:rFonts w:ascii="Times New Roman" w:hAnsi="Times New Roman" w:eastAsia="Times New Roman" w:cs="Times New Roman"/>
      <w:kern w:val="0"/>
      <w:lang w:eastAsia="it-IT" w:bidi="ar-SA"/>
    </w:rPr>
  </w:style>
  <w:style w:type="paragraph" w:styleId="Notaapidipagina">
    <w:name w:val="Footnote Text"/>
    <w:basedOn w:val="Normal"/>
    <w:pPr/>
    <w:rPr/>
  </w:style>
  <w:style w:type="numbering" w:styleId="NoList" w:default="1">
    <w:name w:val="No List"/>
    <w:uiPriority w:val="99"/>
    <w:semiHidden/>
    <w:unhideWhenUsed/>
    <w:qFormat/>
  </w:style>
  <w:style w:type="table" w:default="1" w:styleId="Tabellanormale">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footnotes" Target="footnotes.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Application>LibreOffice/7.3.7.2$Linux_X86_64 LibreOffice_project/30$Build-2</Application>
  <AppVersion>15.0000</AppVersion>
  <Pages>12</Pages>
  <Words>4747</Words>
  <Characters>29485</Characters>
  <CharactersWithSpaces>34200</CharactersWithSpaces>
  <Paragraphs>45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2023-06-09T09:44:00Z</dcterms:created>
  <dc:creator/>
  <dc:description/>
  <dc:language>it-IT</dc:language>
  <cp:lastModifiedBy/>
  <dcterms:modified xsi:type="dcterms:W3CDTF">2023-08-31T11:27:32Z</dcterms:modified>
  <cp:revision>15</cp:revision>
  <dc:subject/>
  <dc:title/>
</cp:coreProperties>
</file>

<file path=docProps/custom.xml><?xml version="1.0" encoding="utf-8"?>
<Properties xmlns="http://schemas.openxmlformats.org/officeDocument/2006/custom-properties" xmlns:vt="http://schemas.openxmlformats.org/officeDocument/2006/docPropsVTypes"/>
</file>