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CFC7AC" w14:textId="77777777" w:rsidR="00D3193C" w:rsidRPr="00D936E9" w:rsidRDefault="00D3193C" w:rsidP="001F5C21">
      <w:pPr>
        <w:spacing w:line="360" w:lineRule="auto"/>
        <w:jc w:val="center"/>
        <w:rPr>
          <w:rFonts w:ascii="Garamond" w:hAnsi="Garamond"/>
        </w:rPr>
      </w:pPr>
    </w:p>
    <w:p w14:paraId="3CCB2EDF" w14:textId="28D5093A" w:rsidR="00A0193E" w:rsidRPr="00D936E9" w:rsidRDefault="001977DC" w:rsidP="001F5C21">
      <w:pPr>
        <w:spacing w:line="360" w:lineRule="auto"/>
        <w:jc w:val="center"/>
        <w:rPr>
          <w:rFonts w:ascii="Garamond" w:hAnsi="Garamond"/>
          <w:sz w:val="60"/>
          <w:szCs w:val="60"/>
        </w:rPr>
      </w:pPr>
      <w:r w:rsidRPr="00D936E9">
        <w:rPr>
          <w:rFonts w:ascii="Garamond" w:hAnsi="Garamond"/>
          <w:sz w:val="60"/>
          <w:szCs w:val="60"/>
        </w:rPr>
        <w:t>Nuovi lavori, nuovi spazi, medesimi diritti, per l’unità produttiva digitale</w:t>
      </w:r>
    </w:p>
    <w:p w14:paraId="59D20796" w14:textId="77777777" w:rsidR="001F5C21" w:rsidRPr="00D936E9" w:rsidRDefault="001F5C21" w:rsidP="001F5C21">
      <w:pPr>
        <w:spacing w:line="360" w:lineRule="auto"/>
        <w:jc w:val="center"/>
        <w:rPr>
          <w:rFonts w:ascii="Garamond" w:hAnsi="Garamond"/>
          <w:b/>
          <w:bCs/>
        </w:rPr>
      </w:pPr>
    </w:p>
    <w:p w14:paraId="6979F8E1" w14:textId="69E65BB9" w:rsidR="00A0193E" w:rsidRPr="00D936E9" w:rsidRDefault="00A0193E" w:rsidP="001F5C21">
      <w:pPr>
        <w:spacing w:line="360" w:lineRule="auto"/>
        <w:jc w:val="center"/>
        <w:rPr>
          <w:rFonts w:ascii="Garamond" w:hAnsi="Garamond"/>
          <w:b/>
          <w:bCs/>
          <w:sz w:val="32"/>
          <w:szCs w:val="32"/>
        </w:rPr>
      </w:pPr>
      <w:r w:rsidRPr="00D936E9">
        <w:rPr>
          <w:rFonts w:ascii="Garamond" w:hAnsi="Garamond"/>
          <w:b/>
          <w:bCs/>
          <w:sz w:val="32"/>
          <w:szCs w:val="32"/>
        </w:rPr>
        <w:t xml:space="preserve">di </w:t>
      </w:r>
      <w:r w:rsidR="00BF6FCB" w:rsidRPr="00D936E9">
        <w:rPr>
          <w:rFonts w:ascii="Garamond" w:hAnsi="Garamond"/>
          <w:b/>
          <w:bCs/>
          <w:sz w:val="32"/>
          <w:szCs w:val="32"/>
        </w:rPr>
        <w:t>Matteo Luccisano</w:t>
      </w:r>
    </w:p>
    <w:p w14:paraId="074DC574" w14:textId="7052C409" w:rsidR="00A0193E" w:rsidRPr="00D936E9" w:rsidRDefault="00BF6FCB" w:rsidP="001F5C21">
      <w:pPr>
        <w:spacing w:line="360" w:lineRule="auto"/>
        <w:jc w:val="center"/>
        <w:rPr>
          <w:rFonts w:ascii="Garamond" w:hAnsi="Garamond"/>
          <w:sz w:val="28"/>
          <w:szCs w:val="28"/>
        </w:rPr>
      </w:pPr>
      <w:r w:rsidRPr="00D936E9">
        <w:rPr>
          <w:rFonts w:ascii="Garamond" w:hAnsi="Garamond"/>
          <w:sz w:val="28"/>
          <w:szCs w:val="28"/>
        </w:rPr>
        <w:t>Dottorando di ricerca in diritto del lavoro</w:t>
      </w:r>
    </w:p>
    <w:p w14:paraId="4D9CB454" w14:textId="16C452F6" w:rsidR="001C4D14" w:rsidRPr="00D936E9" w:rsidRDefault="00BF6FCB" w:rsidP="001F5C21">
      <w:pPr>
        <w:spacing w:line="360" w:lineRule="auto"/>
        <w:jc w:val="center"/>
        <w:rPr>
          <w:rFonts w:ascii="Garamond" w:hAnsi="Garamond"/>
          <w:sz w:val="28"/>
          <w:szCs w:val="28"/>
        </w:rPr>
      </w:pPr>
      <w:r w:rsidRPr="00D936E9">
        <w:rPr>
          <w:rFonts w:ascii="Garamond" w:hAnsi="Garamond"/>
          <w:sz w:val="28"/>
          <w:szCs w:val="28"/>
        </w:rPr>
        <w:t xml:space="preserve">Fondazione M. Biagi - </w:t>
      </w:r>
      <w:r w:rsidR="00A0193E" w:rsidRPr="00D936E9">
        <w:rPr>
          <w:rFonts w:ascii="Garamond" w:hAnsi="Garamond"/>
          <w:sz w:val="28"/>
          <w:szCs w:val="28"/>
        </w:rPr>
        <w:t xml:space="preserve">Università degli Studi </w:t>
      </w:r>
      <w:r w:rsidRPr="00D936E9">
        <w:rPr>
          <w:rFonts w:ascii="Garamond" w:hAnsi="Garamond"/>
          <w:sz w:val="28"/>
          <w:szCs w:val="28"/>
        </w:rPr>
        <w:t>di Modena e Reggio Emilia</w:t>
      </w:r>
    </w:p>
    <w:p w14:paraId="0FBED568" w14:textId="77777777" w:rsidR="001C4D14" w:rsidRPr="00D936E9" w:rsidRDefault="001C4D14" w:rsidP="001F5C21">
      <w:pPr>
        <w:spacing w:line="360" w:lineRule="auto"/>
        <w:jc w:val="center"/>
        <w:rPr>
          <w:rFonts w:ascii="Garamond" w:hAnsi="Garamond"/>
          <w:b/>
          <w:bCs/>
        </w:rPr>
      </w:pPr>
    </w:p>
    <w:p w14:paraId="270DB6EC" w14:textId="77777777" w:rsidR="00C338CC" w:rsidRPr="00D936E9" w:rsidRDefault="00C338CC" w:rsidP="001F5C21">
      <w:pPr>
        <w:spacing w:line="360" w:lineRule="auto"/>
        <w:jc w:val="both"/>
        <w:rPr>
          <w:rFonts w:ascii="Garamond" w:hAnsi="Garamond"/>
          <w:b/>
          <w:bCs/>
        </w:rPr>
      </w:pPr>
    </w:p>
    <w:p w14:paraId="1FAA6903" w14:textId="15BB2012" w:rsidR="0000525E" w:rsidRPr="00D936E9" w:rsidRDefault="00A0193E" w:rsidP="0000525E">
      <w:pPr>
        <w:spacing w:line="360" w:lineRule="auto"/>
        <w:jc w:val="both"/>
        <w:rPr>
          <w:rFonts w:ascii="Garamond" w:hAnsi="Garamond"/>
        </w:rPr>
      </w:pPr>
      <w:r w:rsidRPr="00D936E9">
        <w:rPr>
          <w:rFonts w:ascii="Garamond" w:hAnsi="Garamond"/>
          <w:b/>
          <w:bCs/>
        </w:rPr>
        <w:t>Abstract [IT]</w:t>
      </w:r>
      <w:r w:rsidR="004F2991" w:rsidRPr="00D936E9">
        <w:rPr>
          <w:rFonts w:ascii="Garamond" w:hAnsi="Garamond"/>
          <w:b/>
          <w:bCs/>
        </w:rPr>
        <w:t xml:space="preserve">: </w:t>
      </w:r>
      <w:bookmarkStart w:id="0" w:name="_Hlk130282346"/>
      <w:r w:rsidR="004F2991" w:rsidRPr="00D936E9">
        <w:rPr>
          <w:rFonts w:ascii="Garamond" w:hAnsi="Garamond"/>
        </w:rPr>
        <w:t>Il contributo</w:t>
      </w:r>
      <w:r w:rsidR="001C4D14" w:rsidRPr="00D936E9">
        <w:rPr>
          <w:rFonts w:ascii="Garamond" w:hAnsi="Garamond"/>
        </w:rPr>
        <w:t xml:space="preserve"> </w:t>
      </w:r>
      <w:bookmarkEnd w:id="0"/>
      <w:r w:rsidR="00BF6FCB" w:rsidRPr="00D936E9">
        <w:rPr>
          <w:rFonts w:ascii="Garamond" w:hAnsi="Garamond"/>
        </w:rPr>
        <w:t>analizza</w:t>
      </w:r>
      <w:r w:rsidR="00FE4FDC" w:rsidRPr="00D936E9">
        <w:rPr>
          <w:rFonts w:ascii="Garamond" w:hAnsi="Garamond"/>
        </w:rPr>
        <w:t xml:space="preserve">, dalla prospettiva giuslavoristica, l’influenza dettata dall’evoluzione tecnologica ai rapporti di lavoro, con particolare riguardo alle piattaforme digitali di lavoro. </w:t>
      </w:r>
      <w:r w:rsidR="00DE2724" w:rsidRPr="00D936E9">
        <w:rPr>
          <w:rFonts w:ascii="Garamond" w:hAnsi="Garamond"/>
        </w:rPr>
        <w:t>P</w:t>
      </w:r>
      <w:r w:rsidR="00FE4FDC" w:rsidRPr="00D936E9">
        <w:rPr>
          <w:rFonts w:ascii="Garamond" w:hAnsi="Garamond"/>
        </w:rPr>
        <w:t xml:space="preserve">artendo da un approccio </w:t>
      </w:r>
      <w:r w:rsidR="00FE4FDC" w:rsidRPr="00D936E9">
        <w:rPr>
          <w:rFonts w:ascii="Garamond" w:hAnsi="Garamond"/>
          <w:i/>
          <w:iCs/>
        </w:rPr>
        <w:t xml:space="preserve">data </w:t>
      </w:r>
      <w:proofErr w:type="spellStart"/>
      <w:r w:rsidR="00FE4FDC" w:rsidRPr="00D936E9">
        <w:rPr>
          <w:rFonts w:ascii="Garamond" w:hAnsi="Garamond"/>
          <w:i/>
          <w:iCs/>
        </w:rPr>
        <w:t>driven</w:t>
      </w:r>
      <w:proofErr w:type="spellEnd"/>
      <w:r w:rsidR="00FE4FDC" w:rsidRPr="00D936E9">
        <w:rPr>
          <w:rFonts w:ascii="Garamond" w:hAnsi="Garamond"/>
          <w:i/>
          <w:iCs/>
        </w:rPr>
        <w:t xml:space="preserve"> </w:t>
      </w:r>
      <w:r w:rsidR="00FE4FDC" w:rsidRPr="00D936E9">
        <w:rPr>
          <w:rFonts w:ascii="Garamond" w:hAnsi="Garamond"/>
        </w:rPr>
        <w:t xml:space="preserve">di tipo sperimentale, il giurista deve </w:t>
      </w:r>
      <w:r w:rsidR="0000525E" w:rsidRPr="00D936E9">
        <w:rPr>
          <w:rFonts w:ascii="Garamond" w:hAnsi="Garamond"/>
        </w:rPr>
        <w:t>abbandonare</w:t>
      </w:r>
      <w:r w:rsidR="00FE4FDC" w:rsidRPr="00D936E9">
        <w:rPr>
          <w:rFonts w:ascii="Garamond" w:hAnsi="Garamond"/>
        </w:rPr>
        <w:t xml:space="preserve"> l’approccio tecnofobico e adattare </w:t>
      </w:r>
      <w:r w:rsidR="0000525E" w:rsidRPr="00D936E9">
        <w:rPr>
          <w:rFonts w:ascii="Garamond" w:hAnsi="Garamond"/>
        </w:rPr>
        <w:t xml:space="preserve">l’analisi giuridica alle trasformazioni in atto nel diritto del lavoro, anche per ciò che concerne la dimensione temporale. Le tendenze in corso, sia nello svolgimento dell’attività lavorativa che nelle relazioni industriali, portano, da un lato, a superare la distinzione tra lavoro subordinato e lavoro autonomo, e a ripensare il concetto di unità produttiva, che diventa ora anche digitale, senza, tuttavia, prescindere </w:t>
      </w:r>
      <w:r w:rsidR="0000525E" w:rsidRPr="00D936E9">
        <w:rPr>
          <w:rFonts w:ascii="Garamond" w:hAnsi="Garamond" w:cs="Arial"/>
        </w:rPr>
        <w:t xml:space="preserve">dall’esercizio dei diritti sindacali, come elementi immanenti al tema dell’unità produttiva. </w:t>
      </w:r>
      <w:r w:rsidR="0000525E" w:rsidRPr="00D936E9">
        <w:rPr>
          <w:rFonts w:ascii="Garamond" w:hAnsi="Garamond"/>
        </w:rPr>
        <w:t xml:space="preserve">Il contributo intende evidenziare le problematiche applicative, fornendo – laddove possibile – prospettive teorico-pratiche </w:t>
      </w:r>
      <w:r w:rsidR="0000525E" w:rsidRPr="00D936E9">
        <w:rPr>
          <w:rFonts w:ascii="Garamond" w:hAnsi="Garamond"/>
          <w:i/>
          <w:iCs/>
        </w:rPr>
        <w:t xml:space="preserve">de </w:t>
      </w:r>
      <w:proofErr w:type="spellStart"/>
      <w:r w:rsidR="0000525E" w:rsidRPr="00D936E9">
        <w:rPr>
          <w:rFonts w:ascii="Garamond" w:hAnsi="Garamond"/>
          <w:i/>
          <w:iCs/>
        </w:rPr>
        <w:t>jure</w:t>
      </w:r>
      <w:proofErr w:type="spellEnd"/>
      <w:r w:rsidR="0000525E" w:rsidRPr="00D936E9">
        <w:rPr>
          <w:rFonts w:ascii="Garamond" w:hAnsi="Garamond"/>
          <w:i/>
          <w:iCs/>
        </w:rPr>
        <w:t xml:space="preserve"> condendo</w:t>
      </w:r>
      <w:r w:rsidR="0000525E" w:rsidRPr="00D936E9">
        <w:rPr>
          <w:rFonts w:ascii="Garamond" w:hAnsi="Garamond" w:cs="Arial"/>
        </w:rPr>
        <w:t>.</w:t>
      </w:r>
    </w:p>
    <w:p w14:paraId="3C5A5018" w14:textId="77777777" w:rsidR="0000525E" w:rsidRPr="00D936E9" w:rsidRDefault="0000525E" w:rsidP="001F5C21">
      <w:pPr>
        <w:spacing w:line="360" w:lineRule="auto"/>
        <w:jc w:val="both"/>
        <w:rPr>
          <w:rFonts w:ascii="Garamond" w:hAnsi="Garamond"/>
        </w:rPr>
      </w:pPr>
    </w:p>
    <w:p w14:paraId="33FBDC38" w14:textId="77777777" w:rsidR="001F5C21" w:rsidRPr="00D936E9" w:rsidRDefault="001F5C21" w:rsidP="001F5C21">
      <w:pPr>
        <w:spacing w:line="360" w:lineRule="auto"/>
        <w:jc w:val="both"/>
        <w:rPr>
          <w:rFonts w:ascii="Garamond" w:hAnsi="Garamond"/>
          <w:highlight w:val="yellow"/>
        </w:rPr>
      </w:pPr>
    </w:p>
    <w:p w14:paraId="603C1128" w14:textId="77777777" w:rsidR="00A348F0" w:rsidRPr="00D936E9" w:rsidRDefault="00A348F0" w:rsidP="001F5C21">
      <w:pPr>
        <w:spacing w:line="360" w:lineRule="auto"/>
        <w:jc w:val="both"/>
        <w:rPr>
          <w:rFonts w:ascii="Garamond" w:hAnsi="Garamond"/>
          <w:b/>
          <w:bCs/>
        </w:rPr>
      </w:pPr>
    </w:p>
    <w:p w14:paraId="51D6A06C" w14:textId="1C2EEF29" w:rsidR="0000525E" w:rsidRPr="00D936E9" w:rsidRDefault="00A0193E" w:rsidP="001F068F">
      <w:pPr>
        <w:shd w:val="clear" w:color="auto" w:fill="FDFDFD"/>
        <w:spacing w:line="360" w:lineRule="auto"/>
        <w:jc w:val="both"/>
        <w:rPr>
          <w:rFonts w:ascii="Garamond" w:hAnsi="Garamond"/>
          <w:lang w:val="en-US"/>
        </w:rPr>
      </w:pPr>
      <w:r w:rsidRPr="00D936E9">
        <w:rPr>
          <w:rFonts w:ascii="Garamond" w:hAnsi="Garamond"/>
          <w:b/>
          <w:bCs/>
          <w:lang w:val="en-US"/>
        </w:rPr>
        <w:t>Abstract [EN]</w:t>
      </w:r>
      <w:r w:rsidR="001C4D14" w:rsidRPr="00D936E9">
        <w:rPr>
          <w:rFonts w:ascii="Garamond" w:hAnsi="Garamond"/>
          <w:bCs/>
          <w:lang w:val="en-US"/>
        </w:rPr>
        <w:t xml:space="preserve"> </w:t>
      </w:r>
      <w:r w:rsidR="00DE2724" w:rsidRPr="00D936E9">
        <w:rPr>
          <w:rFonts w:ascii="Garamond" w:hAnsi="Garamond"/>
          <w:lang w:val="en-US"/>
        </w:rPr>
        <w:t xml:space="preserve">The contribution analyzes, from a </w:t>
      </w:r>
      <w:proofErr w:type="spellStart"/>
      <w:r w:rsidR="00DE2724" w:rsidRPr="00D936E9">
        <w:rPr>
          <w:rFonts w:ascii="Garamond" w:hAnsi="Garamond"/>
          <w:lang w:val="en-US"/>
        </w:rPr>
        <w:t>labo</w:t>
      </w:r>
      <w:r w:rsidR="00917E31" w:rsidRPr="00D936E9">
        <w:rPr>
          <w:rFonts w:ascii="Garamond" w:hAnsi="Garamond"/>
          <w:lang w:val="en-US"/>
        </w:rPr>
        <w:t>u</w:t>
      </w:r>
      <w:r w:rsidR="00DE2724" w:rsidRPr="00D936E9">
        <w:rPr>
          <w:rFonts w:ascii="Garamond" w:hAnsi="Garamond"/>
          <w:lang w:val="en-US"/>
        </w:rPr>
        <w:t>r</w:t>
      </w:r>
      <w:proofErr w:type="spellEnd"/>
      <w:r w:rsidR="00DE2724" w:rsidRPr="00D936E9">
        <w:rPr>
          <w:rFonts w:ascii="Garamond" w:hAnsi="Garamond"/>
          <w:lang w:val="en-US"/>
        </w:rPr>
        <w:t xml:space="preserve"> law perspective, the influence dictated by technological evolution on employment relationships, with </w:t>
      </w:r>
      <w:proofErr w:type="gramStart"/>
      <w:r w:rsidR="00DE2724" w:rsidRPr="00D936E9">
        <w:rPr>
          <w:rFonts w:ascii="Garamond" w:hAnsi="Garamond"/>
          <w:lang w:val="en-US"/>
        </w:rPr>
        <w:t>particular regard</w:t>
      </w:r>
      <w:proofErr w:type="gramEnd"/>
      <w:r w:rsidR="00DE2724" w:rsidRPr="00D936E9">
        <w:rPr>
          <w:rFonts w:ascii="Garamond" w:hAnsi="Garamond"/>
          <w:lang w:val="en-US"/>
        </w:rPr>
        <w:t xml:space="preserve"> to digital work platforms. Starting from an experimental, data-driven approach, the legal expert must abandon a technophobic approach and adapt the legal analysis to the ongoing transformations in </w:t>
      </w:r>
      <w:proofErr w:type="spellStart"/>
      <w:r w:rsidR="00DE2724" w:rsidRPr="00D936E9">
        <w:rPr>
          <w:rFonts w:ascii="Garamond" w:hAnsi="Garamond"/>
          <w:lang w:val="en-US"/>
        </w:rPr>
        <w:t>labour</w:t>
      </w:r>
      <w:proofErr w:type="spellEnd"/>
      <w:r w:rsidR="00DE2724" w:rsidRPr="00D936E9">
        <w:rPr>
          <w:rFonts w:ascii="Garamond" w:hAnsi="Garamond"/>
          <w:lang w:val="en-US"/>
        </w:rPr>
        <w:t xml:space="preserve"> law, including its temporal dimension. The current trends, both in the performance of work activities and in industrial relations, lead, on the one hand, to overcoming the distinction between subordinate and self-employed work and to rethinking the concept of a productive unit, which now also becomes digital. However, this does not exclude the exercise of trade union rights as inherent elements of the theme of the productive unit. </w:t>
      </w:r>
      <w:r w:rsidR="0000525E" w:rsidRPr="00D936E9">
        <w:rPr>
          <w:rFonts w:ascii="Garamond" w:eastAsia="Times New Roman" w:hAnsi="Garamond" w:cs="Segoe UI"/>
          <w:lang w:val="en" w:eastAsia="it-IT"/>
        </w:rPr>
        <w:t xml:space="preserve">The </w:t>
      </w:r>
      <w:r w:rsidR="0000525E" w:rsidRPr="00D936E9">
        <w:rPr>
          <w:rFonts w:ascii="Garamond" w:eastAsia="Times New Roman" w:hAnsi="Garamond" w:cs="Segoe UI"/>
          <w:lang w:val="en" w:eastAsia="it-IT"/>
        </w:rPr>
        <w:lastRenderedPageBreak/>
        <w:t xml:space="preserve">contribution aims to analyze the application problems, also providing – where possible – theoretical-practical treatments </w:t>
      </w:r>
      <w:r w:rsidR="0000525E" w:rsidRPr="00D936E9">
        <w:rPr>
          <w:rFonts w:ascii="Garamond" w:hAnsi="Garamond"/>
          <w:i/>
          <w:iCs/>
          <w:lang w:val="en-US"/>
        </w:rPr>
        <w:t xml:space="preserve">de jure </w:t>
      </w:r>
      <w:proofErr w:type="spellStart"/>
      <w:r w:rsidR="0000525E" w:rsidRPr="00D936E9">
        <w:rPr>
          <w:rFonts w:ascii="Garamond" w:hAnsi="Garamond"/>
          <w:i/>
          <w:iCs/>
          <w:lang w:val="en-US"/>
        </w:rPr>
        <w:t>condendo</w:t>
      </w:r>
      <w:proofErr w:type="spellEnd"/>
      <w:r w:rsidR="0000525E" w:rsidRPr="00D936E9">
        <w:rPr>
          <w:rFonts w:ascii="Garamond" w:eastAsia="Times New Roman" w:hAnsi="Garamond" w:cs="Segoe UI"/>
          <w:lang w:val="en" w:eastAsia="it-IT"/>
        </w:rPr>
        <w:t>.</w:t>
      </w:r>
    </w:p>
    <w:p w14:paraId="5469374B" w14:textId="77777777" w:rsidR="00A348F0" w:rsidRPr="00D936E9" w:rsidRDefault="00A348F0" w:rsidP="001F5C21">
      <w:pPr>
        <w:spacing w:line="360" w:lineRule="auto"/>
        <w:jc w:val="both"/>
        <w:rPr>
          <w:rFonts w:ascii="Garamond" w:hAnsi="Garamond"/>
          <w:b/>
          <w:bCs/>
          <w:highlight w:val="yellow"/>
          <w:lang w:val="en-US"/>
        </w:rPr>
      </w:pPr>
    </w:p>
    <w:p w14:paraId="637B22DE" w14:textId="423A8124" w:rsidR="00A0193E" w:rsidRPr="00D936E9" w:rsidRDefault="00A0193E" w:rsidP="001F5C21">
      <w:pPr>
        <w:spacing w:line="360" w:lineRule="auto"/>
        <w:jc w:val="both"/>
        <w:rPr>
          <w:rFonts w:ascii="Garamond" w:hAnsi="Garamond"/>
        </w:rPr>
      </w:pPr>
      <w:r w:rsidRPr="00D936E9">
        <w:rPr>
          <w:rFonts w:ascii="Garamond" w:hAnsi="Garamond"/>
          <w:b/>
          <w:bCs/>
        </w:rPr>
        <w:t>Parole chiave:</w:t>
      </w:r>
      <w:r w:rsidRPr="00D936E9">
        <w:rPr>
          <w:rFonts w:ascii="Garamond" w:hAnsi="Garamond"/>
        </w:rPr>
        <w:t xml:space="preserve"> </w:t>
      </w:r>
      <w:r w:rsidR="003D329B" w:rsidRPr="00D936E9">
        <w:rPr>
          <w:rFonts w:ascii="Garamond" w:hAnsi="Garamond"/>
        </w:rPr>
        <w:t>Innovazione tecnologica, Lavoro tramite piattaforma digitale, Unità produttiva digitale, Diritti sindacali.</w:t>
      </w:r>
    </w:p>
    <w:p w14:paraId="05F58AB3" w14:textId="77777777" w:rsidR="001C4D14" w:rsidRPr="00D936E9" w:rsidRDefault="001C4D14" w:rsidP="001F5C21">
      <w:pPr>
        <w:spacing w:line="360" w:lineRule="auto"/>
        <w:jc w:val="both"/>
        <w:rPr>
          <w:rFonts w:ascii="Garamond" w:hAnsi="Garamond"/>
          <w:b/>
          <w:bCs/>
        </w:rPr>
      </w:pPr>
    </w:p>
    <w:p w14:paraId="29A3FD1C" w14:textId="7CF65156" w:rsidR="00136047" w:rsidRPr="00D936E9" w:rsidRDefault="00A0193E" w:rsidP="00136047">
      <w:pPr>
        <w:spacing w:line="360" w:lineRule="auto"/>
        <w:jc w:val="both"/>
        <w:rPr>
          <w:rFonts w:ascii="Garamond" w:hAnsi="Garamond"/>
          <w:lang w:val="en-US"/>
        </w:rPr>
      </w:pPr>
      <w:r w:rsidRPr="00D936E9">
        <w:rPr>
          <w:rFonts w:ascii="Garamond" w:hAnsi="Garamond"/>
          <w:b/>
          <w:bCs/>
          <w:lang w:val="en-US"/>
        </w:rPr>
        <w:t>Key words</w:t>
      </w:r>
      <w:r w:rsidRPr="00D936E9">
        <w:rPr>
          <w:rFonts w:ascii="Garamond" w:hAnsi="Garamond"/>
          <w:lang w:val="en-US"/>
        </w:rPr>
        <w:t xml:space="preserve">: </w:t>
      </w:r>
      <w:r w:rsidR="00136047" w:rsidRPr="00D936E9">
        <w:rPr>
          <w:rFonts w:ascii="Garamond" w:hAnsi="Garamond"/>
          <w:lang w:val="en-US"/>
        </w:rPr>
        <w:t>Technological innovation, Platform work, Digital productive unit, Trade union rights.</w:t>
      </w:r>
    </w:p>
    <w:p w14:paraId="37D6A5A8" w14:textId="1331DCF6" w:rsidR="00A0193E" w:rsidRPr="00D936E9" w:rsidRDefault="00A0193E" w:rsidP="001F5C21">
      <w:pPr>
        <w:spacing w:line="360" w:lineRule="auto"/>
        <w:jc w:val="both"/>
        <w:rPr>
          <w:rFonts w:ascii="Garamond" w:hAnsi="Garamond"/>
          <w:lang w:val="en-US"/>
        </w:rPr>
      </w:pPr>
    </w:p>
    <w:p w14:paraId="409DF373" w14:textId="77777777" w:rsidR="00A0193E" w:rsidRPr="00D936E9" w:rsidRDefault="00A0193E" w:rsidP="001F5C21">
      <w:pPr>
        <w:spacing w:line="360" w:lineRule="auto"/>
        <w:jc w:val="both"/>
        <w:rPr>
          <w:rFonts w:ascii="Garamond" w:hAnsi="Garamond"/>
          <w:lang w:val="en-US"/>
        </w:rPr>
      </w:pPr>
    </w:p>
    <w:p w14:paraId="06915F51" w14:textId="6C1F0114" w:rsidR="00453DFC" w:rsidRPr="00D936E9" w:rsidRDefault="00CD6585" w:rsidP="00453DFC">
      <w:pPr>
        <w:spacing w:line="360" w:lineRule="auto"/>
        <w:jc w:val="both"/>
        <w:rPr>
          <w:rFonts w:ascii="Garamond" w:hAnsi="Garamond"/>
        </w:rPr>
      </w:pPr>
      <w:r w:rsidRPr="00D936E9">
        <w:rPr>
          <w:rFonts w:ascii="Garamond" w:hAnsi="Garamond"/>
          <w:b/>
          <w:u w:val="single"/>
        </w:rPr>
        <w:t>Sommario:</w:t>
      </w:r>
      <w:r w:rsidRPr="00D936E9">
        <w:rPr>
          <w:rFonts w:ascii="Garamond" w:hAnsi="Garamond"/>
          <w:b/>
        </w:rPr>
        <w:t xml:space="preserve"> </w:t>
      </w:r>
      <w:r w:rsidR="00453DFC" w:rsidRPr="00D936E9">
        <w:rPr>
          <w:rFonts w:ascii="Garamond" w:hAnsi="Garamond"/>
        </w:rPr>
        <w:t xml:space="preserve">1. </w:t>
      </w:r>
      <w:r w:rsidR="003D329B" w:rsidRPr="00D936E9">
        <w:rPr>
          <w:rFonts w:ascii="Garamond" w:hAnsi="Garamond"/>
        </w:rPr>
        <w:t>Premesse</w:t>
      </w:r>
      <w:r w:rsidR="00157A4C" w:rsidRPr="00D936E9">
        <w:rPr>
          <w:rFonts w:ascii="Garamond" w:hAnsi="Garamond"/>
        </w:rPr>
        <w:t xml:space="preserve"> sull’unità produttiva digitale</w:t>
      </w:r>
      <w:r w:rsidR="003D329B" w:rsidRPr="00D936E9">
        <w:rPr>
          <w:rFonts w:ascii="Garamond" w:hAnsi="Garamond"/>
        </w:rPr>
        <w:t>. L’approccio metodologico e l’approccio disciplinare</w:t>
      </w:r>
      <w:r w:rsidR="00453DFC" w:rsidRPr="00D936E9">
        <w:rPr>
          <w:rFonts w:ascii="Garamond" w:hAnsi="Garamond"/>
        </w:rPr>
        <w:t xml:space="preserve"> </w:t>
      </w:r>
      <w:r w:rsidR="00A348F0" w:rsidRPr="00D936E9">
        <w:rPr>
          <w:rFonts w:ascii="Garamond" w:hAnsi="Garamond"/>
        </w:rPr>
        <w:t>–</w:t>
      </w:r>
      <w:r w:rsidR="00BF6FCB" w:rsidRPr="00D936E9">
        <w:rPr>
          <w:rFonts w:ascii="Garamond" w:hAnsi="Garamond"/>
        </w:rPr>
        <w:t xml:space="preserve"> </w:t>
      </w:r>
      <w:r w:rsidR="00453DFC" w:rsidRPr="00D936E9">
        <w:rPr>
          <w:rFonts w:ascii="Garamond" w:hAnsi="Garamond"/>
        </w:rPr>
        <w:t xml:space="preserve">2. </w:t>
      </w:r>
      <w:r w:rsidR="00FF1150" w:rsidRPr="00D936E9">
        <w:rPr>
          <w:rFonts w:ascii="Garamond" w:hAnsi="Garamond"/>
        </w:rPr>
        <w:t xml:space="preserve">L’evoluzione della nozione di unità produttiva nello Statuto dei lavoratori – 3. </w:t>
      </w:r>
      <w:r w:rsidR="003D329B" w:rsidRPr="00D936E9">
        <w:rPr>
          <w:rFonts w:ascii="Garamond" w:hAnsi="Garamond"/>
        </w:rPr>
        <w:t>Innovazione tecnologica e lavoro. Il superamento di vecchi modelli</w:t>
      </w:r>
      <w:r w:rsidR="00453DFC" w:rsidRPr="00D936E9">
        <w:rPr>
          <w:rFonts w:ascii="Garamond" w:hAnsi="Garamond"/>
        </w:rPr>
        <w:t xml:space="preserve"> – </w:t>
      </w:r>
      <w:r w:rsidR="00FF1150" w:rsidRPr="00D936E9">
        <w:rPr>
          <w:rFonts w:ascii="Garamond" w:hAnsi="Garamond"/>
        </w:rPr>
        <w:t>4</w:t>
      </w:r>
      <w:r w:rsidR="00453DFC" w:rsidRPr="00D936E9">
        <w:rPr>
          <w:rFonts w:ascii="Garamond" w:hAnsi="Garamond"/>
        </w:rPr>
        <w:t xml:space="preserve">. </w:t>
      </w:r>
      <w:r w:rsidR="003D329B" w:rsidRPr="00D936E9">
        <w:rPr>
          <w:rFonts w:ascii="Garamond" w:hAnsi="Garamond"/>
        </w:rPr>
        <w:t xml:space="preserve">L’unità produttiva </w:t>
      </w:r>
      <w:r w:rsidR="003D329B" w:rsidRPr="00D936E9">
        <w:rPr>
          <w:rFonts w:ascii="Garamond" w:hAnsi="Garamond"/>
          <w:i/>
          <w:iCs/>
        </w:rPr>
        <w:t xml:space="preserve">digitale </w:t>
      </w:r>
      <w:r w:rsidR="003D329B" w:rsidRPr="00D936E9">
        <w:rPr>
          <w:rFonts w:ascii="Garamond" w:hAnsi="Garamond"/>
        </w:rPr>
        <w:t>e l’esercizio dei diritti sindacali</w:t>
      </w:r>
      <w:r w:rsidR="00453DFC" w:rsidRPr="00D936E9">
        <w:rPr>
          <w:rFonts w:ascii="Garamond" w:hAnsi="Garamond"/>
        </w:rPr>
        <w:t xml:space="preserve"> – </w:t>
      </w:r>
      <w:r w:rsidR="00FF1150" w:rsidRPr="00D936E9">
        <w:rPr>
          <w:rFonts w:ascii="Garamond" w:hAnsi="Garamond"/>
        </w:rPr>
        <w:t>5</w:t>
      </w:r>
      <w:r w:rsidR="00453DFC" w:rsidRPr="00D936E9">
        <w:rPr>
          <w:rFonts w:ascii="Garamond" w:hAnsi="Garamond"/>
        </w:rPr>
        <w:t xml:space="preserve">. </w:t>
      </w:r>
      <w:r w:rsidR="003D329B" w:rsidRPr="00D936E9">
        <w:rPr>
          <w:rFonts w:ascii="Garamond" w:hAnsi="Garamond"/>
        </w:rPr>
        <w:t xml:space="preserve">Unità produttiva, rappresentanza sindacale e procedimentalizzazione dei poteri datoriali: </w:t>
      </w:r>
      <w:r w:rsidR="00606C79" w:rsidRPr="00D936E9">
        <w:rPr>
          <w:rFonts w:ascii="Garamond" w:hAnsi="Garamond"/>
        </w:rPr>
        <w:t>cambiare, per tenerli uniti</w:t>
      </w:r>
      <w:r w:rsidR="003D329B" w:rsidRPr="00D936E9">
        <w:rPr>
          <w:rFonts w:ascii="Garamond" w:hAnsi="Garamond"/>
        </w:rPr>
        <w:t>.</w:t>
      </w:r>
    </w:p>
    <w:p w14:paraId="1202666B" w14:textId="77777777" w:rsidR="0065603F" w:rsidRPr="00D936E9" w:rsidRDefault="0065603F" w:rsidP="001F5C21">
      <w:pPr>
        <w:spacing w:line="360" w:lineRule="auto"/>
        <w:jc w:val="both"/>
        <w:rPr>
          <w:rFonts w:ascii="Garamond" w:hAnsi="Garamond"/>
          <w:b/>
        </w:rPr>
      </w:pPr>
    </w:p>
    <w:p w14:paraId="650362A1" w14:textId="77777777" w:rsidR="00E67A02" w:rsidRPr="00D936E9" w:rsidRDefault="00E67A02" w:rsidP="001F5C21">
      <w:pPr>
        <w:spacing w:line="360" w:lineRule="auto"/>
        <w:jc w:val="both"/>
        <w:rPr>
          <w:rFonts w:ascii="Garamond" w:hAnsi="Garamond"/>
          <w:b/>
        </w:rPr>
      </w:pPr>
    </w:p>
    <w:p w14:paraId="58A8914F" w14:textId="78640F6B" w:rsidR="008948A9" w:rsidRPr="00D936E9" w:rsidRDefault="008948A9" w:rsidP="008948A9">
      <w:pPr>
        <w:shd w:val="clear" w:color="auto" w:fill="FDFDFD"/>
        <w:spacing w:line="360" w:lineRule="auto"/>
        <w:ind w:left="3969"/>
        <w:jc w:val="right"/>
        <w:rPr>
          <w:rFonts w:ascii="Garamond" w:hAnsi="Garamond"/>
          <w:i/>
          <w:iCs/>
        </w:rPr>
      </w:pPr>
      <w:r w:rsidRPr="00D936E9">
        <w:rPr>
          <w:rFonts w:ascii="Garamond" w:hAnsi="Garamond"/>
          <w:i/>
          <w:iCs/>
        </w:rPr>
        <w:t xml:space="preserve">Mi chiedo quanti dei presenti siano stati spinti a scegliere la nostra materia dalla parola “diritto” e quanti dalla parola “lavoro”. Quanti, </w:t>
      </w:r>
      <w:proofErr w:type="gramStart"/>
      <w:r w:rsidRPr="00D936E9">
        <w:rPr>
          <w:rFonts w:ascii="Garamond" w:hAnsi="Garamond"/>
          <w:i/>
          <w:iCs/>
        </w:rPr>
        <w:t>cioè</w:t>
      </w:r>
      <w:proofErr w:type="gramEnd"/>
      <w:r w:rsidRPr="00D936E9">
        <w:rPr>
          <w:rFonts w:ascii="Garamond" w:hAnsi="Garamond"/>
          <w:i/>
          <w:iCs/>
        </w:rPr>
        <w:t xml:space="preserve"> siano arrivati al diritto perché erano interessati dei problemi del lavoro, cioè non perché fossero giuristi “puri”, appassionati alla logica dei concetti, ma perché trascinati dalla tematica sociale, storica, ecc.</w:t>
      </w:r>
    </w:p>
    <w:p w14:paraId="5A91D6DA" w14:textId="1AEADD3E" w:rsidR="008948A9" w:rsidRPr="00D936E9" w:rsidRDefault="008948A9" w:rsidP="008948A9">
      <w:pPr>
        <w:shd w:val="clear" w:color="auto" w:fill="FDFDFD"/>
        <w:spacing w:line="360" w:lineRule="auto"/>
        <w:ind w:left="3119"/>
        <w:jc w:val="right"/>
        <w:rPr>
          <w:rFonts w:ascii="Garamond" w:hAnsi="Garamond"/>
          <w:lang w:val="en-US"/>
        </w:rPr>
      </w:pPr>
      <w:r w:rsidRPr="00D936E9">
        <w:rPr>
          <w:rFonts w:ascii="Garamond" w:hAnsi="Garamond"/>
          <w:lang w:val="en-US"/>
        </w:rPr>
        <w:t xml:space="preserve">Gino </w:t>
      </w:r>
      <w:proofErr w:type="spellStart"/>
      <w:r w:rsidRPr="00D936E9">
        <w:rPr>
          <w:rFonts w:ascii="Garamond" w:hAnsi="Garamond"/>
          <w:lang w:val="en-US"/>
        </w:rPr>
        <w:t>Giugni</w:t>
      </w:r>
      <w:proofErr w:type="spellEnd"/>
      <w:r w:rsidR="00D3193C" w:rsidRPr="00D936E9">
        <w:rPr>
          <w:rFonts w:ascii="Garamond" w:hAnsi="Garamond"/>
          <w:lang w:val="en-US"/>
        </w:rPr>
        <w:t xml:space="preserve">, 3 </w:t>
      </w:r>
      <w:proofErr w:type="spellStart"/>
      <w:r w:rsidR="00157A4C" w:rsidRPr="00D936E9">
        <w:rPr>
          <w:rFonts w:ascii="Garamond" w:hAnsi="Garamond"/>
          <w:lang w:val="en-US"/>
        </w:rPr>
        <w:t>n</w:t>
      </w:r>
      <w:r w:rsidR="00D3193C" w:rsidRPr="00D936E9">
        <w:rPr>
          <w:rFonts w:ascii="Garamond" w:hAnsi="Garamond"/>
          <w:lang w:val="en-US"/>
        </w:rPr>
        <w:t>ovembre</w:t>
      </w:r>
      <w:proofErr w:type="spellEnd"/>
      <w:r w:rsidR="00D3193C" w:rsidRPr="00D936E9">
        <w:rPr>
          <w:rFonts w:ascii="Garamond" w:hAnsi="Garamond"/>
          <w:lang w:val="en-US"/>
        </w:rPr>
        <w:t xml:space="preserve"> 1969</w:t>
      </w:r>
    </w:p>
    <w:p w14:paraId="011FCEFF" w14:textId="77777777" w:rsidR="00727B03" w:rsidRPr="00D936E9" w:rsidRDefault="00727B03" w:rsidP="001F5C21">
      <w:pPr>
        <w:spacing w:line="360" w:lineRule="auto"/>
        <w:jc w:val="both"/>
        <w:rPr>
          <w:rFonts w:ascii="Garamond" w:hAnsi="Garamond"/>
          <w:b/>
        </w:rPr>
      </w:pPr>
    </w:p>
    <w:p w14:paraId="624FC48E" w14:textId="77777777" w:rsidR="00E67A02" w:rsidRPr="00D936E9" w:rsidRDefault="00E67A02" w:rsidP="001F5C21">
      <w:pPr>
        <w:spacing w:line="360" w:lineRule="auto"/>
        <w:jc w:val="both"/>
        <w:rPr>
          <w:rFonts w:ascii="Garamond" w:hAnsi="Garamond"/>
          <w:b/>
        </w:rPr>
      </w:pPr>
    </w:p>
    <w:p w14:paraId="5FE1D5AF" w14:textId="50C08B1D" w:rsidR="0019667B" w:rsidRPr="00D936E9" w:rsidRDefault="003D329B" w:rsidP="001F5C21">
      <w:pPr>
        <w:numPr>
          <w:ilvl w:val="0"/>
          <w:numId w:val="9"/>
        </w:numPr>
        <w:spacing w:line="360" w:lineRule="auto"/>
        <w:jc w:val="both"/>
        <w:rPr>
          <w:rFonts w:ascii="Garamond" w:hAnsi="Garamond"/>
          <w:b/>
          <w:bCs/>
        </w:rPr>
      </w:pPr>
      <w:r w:rsidRPr="00D936E9">
        <w:rPr>
          <w:rFonts w:ascii="Garamond" w:hAnsi="Garamond"/>
          <w:b/>
          <w:bCs/>
        </w:rPr>
        <w:t>Premesse</w:t>
      </w:r>
      <w:r w:rsidR="00157A4C" w:rsidRPr="00D936E9">
        <w:rPr>
          <w:rFonts w:ascii="Garamond" w:hAnsi="Garamond"/>
          <w:b/>
          <w:bCs/>
        </w:rPr>
        <w:t xml:space="preserve"> sull’unità produttiva digitale</w:t>
      </w:r>
      <w:r w:rsidR="00D147AC" w:rsidRPr="00D936E9">
        <w:rPr>
          <w:rStyle w:val="Rimandonotaapidipagina"/>
          <w:rFonts w:ascii="Garamond" w:hAnsi="Garamond"/>
          <w:b/>
          <w:bCs/>
        </w:rPr>
        <w:footnoteReference w:id="1"/>
      </w:r>
      <w:r w:rsidR="00157A4C" w:rsidRPr="00D936E9">
        <w:rPr>
          <w:rFonts w:ascii="Garamond" w:hAnsi="Garamond"/>
          <w:b/>
          <w:bCs/>
        </w:rPr>
        <w:t xml:space="preserve">. </w:t>
      </w:r>
      <w:r w:rsidRPr="00D936E9">
        <w:rPr>
          <w:rFonts w:ascii="Garamond" w:hAnsi="Garamond"/>
          <w:b/>
          <w:bCs/>
        </w:rPr>
        <w:t>L’approccio metodologico e l’approccio disciplinare</w:t>
      </w:r>
    </w:p>
    <w:p w14:paraId="5AEC6526" w14:textId="6ED8F6B6" w:rsidR="00A0119C" w:rsidRPr="00D936E9" w:rsidRDefault="00F75EBE" w:rsidP="00F75EBE">
      <w:pPr>
        <w:spacing w:line="360" w:lineRule="auto"/>
        <w:jc w:val="both"/>
        <w:rPr>
          <w:rFonts w:ascii="Garamond" w:hAnsi="Garamond"/>
        </w:rPr>
      </w:pPr>
      <w:r w:rsidRPr="00D936E9">
        <w:rPr>
          <w:rFonts w:ascii="Garamond" w:hAnsi="Garamond"/>
        </w:rPr>
        <w:t xml:space="preserve">Il concetto giuridico di unità produttiva, così come interpretato dal 1970 a oggi da dottrina e giurisprudenza, è ancora attuale? Necessita di una revisione, alla luce della digitalizzazione che ha coinvolto il mondo del lavoro? L’accesso ai diritti sindacali di cui al Titolo III dello Statuto dei lavoratori, che contraddistingue e definisce l’unità produttiva, è consentito </w:t>
      </w:r>
      <w:r w:rsidR="008B79BB" w:rsidRPr="00D936E9">
        <w:rPr>
          <w:rFonts w:ascii="Garamond" w:hAnsi="Garamond"/>
        </w:rPr>
        <w:t xml:space="preserve">anche </w:t>
      </w:r>
      <w:r w:rsidRPr="00D936E9">
        <w:rPr>
          <w:rFonts w:ascii="Garamond" w:hAnsi="Garamond"/>
        </w:rPr>
        <w:t xml:space="preserve">nell’unità produttiva </w:t>
      </w:r>
      <w:r w:rsidRPr="00D936E9">
        <w:rPr>
          <w:rFonts w:ascii="Garamond" w:hAnsi="Garamond"/>
          <w:i/>
          <w:iCs/>
        </w:rPr>
        <w:t>digitale</w:t>
      </w:r>
      <w:r w:rsidRPr="00D936E9">
        <w:rPr>
          <w:rFonts w:ascii="Garamond" w:hAnsi="Garamond"/>
        </w:rPr>
        <w:t>?</w:t>
      </w:r>
    </w:p>
    <w:p w14:paraId="0204927F" w14:textId="359EF6DC" w:rsidR="00F43B40" w:rsidRPr="00D936E9" w:rsidRDefault="00F75EBE" w:rsidP="00F75EBE">
      <w:pPr>
        <w:spacing w:line="360" w:lineRule="auto"/>
        <w:jc w:val="both"/>
        <w:rPr>
          <w:rFonts w:ascii="Garamond" w:hAnsi="Garamond"/>
        </w:rPr>
      </w:pPr>
      <w:r w:rsidRPr="00D936E9">
        <w:rPr>
          <w:rFonts w:ascii="Garamond" w:hAnsi="Garamond"/>
        </w:rPr>
        <w:t xml:space="preserve">Si cerca qui di rispondere a queste domande, tentando di dare un senso all’art. 35, l. 20 maggio 1970, n. 300, nell’epoca forse di massima evoluzione tecnologica dei rapporti di lavoro, che travolge tutto e </w:t>
      </w:r>
      <w:r w:rsidR="00520795" w:rsidRPr="00D936E9">
        <w:rPr>
          <w:rFonts w:ascii="Garamond" w:hAnsi="Garamond"/>
        </w:rPr>
        <w:t xml:space="preserve">che </w:t>
      </w:r>
      <w:r w:rsidRPr="00D936E9">
        <w:rPr>
          <w:rFonts w:ascii="Garamond" w:hAnsi="Garamond"/>
        </w:rPr>
        <w:t xml:space="preserve">impone di riflettere anche sull’attualità delle concezioni temporali e spaziali del diritto del lavoro, da cui l’esigenza di analizzare in cosa consistono oggi le unità produttive nell’ambito dei nuovi lavori che si sono </w:t>
      </w:r>
      <w:r w:rsidRPr="00D936E9">
        <w:rPr>
          <w:rFonts w:ascii="Garamond" w:hAnsi="Garamond"/>
        </w:rPr>
        <w:lastRenderedPageBreak/>
        <w:t>generati</w:t>
      </w:r>
      <w:r w:rsidR="00520795" w:rsidRPr="00D936E9">
        <w:rPr>
          <w:rFonts w:ascii="Garamond" w:hAnsi="Garamond"/>
        </w:rPr>
        <w:t>.</w:t>
      </w:r>
      <w:r w:rsidRPr="00D936E9">
        <w:rPr>
          <w:rFonts w:ascii="Garamond" w:hAnsi="Garamond"/>
        </w:rPr>
        <w:t xml:space="preserve"> </w:t>
      </w:r>
      <w:r w:rsidR="00520795" w:rsidRPr="00D936E9">
        <w:rPr>
          <w:rFonts w:ascii="Garamond" w:hAnsi="Garamond"/>
        </w:rPr>
        <w:t>I</w:t>
      </w:r>
      <w:r w:rsidRPr="00D936E9">
        <w:rPr>
          <w:rFonts w:ascii="Garamond" w:hAnsi="Garamond"/>
        </w:rPr>
        <w:t xml:space="preserve">n questo senso, se </w:t>
      </w:r>
      <w:r w:rsidR="00F43B40" w:rsidRPr="00D936E9">
        <w:rPr>
          <w:rFonts w:ascii="Garamond" w:hAnsi="Garamond"/>
        </w:rPr>
        <w:t xml:space="preserve">la regolazione del lavoro </w:t>
      </w:r>
      <w:r w:rsidRPr="00D936E9">
        <w:rPr>
          <w:rFonts w:ascii="Garamond" w:hAnsi="Garamond"/>
        </w:rPr>
        <w:t xml:space="preserve">non potrà che continuare </w:t>
      </w:r>
      <w:r w:rsidR="00F43B40" w:rsidRPr="00D936E9">
        <w:rPr>
          <w:rFonts w:ascii="Garamond" w:hAnsi="Garamond"/>
        </w:rPr>
        <w:t>a mutare, le norme di legge e di contrattazione collettiva</w:t>
      </w:r>
      <w:r w:rsidRPr="00D936E9">
        <w:rPr>
          <w:rFonts w:ascii="Garamond" w:hAnsi="Garamond"/>
        </w:rPr>
        <w:t xml:space="preserve">, invece, dovranno </w:t>
      </w:r>
      <w:r w:rsidR="00F43B40" w:rsidRPr="00D936E9">
        <w:rPr>
          <w:rFonts w:ascii="Garamond" w:hAnsi="Garamond"/>
        </w:rPr>
        <w:t>proseguire nello sforzo di adattamento rispetto alla tecnica e agli strumenti dotati di intelligenza artificiale, sforzo su cui gli studiosi da sempre – e non solo in epoca moderna – si sono esercitati</w:t>
      </w:r>
      <w:r w:rsidR="00F43B40" w:rsidRPr="00D936E9">
        <w:rPr>
          <w:rStyle w:val="Rimandonotaapidipagina"/>
          <w:rFonts w:ascii="Garamond" w:hAnsi="Garamond"/>
        </w:rPr>
        <w:footnoteReference w:id="2"/>
      </w:r>
      <w:r w:rsidR="00F43B40" w:rsidRPr="00D936E9">
        <w:rPr>
          <w:rFonts w:ascii="Garamond" w:hAnsi="Garamond"/>
        </w:rPr>
        <w:t xml:space="preserve">. </w:t>
      </w:r>
    </w:p>
    <w:p w14:paraId="0474B834" w14:textId="77777777" w:rsidR="00F43B40" w:rsidRPr="00D936E9" w:rsidRDefault="00F43B40" w:rsidP="00F43B40">
      <w:pPr>
        <w:pStyle w:val="NormaleWeb"/>
        <w:spacing w:before="0" w:beforeAutospacing="0" w:after="0" w:afterAutospacing="0" w:line="360" w:lineRule="auto"/>
        <w:jc w:val="both"/>
        <w:rPr>
          <w:rFonts w:ascii="Garamond" w:hAnsi="Garamond"/>
        </w:rPr>
      </w:pPr>
      <w:r w:rsidRPr="00D936E9">
        <w:rPr>
          <w:rFonts w:ascii="Garamond" w:hAnsi="Garamond"/>
        </w:rPr>
        <w:t>L’imponente trasformazione tecnica attuale, tuttavia, che riguarda i modelli organizzativi, le modalità di svolgimento della prestazione lavorativa e il controllo sui lavoratori, pare non avere precedenti storici così incisivi, nemmeno nella rivoluzione industriale o nel fordismo, in quanto supera e stravolge le categorie classiche, generalmente divisive, del diritto del lavoro, aprendo questioni teoriche decisive, riferite alla tecnologia più avanzata</w:t>
      </w:r>
      <w:r w:rsidRPr="00D936E9">
        <w:rPr>
          <w:rStyle w:val="Rimandonotaapidipagina"/>
          <w:rFonts w:ascii="Garamond" w:hAnsi="Garamond"/>
        </w:rPr>
        <w:footnoteReference w:id="3"/>
      </w:r>
      <w:r w:rsidRPr="00D936E9">
        <w:rPr>
          <w:rFonts w:ascii="Garamond" w:hAnsi="Garamond"/>
        </w:rPr>
        <w:t xml:space="preserve">. </w:t>
      </w:r>
    </w:p>
    <w:p w14:paraId="0CCB60DD" w14:textId="77777777" w:rsidR="00F43B40" w:rsidRPr="00D936E9" w:rsidRDefault="00F43B40" w:rsidP="00F43B40">
      <w:pPr>
        <w:pStyle w:val="NormaleWeb"/>
        <w:spacing w:before="0" w:beforeAutospacing="0" w:after="0" w:afterAutospacing="0" w:line="360" w:lineRule="auto"/>
        <w:jc w:val="both"/>
        <w:rPr>
          <w:rFonts w:ascii="Garamond" w:hAnsi="Garamond"/>
        </w:rPr>
      </w:pPr>
      <w:r w:rsidRPr="00D936E9">
        <w:rPr>
          <w:rFonts w:ascii="Garamond" w:hAnsi="Garamond"/>
        </w:rPr>
        <w:t>È un fenomeno in continua evoluzione, che coinvolge ogni ambito umano, economico e giuridico, e determina l’impresa del futuro: in una espressione sintetica, la «</w:t>
      </w:r>
      <w:r w:rsidRPr="00D936E9">
        <w:rPr>
          <w:rFonts w:ascii="Garamond" w:hAnsi="Garamond"/>
          <w:i/>
          <w:iCs/>
        </w:rPr>
        <w:t>fabbrica intelligente</w:t>
      </w:r>
      <w:r w:rsidRPr="00D936E9">
        <w:rPr>
          <w:rFonts w:ascii="Garamond" w:hAnsi="Garamond"/>
        </w:rPr>
        <w:t>», ossia l’insieme delle tecnologie digitali organizzate che regolano i sistemi di produzione e distribuzione nonché il lavoro</w:t>
      </w:r>
      <w:r w:rsidRPr="00D936E9">
        <w:rPr>
          <w:rStyle w:val="Rimandonotaapidipagina"/>
          <w:rFonts w:ascii="Garamond" w:hAnsi="Garamond"/>
        </w:rPr>
        <w:footnoteReference w:id="4"/>
      </w:r>
      <w:r w:rsidRPr="00D936E9">
        <w:rPr>
          <w:rFonts w:ascii="Garamond" w:hAnsi="Garamond"/>
        </w:rPr>
        <w:t>, che rompe ogni schema (comprese le resistenze mentali e ideologiche) anche nei settori produttivi e nelle organizzazioni aziendali meno inclini al cambiamento. In altre parole, il diritto deve adattarsi alla tecnologia, per evitare sofisticate elaborazioni in dottrina troppo spesso slegate dalle realtà, col rischio di costruire il discorso giuridico «</w:t>
      </w:r>
      <w:r w:rsidRPr="00D936E9">
        <w:rPr>
          <w:rFonts w:ascii="Garamond" w:hAnsi="Garamond"/>
          <w:i/>
          <w:iCs/>
        </w:rPr>
        <w:t>sulle sabbie mobili</w:t>
      </w:r>
      <w:r w:rsidRPr="00D936E9">
        <w:rPr>
          <w:rStyle w:val="Rimandonotaapidipagina"/>
          <w:rFonts w:ascii="Garamond" w:hAnsi="Garamond"/>
        </w:rPr>
        <w:footnoteReference w:id="5"/>
      </w:r>
      <w:r w:rsidRPr="00D936E9">
        <w:rPr>
          <w:rFonts w:ascii="Garamond" w:hAnsi="Garamond"/>
        </w:rPr>
        <w:t>».</w:t>
      </w:r>
    </w:p>
    <w:p w14:paraId="714FAAB5" w14:textId="75C9225F" w:rsidR="00F43B40" w:rsidRPr="00D936E9" w:rsidRDefault="00F43B40" w:rsidP="00F43B40">
      <w:pPr>
        <w:pStyle w:val="NormaleWeb"/>
        <w:spacing w:before="0" w:beforeAutospacing="0" w:after="0" w:afterAutospacing="0" w:line="360" w:lineRule="auto"/>
        <w:jc w:val="both"/>
        <w:rPr>
          <w:rFonts w:ascii="Garamond" w:hAnsi="Garamond" w:cs="Arial"/>
        </w:rPr>
      </w:pPr>
      <w:r w:rsidRPr="00D936E9">
        <w:rPr>
          <w:rFonts w:ascii="Garamond" w:hAnsi="Garamond"/>
        </w:rPr>
        <w:t xml:space="preserve">Viene, quindi, da chiedersi se è cambiato, e come, il lavoro nei luoghi di lavoro, alla luce delle più recenti tecnologie, e che influenze ha e continuerà ad avere nei rapporti di forza tra le parti, nella gestione del conflitto industriale, nella concezione stessa di unità produttiva </w:t>
      </w:r>
      <w:r w:rsidR="00EE4E0D" w:rsidRPr="00D936E9">
        <w:rPr>
          <w:rFonts w:ascii="Garamond" w:hAnsi="Garamond"/>
        </w:rPr>
        <w:t xml:space="preserve">– </w:t>
      </w:r>
      <w:r w:rsidRPr="00D936E9">
        <w:rPr>
          <w:rFonts w:ascii="Garamond" w:hAnsi="Garamond"/>
        </w:rPr>
        <w:t>che sempre di più sarà digitale</w:t>
      </w:r>
      <w:r w:rsidR="00EE4E0D" w:rsidRPr="00D936E9">
        <w:rPr>
          <w:rFonts w:ascii="Garamond" w:hAnsi="Garamond"/>
        </w:rPr>
        <w:t xml:space="preserve"> – </w:t>
      </w:r>
      <w:r w:rsidRPr="00D936E9">
        <w:rPr>
          <w:rFonts w:ascii="Garamond" w:hAnsi="Garamond"/>
        </w:rPr>
        <w:t>e i riflessi sull’esercizio dei diritti sindacali.</w:t>
      </w:r>
    </w:p>
    <w:p w14:paraId="246AD19F" w14:textId="6BF77B9B" w:rsidR="00744E49" w:rsidRPr="00D936E9" w:rsidRDefault="00F43B40" w:rsidP="00744E49">
      <w:pPr>
        <w:pStyle w:val="NormaleWeb"/>
        <w:spacing w:before="0" w:beforeAutospacing="0" w:after="0" w:afterAutospacing="0" w:line="360" w:lineRule="auto"/>
        <w:jc w:val="both"/>
        <w:rPr>
          <w:rFonts w:ascii="Garamond" w:hAnsi="Garamond"/>
        </w:rPr>
      </w:pPr>
      <w:r w:rsidRPr="00D936E9">
        <w:rPr>
          <w:rFonts w:ascii="Garamond" w:hAnsi="Garamond"/>
        </w:rPr>
        <w:t xml:space="preserve">Il mondo del lavoro digitale impone sempre più fluidità nei rapporti e agilità nell’organizzazione, aspetti che vengono costantemente ricombinati verso risultati più efficienti e un maggior coinvolgimento dei lavoratori. </w:t>
      </w:r>
      <w:r w:rsidR="00744E49" w:rsidRPr="00D936E9">
        <w:rPr>
          <w:rFonts w:ascii="Garamond" w:hAnsi="Garamond"/>
        </w:rPr>
        <w:t>Si badi bene: non si tratta di un nuovo settore dell’economia, ma, piuttosto, l’infrastruttura digitale rappresenta una nuova modalità di organizzazione del lavoro e dei servizi resi al consumatore-cliente, trasversale ai più diversi settori merceologici</w:t>
      </w:r>
      <w:r w:rsidR="00744E49" w:rsidRPr="00D936E9">
        <w:rPr>
          <w:rStyle w:val="Rimandonotaapidipagina"/>
          <w:rFonts w:ascii="Garamond" w:hAnsi="Garamond"/>
        </w:rPr>
        <w:footnoteReference w:id="6"/>
      </w:r>
      <w:r w:rsidR="00744E49" w:rsidRPr="00D936E9">
        <w:rPr>
          <w:rFonts w:ascii="Garamond" w:hAnsi="Garamond"/>
        </w:rPr>
        <w:t>.</w:t>
      </w:r>
    </w:p>
    <w:p w14:paraId="54B40B17" w14:textId="2DFBD1FF" w:rsidR="00AE2646" w:rsidRPr="00D936E9" w:rsidRDefault="00744E49" w:rsidP="00C43D9C">
      <w:pPr>
        <w:pStyle w:val="NormaleWeb"/>
        <w:spacing w:before="0" w:beforeAutospacing="0" w:after="0" w:afterAutospacing="0" w:line="360" w:lineRule="auto"/>
        <w:jc w:val="both"/>
        <w:rPr>
          <w:rFonts w:ascii="Garamond" w:hAnsi="Garamond"/>
          <w:b/>
          <w:bCs/>
        </w:rPr>
      </w:pPr>
      <w:r w:rsidRPr="00D936E9">
        <w:rPr>
          <w:rFonts w:ascii="Garamond" w:hAnsi="Garamond"/>
        </w:rPr>
        <w:t>In questo senso, l</w:t>
      </w:r>
      <w:r w:rsidR="00F43B40" w:rsidRPr="00D936E9">
        <w:rPr>
          <w:rFonts w:ascii="Garamond" w:hAnsi="Garamond"/>
        </w:rPr>
        <w:t xml:space="preserve">e unità produttive </w:t>
      </w:r>
      <w:r w:rsidRPr="00D936E9">
        <w:rPr>
          <w:rFonts w:ascii="Garamond" w:hAnsi="Garamond"/>
        </w:rPr>
        <w:t>diventano</w:t>
      </w:r>
      <w:r w:rsidR="00F43B40" w:rsidRPr="00D936E9">
        <w:rPr>
          <w:rFonts w:ascii="Garamond" w:hAnsi="Garamond"/>
        </w:rPr>
        <w:t xml:space="preserve"> sempre più digitali</w:t>
      </w:r>
      <w:r w:rsidR="00C47C3C" w:rsidRPr="00D936E9">
        <w:rPr>
          <w:rFonts w:ascii="Garamond" w:hAnsi="Garamond"/>
        </w:rPr>
        <w:t xml:space="preserve"> – come spiegato anche dalla «</w:t>
      </w:r>
      <w:r w:rsidR="00C47C3C" w:rsidRPr="00D936E9">
        <w:rPr>
          <w:rFonts w:ascii="Garamond" w:hAnsi="Garamond"/>
          <w:i/>
          <w:iCs/>
        </w:rPr>
        <w:t xml:space="preserve">Proposta di Direttiva del Parlamento Europeo e del Consiglio relativa al miglioramento delle condizioni di lavoro nel lavoro mediante </w:t>
      </w:r>
      <w:r w:rsidR="00C47C3C" w:rsidRPr="00D936E9">
        <w:rPr>
          <w:rFonts w:ascii="Garamond" w:hAnsi="Garamond"/>
          <w:i/>
          <w:iCs/>
        </w:rPr>
        <w:lastRenderedPageBreak/>
        <w:t>piattaforme digitali</w:t>
      </w:r>
      <w:r w:rsidR="00C47C3C" w:rsidRPr="00D936E9">
        <w:rPr>
          <w:rStyle w:val="Rimandonotaapidipagina"/>
          <w:rFonts w:ascii="Garamond" w:hAnsi="Garamond"/>
          <w:spacing w:val="3"/>
        </w:rPr>
        <w:footnoteReference w:id="7"/>
      </w:r>
      <w:r w:rsidR="00C47C3C" w:rsidRPr="00D936E9">
        <w:rPr>
          <w:rFonts w:ascii="Garamond" w:hAnsi="Garamond"/>
        </w:rPr>
        <w:t>»</w:t>
      </w:r>
      <w:r w:rsidR="00C47C3C" w:rsidRPr="00D936E9">
        <w:rPr>
          <w:rFonts w:ascii="Garamond" w:hAnsi="Garamond"/>
          <w:spacing w:val="3"/>
        </w:rPr>
        <w:t xml:space="preserve"> </w:t>
      </w:r>
      <w:r w:rsidR="00C47C3C" w:rsidRPr="00D936E9">
        <w:rPr>
          <w:rFonts w:ascii="Garamond" w:hAnsi="Garamond" w:cs="Arial"/>
        </w:rPr>
        <w:t xml:space="preserve">(qui di seguito anche </w:t>
      </w:r>
      <w:r w:rsidR="00C47C3C" w:rsidRPr="00D936E9">
        <w:rPr>
          <w:rFonts w:ascii="Garamond" w:hAnsi="Garamond"/>
        </w:rPr>
        <w:t>«</w:t>
      </w:r>
      <w:r w:rsidR="00C47C3C" w:rsidRPr="00D936E9">
        <w:rPr>
          <w:rFonts w:ascii="Garamond" w:hAnsi="Garamond" w:cs="Arial"/>
          <w:i/>
          <w:iCs/>
        </w:rPr>
        <w:t>Proposta di direttiva UE</w:t>
      </w:r>
      <w:r w:rsidR="00C47C3C" w:rsidRPr="00D936E9">
        <w:rPr>
          <w:rFonts w:ascii="Garamond" w:hAnsi="Garamond"/>
        </w:rPr>
        <w:t>»</w:t>
      </w:r>
      <w:r w:rsidR="00C47C3C" w:rsidRPr="00D936E9">
        <w:rPr>
          <w:rFonts w:ascii="Garamond" w:hAnsi="Garamond" w:cs="Arial"/>
        </w:rPr>
        <w:t xml:space="preserve">) – </w:t>
      </w:r>
      <w:r w:rsidR="00F43B40" w:rsidRPr="00D936E9">
        <w:rPr>
          <w:rFonts w:ascii="Garamond" w:hAnsi="Garamond"/>
        </w:rPr>
        <w:t>e ciò permette di svolgere il lavoro in più unità produttive contemporaneamente</w:t>
      </w:r>
      <w:r w:rsidR="00F43B40" w:rsidRPr="00D936E9">
        <w:rPr>
          <w:rStyle w:val="Rimandonotaapidipagina"/>
          <w:rFonts w:ascii="Garamond" w:hAnsi="Garamond"/>
        </w:rPr>
        <w:footnoteReference w:id="8"/>
      </w:r>
      <w:r w:rsidR="00F43B40" w:rsidRPr="00D936E9">
        <w:rPr>
          <w:rFonts w:ascii="Garamond" w:hAnsi="Garamond"/>
        </w:rPr>
        <w:t>. Si tratta di una sempre maggiore velocità, fluidità, agilità, ubiquità, che non solo favorisce le imprese, ma apporta un sostegno significativo anche ai lavoratori e ai talenti più meritevoli al fine di promuovere la professionalità, consentendo un maggiore adattamento alle esigenze nuove del mercato del lavoro, in relazione alle quali crescerà la domanda, rispetto a quelle competenze sempre più obsolete</w:t>
      </w:r>
      <w:r w:rsidR="00D147AC" w:rsidRPr="00D936E9">
        <w:rPr>
          <w:rStyle w:val="Rimandonotaapidipagina"/>
          <w:rFonts w:ascii="Garamond" w:hAnsi="Garamond"/>
        </w:rPr>
        <w:footnoteReference w:id="9"/>
      </w:r>
      <w:r w:rsidR="00F43B40" w:rsidRPr="00D936E9">
        <w:rPr>
          <w:rFonts w:ascii="Garamond" w:hAnsi="Garamond"/>
        </w:rPr>
        <w:t xml:space="preserve">. </w:t>
      </w:r>
    </w:p>
    <w:p w14:paraId="3A99D712" w14:textId="35B59507" w:rsidR="00550567" w:rsidRPr="00D936E9" w:rsidRDefault="00C43D9C" w:rsidP="00C43D9C">
      <w:pPr>
        <w:pStyle w:val="NormaleWeb"/>
        <w:spacing w:before="0" w:beforeAutospacing="0" w:after="0" w:afterAutospacing="0" w:line="360" w:lineRule="auto"/>
        <w:jc w:val="both"/>
        <w:rPr>
          <w:rFonts w:ascii="Garamond" w:hAnsi="Garamond"/>
        </w:rPr>
      </w:pPr>
      <w:r w:rsidRPr="00D936E9">
        <w:rPr>
          <w:rFonts w:ascii="Garamond" w:hAnsi="Garamond"/>
        </w:rPr>
        <w:t>Queste tendenze</w:t>
      </w:r>
      <w:r w:rsidR="00550567" w:rsidRPr="00D936E9">
        <w:rPr>
          <w:rFonts w:ascii="Garamond" w:hAnsi="Garamond"/>
        </w:rPr>
        <w:t xml:space="preserve"> </w:t>
      </w:r>
      <w:r w:rsidRPr="00D936E9">
        <w:rPr>
          <w:rFonts w:ascii="Garamond" w:hAnsi="Garamond"/>
        </w:rPr>
        <w:t>non devono far perdere di vista un aspetto che è costitutivo del concetto di unità produttiva, che riguarda l’effettiva possibilità di fruire dei diritti sindacali di cui al Titolo III, l. 20 maggio 1970, n. 300: se è vero che non c’è unità produttiva ove non si può costituire una rappresentanza sindacale aziendale, ove i lavoratori non possono riunirsi in assemblea né indire un referendum</w:t>
      </w:r>
      <w:r w:rsidR="00550567" w:rsidRPr="00D936E9">
        <w:rPr>
          <w:rFonts w:ascii="Garamond" w:hAnsi="Garamond"/>
        </w:rPr>
        <w:t xml:space="preserve"> su materia relative all’attività sindacale, allora i diritti sindacali devono poter essere esercitati anche nell’unità produttiva digitale. </w:t>
      </w:r>
      <w:r w:rsidR="005C3A5F" w:rsidRPr="00D936E9">
        <w:rPr>
          <w:rFonts w:ascii="Garamond" w:hAnsi="Garamond"/>
        </w:rPr>
        <w:t>Anzi: i diritti sindacali definiscono il campo di applicazione del concetto di unità produttiva. E questo vale a maggior ragione a seguito delle modifiche intervenute nel 2012 e nel 2015 nella disciplina dei licenziamenti individuali</w:t>
      </w:r>
    </w:p>
    <w:p w14:paraId="01248192" w14:textId="112C7510" w:rsidR="00B80340" w:rsidRPr="00D936E9" w:rsidRDefault="00550567" w:rsidP="00444E7B">
      <w:pPr>
        <w:pStyle w:val="NormaleWeb"/>
        <w:spacing w:before="0" w:beforeAutospacing="0" w:after="0" w:afterAutospacing="0" w:line="360" w:lineRule="auto"/>
        <w:jc w:val="both"/>
        <w:rPr>
          <w:rFonts w:ascii="Garamond" w:hAnsi="Garamond"/>
        </w:rPr>
      </w:pPr>
      <w:r w:rsidRPr="00D936E9">
        <w:rPr>
          <w:rFonts w:ascii="Garamond" w:hAnsi="Garamond"/>
        </w:rPr>
        <w:t xml:space="preserve">La questione, tuttavia, non è scontata, posto che </w:t>
      </w:r>
      <w:r w:rsidR="00A0119C" w:rsidRPr="00D936E9">
        <w:rPr>
          <w:rFonts w:ascii="Garamond" w:hAnsi="Garamond"/>
        </w:rPr>
        <w:t>«</w:t>
      </w:r>
      <w:r w:rsidR="00A0119C" w:rsidRPr="00D936E9">
        <w:rPr>
          <w:rFonts w:ascii="Garamond" w:hAnsi="Garamond"/>
          <w:i/>
          <w:iCs/>
        </w:rPr>
        <w:t>Occorre che la</w:t>
      </w:r>
      <w:r w:rsidRPr="00D936E9">
        <w:rPr>
          <w:rFonts w:ascii="Garamond" w:hAnsi="Garamond"/>
          <w:i/>
          <w:iCs/>
        </w:rPr>
        <w:t xml:space="preserve"> garanzia di</w:t>
      </w:r>
      <w:r w:rsidR="00A0119C" w:rsidRPr="00D936E9">
        <w:rPr>
          <w:rFonts w:ascii="Garamond" w:hAnsi="Garamond"/>
          <w:i/>
          <w:iCs/>
        </w:rPr>
        <w:t xml:space="preserve"> libertà sindacale si concreti anche in un effettivo potere di agire</w:t>
      </w:r>
      <w:r w:rsidR="00C43D9C" w:rsidRPr="00D936E9">
        <w:rPr>
          <w:rFonts w:ascii="Garamond" w:hAnsi="Garamond"/>
          <w:i/>
          <w:iCs/>
        </w:rPr>
        <w:t xml:space="preserve"> </w:t>
      </w:r>
      <w:r w:rsidR="00A0119C" w:rsidRPr="00D936E9">
        <w:rPr>
          <w:rFonts w:ascii="Garamond" w:hAnsi="Garamond"/>
          <w:i/>
          <w:iCs/>
        </w:rPr>
        <w:t xml:space="preserve">nei confronti delle piattaforme digitali </w:t>
      </w:r>
      <w:r w:rsidRPr="00D936E9">
        <w:rPr>
          <w:rFonts w:ascii="Garamond" w:hAnsi="Garamond"/>
          <w:i/>
          <w:iCs/>
        </w:rPr>
        <w:t>potere che non può essere ridotto alla mera disponibilità di un luogo, fisico o anche virtuale, di incontro e che richiede piuttosto la concreta agibilità all’interno del luogo/organizzazione del lavoro, e di accedere ai diritti sindacali di cui al Titolo III dello Statuto</w:t>
      </w:r>
      <w:r w:rsidRPr="00D936E9">
        <w:rPr>
          <w:rStyle w:val="Rimandonotaapidipagina"/>
          <w:rFonts w:ascii="Garamond" w:hAnsi="Garamond"/>
          <w:i/>
          <w:iCs/>
        </w:rPr>
        <w:footnoteReference w:id="10"/>
      </w:r>
      <w:r w:rsidR="00A0119C" w:rsidRPr="00D936E9">
        <w:rPr>
          <w:rFonts w:ascii="Garamond" w:hAnsi="Garamond"/>
        </w:rPr>
        <w:t>».</w:t>
      </w:r>
      <w:r w:rsidRPr="00D936E9">
        <w:rPr>
          <w:rFonts w:ascii="Garamond" w:hAnsi="Garamond"/>
        </w:rPr>
        <w:t xml:space="preserve"> Infatti, </w:t>
      </w:r>
      <w:r w:rsidR="004A50BA" w:rsidRPr="00D936E9">
        <w:rPr>
          <w:rFonts w:ascii="Garamond" w:hAnsi="Garamond"/>
        </w:rPr>
        <w:t xml:space="preserve">i nuovi contesti produttivi della </w:t>
      </w:r>
      <w:proofErr w:type="spellStart"/>
      <w:r w:rsidR="004A50BA" w:rsidRPr="00D936E9">
        <w:rPr>
          <w:rFonts w:ascii="Garamond" w:hAnsi="Garamond"/>
          <w:i/>
          <w:iCs/>
        </w:rPr>
        <w:t>gig</w:t>
      </w:r>
      <w:proofErr w:type="spellEnd"/>
      <w:r w:rsidR="004A50BA" w:rsidRPr="00D936E9">
        <w:rPr>
          <w:rFonts w:ascii="Garamond" w:hAnsi="Garamond"/>
          <w:i/>
          <w:iCs/>
        </w:rPr>
        <w:t xml:space="preserve"> economy</w:t>
      </w:r>
      <w:r w:rsidR="004A50BA" w:rsidRPr="00D936E9">
        <w:rPr>
          <w:rFonts w:ascii="Garamond" w:hAnsi="Garamond"/>
        </w:rPr>
        <w:t xml:space="preserve">, sempre più frammentati e articolati, spesso caratterizzati da complessi immateriali, in cui vi operano lavoratori non sempre subordinati, o, a volte, di difficile classificazione in uno schema contrattuale rigido, non sempre consentono facilmente l’esercizio della </w:t>
      </w:r>
      <w:r w:rsidR="00A0119C" w:rsidRPr="00D936E9">
        <w:rPr>
          <w:rFonts w:ascii="Garamond" w:hAnsi="Garamond"/>
        </w:rPr>
        <w:t>rappresentanz</w:t>
      </w:r>
      <w:r w:rsidR="004A50BA" w:rsidRPr="00D936E9">
        <w:rPr>
          <w:rFonts w:ascii="Garamond" w:hAnsi="Garamond"/>
        </w:rPr>
        <w:t xml:space="preserve">a sindacale nei luoghi di lavoro; proprio perché questi ultimi sono sempre più realtà fluide che non permettono di riconoscere immediatamente l’ambito </w:t>
      </w:r>
      <w:r w:rsidR="00B80340" w:rsidRPr="00D936E9">
        <w:rPr>
          <w:rFonts w:ascii="Garamond" w:hAnsi="Garamond"/>
        </w:rPr>
        <w:t xml:space="preserve">entro cui </w:t>
      </w:r>
      <w:r w:rsidR="004A50BA" w:rsidRPr="00D936E9">
        <w:rPr>
          <w:rFonts w:ascii="Garamond" w:hAnsi="Garamond"/>
        </w:rPr>
        <w:t xml:space="preserve">la disciplina statutaria </w:t>
      </w:r>
      <w:r w:rsidR="00B80340" w:rsidRPr="00D936E9">
        <w:rPr>
          <w:rFonts w:ascii="Garamond" w:hAnsi="Garamond"/>
        </w:rPr>
        <w:t>ha</w:t>
      </w:r>
      <w:r w:rsidR="00C43D9C" w:rsidRPr="00D936E9">
        <w:rPr>
          <w:rFonts w:ascii="Garamond" w:hAnsi="Garamond"/>
        </w:rPr>
        <w:t xml:space="preserve"> </w:t>
      </w:r>
      <w:r w:rsidR="00B80340" w:rsidRPr="00D936E9">
        <w:rPr>
          <w:rFonts w:ascii="Garamond" w:hAnsi="Garamond"/>
        </w:rPr>
        <w:t>organizzato le prerogative sindacali.</w:t>
      </w:r>
      <w:r w:rsidR="00C43D9C" w:rsidRPr="00D936E9">
        <w:rPr>
          <w:rFonts w:ascii="Garamond" w:hAnsi="Garamond"/>
        </w:rPr>
        <w:t xml:space="preserve"> </w:t>
      </w:r>
      <w:r w:rsidR="00444E7B" w:rsidRPr="00D936E9">
        <w:rPr>
          <w:rFonts w:ascii="Garamond" w:hAnsi="Garamond"/>
        </w:rPr>
        <w:t xml:space="preserve">Perciò occorre riflettere sulla </w:t>
      </w:r>
      <w:r w:rsidR="00B80340" w:rsidRPr="00D936E9">
        <w:rPr>
          <w:rFonts w:ascii="Garamond" w:hAnsi="Garamond"/>
        </w:rPr>
        <w:t>nozione di</w:t>
      </w:r>
      <w:r w:rsidR="00C43D9C" w:rsidRPr="00D936E9">
        <w:rPr>
          <w:rFonts w:ascii="Garamond" w:hAnsi="Garamond"/>
        </w:rPr>
        <w:t xml:space="preserve"> </w:t>
      </w:r>
      <w:r w:rsidR="00B80340" w:rsidRPr="00D936E9">
        <w:rPr>
          <w:rFonts w:ascii="Garamond" w:hAnsi="Garamond"/>
        </w:rPr>
        <w:t>unità produttiva</w:t>
      </w:r>
      <w:r w:rsidR="00D93EDC" w:rsidRPr="00D936E9">
        <w:rPr>
          <w:rFonts w:ascii="Garamond" w:hAnsi="Garamond"/>
        </w:rPr>
        <w:t>, con particolare riguardo a quella digitale</w:t>
      </w:r>
      <w:r w:rsidR="00B80340" w:rsidRPr="00D936E9">
        <w:rPr>
          <w:rFonts w:ascii="Garamond" w:hAnsi="Garamond"/>
        </w:rPr>
        <w:t>.</w:t>
      </w:r>
    </w:p>
    <w:p w14:paraId="797F92C0" w14:textId="77777777" w:rsidR="00B80340" w:rsidRPr="00D936E9" w:rsidRDefault="00B80340" w:rsidP="00A0119C">
      <w:pPr>
        <w:spacing w:line="360" w:lineRule="auto"/>
        <w:jc w:val="both"/>
        <w:rPr>
          <w:rFonts w:ascii="Garamond" w:hAnsi="Garamond"/>
          <w:b/>
          <w:bCs/>
        </w:rPr>
      </w:pPr>
    </w:p>
    <w:p w14:paraId="3C21AAA1" w14:textId="2CE1C32F" w:rsidR="003769A2" w:rsidRPr="00D936E9" w:rsidRDefault="00157A4C" w:rsidP="003769A2">
      <w:pPr>
        <w:pStyle w:val="NormaleWeb"/>
        <w:spacing w:before="0" w:beforeAutospacing="0" w:after="0" w:afterAutospacing="0" w:line="360" w:lineRule="auto"/>
        <w:jc w:val="both"/>
        <w:rPr>
          <w:rFonts w:ascii="Garamond" w:hAnsi="Garamond"/>
          <w:spacing w:val="3"/>
        </w:rPr>
      </w:pPr>
      <w:r w:rsidRPr="00D936E9">
        <w:rPr>
          <w:rFonts w:ascii="Garamond" w:hAnsi="Garamond"/>
          <w:spacing w:val="3"/>
        </w:rPr>
        <w:t>Per ragionare di questi aspetti è</w:t>
      </w:r>
      <w:r w:rsidR="00550567" w:rsidRPr="00D936E9">
        <w:rPr>
          <w:rFonts w:ascii="Garamond" w:hAnsi="Garamond"/>
          <w:spacing w:val="3"/>
        </w:rPr>
        <w:t>, al medesimo tempo,</w:t>
      </w:r>
      <w:r w:rsidR="003769A2" w:rsidRPr="00D936E9">
        <w:rPr>
          <w:rFonts w:ascii="Garamond" w:hAnsi="Garamond"/>
          <w:spacing w:val="3"/>
        </w:rPr>
        <w:t xml:space="preserve"> fondamentale chiarire le regole di ingaggio, sia dal punto di vista del metodo di analisi, che delle basi contenutistiche di partenza. La presente indagine è di tipo sperimentale. Significa che, nel contesto su cui si insedia, si privilegia la realtà dei fatti, e si </w:t>
      </w:r>
      <w:r w:rsidR="003769A2" w:rsidRPr="00D936E9">
        <w:rPr>
          <w:rFonts w:ascii="Garamond" w:hAnsi="Garamond"/>
          <w:spacing w:val="3"/>
        </w:rPr>
        <w:lastRenderedPageBreak/>
        <w:t xml:space="preserve">adotta un approccio </w:t>
      </w:r>
      <w:r w:rsidR="003769A2" w:rsidRPr="00D936E9">
        <w:rPr>
          <w:rFonts w:ascii="Garamond" w:hAnsi="Garamond"/>
          <w:i/>
          <w:iCs/>
          <w:spacing w:val="3"/>
        </w:rPr>
        <w:t xml:space="preserve">data </w:t>
      </w:r>
      <w:proofErr w:type="spellStart"/>
      <w:r w:rsidR="003769A2" w:rsidRPr="00D936E9">
        <w:rPr>
          <w:rFonts w:ascii="Garamond" w:hAnsi="Garamond"/>
          <w:i/>
          <w:iCs/>
          <w:spacing w:val="3"/>
        </w:rPr>
        <w:t>driven</w:t>
      </w:r>
      <w:proofErr w:type="spellEnd"/>
      <w:r w:rsidR="003769A2" w:rsidRPr="00D936E9">
        <w:rPr>
          <w:rFonts w:ascii="Garamond" w:hAnsi="Garamond"/>
          <w:spacing w:val="3"/>
        </w:rPr>
        <w:t>, anche per la ricerca giuridica</w:t>
      </w:r>
      <w:r w:rsidR="003769A2" w:rsidRPr="00D936E9">
        <w:rPr>
          <w:rFonts w:ascii="Garamond" w:hAnsi="Garamond"/>
          <w:spacing w:val="3"/>
          <w:vertAlign w:val="superscript"/>
        </w:rPr>
        <w:footnoteReference w:id="11"/>
      </w:r>
      <w:r w:rsidR="003769A2" w:rsidRPr="00D936E9">
        <w:rPr>
          <w:rFonts w:ascii="Garamond" w:hAnsi="Garamond"/>
          <w:spacing w:val="3"/>
        </w:rPr>
        <w:t>. In altre parole, si osservano l’andamento del mercato del lavoro e le trasformazioni in atto nello svolgimento della prestazione di lavoro; si analizzano i riflessi in tema di tutele del lavoro e in relazione ai poteri del datore di lavoro, insieme al coinvolgimento attivo delle maestranze; infine, si tenta di introdurre un ragionamento giuridico che – si badi bene – non deve alterare</w:t>
      </w:r>
      <w:r w:rsidR="00C321FE" w:rsidRPr="00D936E9">
        <w:rPr>
          <w:rFonts w:ascii="Garamond" w:hAnsi="Garamond"/>
          <w:spacing w:val="3"/>
        </w:rPr>
        <w:t>,</w:t>
      </w:r>
      <w:r w:rsidR="003769A2" w:rsidRPr="00D936E9">
        <w:rPr>
          <w:rFonts w:ascii="Garamond" w:hAnsi="Garamond"/>
          <w:spacing w:val="3"/>
        </w:rPr>
        <w:t xml:space="preserve"> forzando</w:t>
      </w:r>
      <w:r w:rsidR="00C321FE" w:rsidRPr="00D936E9">
        <w:rPr>
          <w:rFonts w:ascii="Garamond" w:hAnsi="Garamond"/>
          <w:spacing w:val="3"/>
        </w:rPr>
        <w:t>,</w:t>
      </w:r>
      <w:r w:rsidR="003769A2" w:rsidRPr="00D936E9">
        <w:rPr>
          <w:rFonts w:ascii="Garamond" w:hAnsi="Garamond"/>
          <w:spacing w:val="3"/>
        </w:rPr>
        <w:t xml:space="preserve"> le relazioni di lavoro, ma, piuttosto, deve adattarsi alla realtà dei fatti, proponendo soluzioni a problemi complessi e accompagnando i processi evolutivi. Si parte dalla ricostruzione fattuale della realtà, e non da meri schemi ideologici applicati alla realtà; le idee intervengono solo in seguito, come ipotesi giuridiche frutto dell’attenta analisi dei dati.</w:t>
      </w:r>
      <w:r w:rsidR="00C321FE" w:rsidRPr="00D936E9">
        <w:rPr>
          <w:rFonts w:ascii="Garamond" w:hAnsi="Garamond"/>
          <w:spacing w:val="3"/>
        </w:rPr>
        <w:t xml:space="preserve"> </w:t>
      </w:r>
      <w:r w:rsidRPr="00D936E9">
        <w:rPr>
          <w:rFonts w:ascii="Garamond" w:hAnsi="Garamond"/>
          <w:spacing w:val="3"/>
        </w:rPr>
        <w:t xml:space="preserve">Si </w:t>
      </w:r>
      <w:r w:rsidR="00C321FE" w:rsidRPr="00D936E9">
        <w:rPr>
          <w:rFonts w:ascii="Garamond" w:hAnsi="Garamond"/>
          <w:spacing w:val="3"/>
        </w:rPr>
        <w:t xml:space="preserve">evita di subordinare l’ideologia alla verità, e </w:t>
      </w:r>
      <w:r w:rsidRPr="00D936E9">
        <w:rPr>
          <w:rFonts w:ascii="Garamond" w:hAnsi="Garamond"/>
          <w:spacing w:val="3"/>
        </w:rPr>
        <w:t>di</w:t>
      </w:r>
      <w:r w:rsidR="00C321FE" w:rsidRPr="00D936E9">
        <w:rPr>
          <w:rFonts w:ascii="Garamond" w:hAnsi="Garamond"/>
          <w:spacing w:val="3"/>
        </w:rPr>
        <w:t xml:space="preserve"> far prevalere le interpretazioni rispetto ai fatti.</w:t>
      </w:r>
      <w:r w:rsidR="00C321FE" w:rsidRPr="00D936E9">
        <w:rPr>
          <w:rFonts w:ascii="Garamond" w:hAnsi="Garamond"/>
          <w:strike/>
          <w:spacing w:val="3"/>
        </w:rPr>
        <w:t xml:space="preserve"> </w:t>
      </w:r>
    </w:p>
    <w:p w14:paraId="729BB090" w14:textId="6BB72C6A" w:rsidR="003769A2" w:rsidRPr="00D936E9" w:rsidRDefault="00157A4C" w:rsidP="003769A2">
      <w:pPr>
        <w:pStyle w:val="NormaleWeb"/>
        <w:spacing w:before="0" w:beforeAutospacing="0" w:after="0" w:afterAutospacing="0" w:line="360" w:lineRule="auto"/>
        <w:jc w:val="both"/>
        <w:rPr>
          <w:rFonts w:ascii="Garamond" w:hAnsi="Garamond"/>
          <w:spacing w:val="3"/>
        </w:rPr>
      </w:pPr>
      <w:r w:rsidRPr="00D936E9">
        <w:rPr>
          <w:rFonts w:ascii="Garamond" w:hAnsi="Garamond"/>
          <w:spacing w:val="3"/>
        </w:rPr>
        <w:t>I</w:t>
      </w:r>
      <w:r w:rsidR="003769A2" w:rsidRPr="00D936E9">
        <w:rPr>
          <w:rFonts w:ascii="Garamond" w:hAnsi="Garamond"/>
          <w:spacing w:val="3"/>
        </w:rPr>
        <w:t xml:space="preserve">n questo modo – cioè, tramite un approccio scientifico – </w:t>
      </w:r>
      <w:r w:rsidRPr="00D936E9">
        <w:rPr>
          <w:rFonts w:ascii="Garamond" w:hAnsi="Garamond"/>
          <w:spacing w:val="3"/>
        </w:rPr>
        <w:t xml:space="preserve">risulta più semplice </w:t>
      </w:r>
      <w:r w:rsidR="003769A2" w:rsidRPr="00D936E9">
        <w:rPr>
          <w:rFonts w:ascii="Garamond" w:hAnsi="Garamond"/>
          <w:spacing w:val="3"/>
        </w:rPr>
        <w:t xml:space="preserve">comprendere le dinamiche del mondo del lavoro, spesso sfuggenti, altre volte non immediatamente comprensibili nella loro interezza, in quanto plasmate dal contesto aziendale con cui interloquiscono. </w:t>
      </w:r>
      <w:r w:rsidRPr="00D936E9">
        <w:rPr>
          <w:rFonts w:ascii="Garamond" w:hAnsi="Garamond"/>
          <w:spacing w:val="3"/>
        </w:rPr>
        <w:t>O</w:t>
      </w:r>
      <w:r w:rsidR="003769A2" w:rsidRPr="00D936E9">
        <w:rPr>
          <w:rFonts w:ascii="Garamond" w:hAnsi="Garamond"/>
          <w:spacing w:val="3"/>
        </w:rPr>
        <w:t xml:space="preserve">ccorre ricercare le strutture teoriche che sono capaci di dare un certo ordine giuridico e </w:t>
      </w:r>
      <w:proofErr w:type="gramStart"/>
      <w:r w:rsidR="003769A2" w:rsidRPr="00D936E9">
        <w:rPr>
          <w:rFonts w:ascii="Garamond" w:hAnsi="Garamond"/>
          <w:spacing w:val="3"/>
        </w:rPr>
        <w:t>socio-economico</w:t>
      </w:r>
      <w:proofErr w:type="gramEnd"/>
      <w:r w:rsidR="003769A2" w:rsidRPr="00D936E9">
        <w:rPr>
          <w:rFonts w:ascii="Garamond" w:hAnsi="Garamond"/>
          <w:spacing w:val="3"/>
        </w:rPr>
        <w:t xml:space="preserve"> alle dinamiche dei rapporti individuali e collettivi di lavoro nei vari settori produttivi, per trarre, successivamente, da ciò che apprende il modo più efficace per connettere i contenuti della ricerca, le connessioni tra i concetti, e le proposte di diritto alle problematiche riscontrate. </w:t>
      </w:r>
    </w:p>
    <w:p w14:paraId="6DCAFB07" w14:textId="72C01BA5" w:rsidR="008948A9" w:rsidRPr="00D936E9" w:rsidRDefault="00E7758E" w:rsidP="003769A2">
      <w:pPr>
        <w:pStyle w:val="NormaleWeb"/>
        <w:spacing w:before="0" w:beforeAutospacing="0" w:after="0" w:afterAutospacing="0" w:line="360" w:lineRule="auto"/>
        <w:jc w:val="both"/>
        <w:rPr>
          <w:rFonts w:ascii="Garamond" w:hAnsi="Garamond"/>
          <w:spacing w:val="3"/>
        </w:rPr>
      </w:pPr>
      <w:r w:rsidRPr="00D936E9">
        <w:rPr>
          <w:rFonts w:ascii="Garamond" w:hAnsi="Garamond"/>
          <w:spacing w:val="3"/>
        </w:rPr>
        <w:t>In questo senso si abbracciano le tesi di Giugni, il quale e</w:t>
      </w:r>
      <w:r w:rsidR="008948A9" w:rsidRPr="00D936E9">
        <w:rPr>
          <w:rFonts w:ascii="Garamond" w:hAnsi="Garamond"/>
          <w:spacing w:val="3"/>
        </w:rPr>
        <w:t>ra fermamente convinto che il futuro del diritto del lavoro «</w:t>
      </w:r>
      <w:r w:rsidR="008948A9" w:rsidRPr="00D936E9">
        <w:rPr>
          <w:rFonts w:ascii="Garamond" w:hAnsi="Garamond"/>
          <w:i/>
          <w:iCs/>
          <w:spacing w:val="3"/>
        </w:rPr>
        <w:t>non poteva essere assicurato da libri scritti a mezzo di altri libri</w:t>
      </w:r>
      <w:r w:rsidR="008948A9" w:rsidRPr="00D936E9">
        <w:rPr>
          <w:rFonts w:ascii="Garamond" w:hAnsi="Garamond"/>
          <w:spacing w:val="3"/>
        </w:rPr>
        <w:t xml:space="preserve">»: </w:t>
      </w:r>
      <w:r w:rsidR="00157A4C" w:rsidRPr="00D936E9">
        <w:rPr>
          <w:rFonts w:ascii="Garamond" w:hAnsi="Garamond"/>
          <w:spacing w:val="3"/>
        </w:rPr>
        <w:t xml:space="preserve">vanno </w:t>
      </w:r>
      <w:r w:rsidR="008948A9" w:rsidRPr="00D936E9">
        <w:rPr>
          <w:rFonts w:ascii="Garamond" w:hAnsi="Garamond"/>
          <w:spacing w:val="3"/>
        </w:rPr>
        <w:t>interroga</w:t>
      </w:r>
      <w:r w:rsidR="00157A4C" w:rsidRPr="00D936E9">
        <w:rPr>
          <w:rFonts w:ascii="Garamond" w:hAnsi="Garamond"/>
          <w:spacing w:val="3"/>
        </w:rPr>
        <w:t>ti</w:t>
      </w:r>
      <w:r w:rsidR="008948A9" w:rsidRPr="00D936E9">
        <w:rPr>
          <w:rFonts w:ascii="Garamond" w:hAnsi="Garamond"/>
          <w:spacing w:val="3"/>
        </w:rPr>
        <w:t xml:space="preserve"> i fatti e, in particolare, </w:t>
      </w:r>
      <w:r w:rsidR="00157A4C" w:rsidRPr="00D936E9">
        <w:rPr>
          <w:rFonts w:ascii="Garamond" w:hAnsi="Garamond"/>
          <w:spacing w:val="3"/>
        </w:rPr>
        <w:t xml:space="preserve">serve </w:t>
      </w:r>
      <w:r w:rsidR="008948A9" w:rsidRPr="00D936E9">
        <w:rPr>
          <w:rFonts w:ascii="Garamond" w:hAnsi="Garamond"/>
          <w:spacing w:val="3"/>
        </w:rPr>
        <w:t>«</w:t>
      </w:r>
      <w:r w:rsidR="008948A9" w:rsidRPr="00D936E9">
        <w:rPr>
          <w:rFonts w:ascii="Garamond" w:hAnsi="Garamond"/>
          <w:i/>
          <w:iCs/>
          <w:spacing w:val="3"/>
        </w:rPr>
        <w:t>stabilire contatti diretti con la quotidianità del mondo della produzione</w:t>
      </w:r>
      <w:r w:rsidR="008948A9" w:rsidRPr="00D936E9">
        <w:rPr>
          <w:rStyle w:val="Rimandonotaapidipagina"/>
          <w:rFonts w:ascii="Garamond" w:hAnsi="Garamond"/>
          <w:spacing w:val="3"/>
        </w:rPr>
        <w:footnoteReference w:id="12"/>
      </w:r>
      <w:r w:rsidR="008948A9" w:rsidRPr="00D936E9">
        <w:rPr>
          <w:rFonts w:ascii="Garamond" w:hAnsi="Garamond"/>
          <w:spacing w:val="3"/>
        </w:rPr>
        <w:t xml:space="preserve">». </w:t>
      </w:r>
    </w:p>
    <w:p w14:paraId="17C2C85A" w14:textId="77777777" w:rsidR="007E7829" w:rsidRPr="00D936E9" w:rsidRDefault="003769A2" w:rsidP="003769A2">
      <w:pPr>
        <w:pStyle w:val="NormaleWeb"/>
        <w:spacing w:before="0" w:beforeAutospacing="0" w:after="0" w:afterAutospacing="0" w:line="360" w:lineRule="auto"/>
        <w:jc w:val="both"/>
        <w:rPr>
          <w:rFonts w:ascii="Garamond" w:hAnsi="Garamond"/>
          <w:spacing w:val="3"/>
        </w:rPr>
      </w:pPr>
      <w:r w:rsidRPr="00D936E9">
        <w:rPr>
          <w:rFonts w:ascii="Garamond" w:hAnsi="Garamond"/>
          <w:spacing w:val="3"/>
        </w:rPr>
        <w:t xml:space="preserve">In altri termini, ci si propone di assorbire questo approccio sperimentale per poter comprendere le combinazioni tra le relazioni di lavoro con la tecnologia avanzata, individuandone criticità e potenzialità. Privilegiare la realtà rispetto all’idea è l’unico modo per non affrontare con posizioni le dinamiche del mondo del lavoro, che si sono stratificate per anni in base a tradizioni culturali, schemi contrattuali e norme di legge, senza un vero disegno unitario. </w:t>
      </w:r>
    </w:p>
    <w:p w14:paraId="4C61303C" w14:textId="24EBA5B1" w:rsidR="003769A2" w:rsidRPr="00D936E9" w:rsidRDefault="003769A2" w:rsidP="003769A2">
      <w:pPr>
        <w:pStyle w:val="NormaleWeb"/>
        <w:spacing w:before="0" w:beforeAutospacing="0" w:after="0" w:afterAutospacing="0" w:line="360" w:lineRule="auto"/>
        <w:jc w:val="both"/>
        <w:rPr>
          <w:rFonts w:ascii="Garamond" w:hAnsi="Garamond"/>
          <w:spacing w:val="3"/>
        </w:rPr>
      </w:pPr>
      <w:r w:rsidRPr="00D936E9">
        <w:rPr>
          <w:rFonts w:ascii="Garamond" w:hAnsi="Garamond"/>
          <w:spacing w:val="3"/>
        </w:rPr>
        <w:t xml:space="preserve">Con tale </w:t>
      </w:r>
      <w:r w:rsidR="007E7829" w:rsidRPr="00D936E9">
        <w:rPr>
          <w:rFonts w:ascii="Garamond" w:hAnsi="Garamond"/>
          <w:spacing w:val="3"/>
        </w:rPr>
        <w:t xml:space="preserve">metodo </w:t>
      </w:r>
      <w:r w:rsidRPr="00D936E9">
        <w:rPr>
          <w:rFonts w:ascii="Garamond" w:hAnsi="Garamond"/>
          <w:spacing w:val="3"/>
        </w:rPr>
        <w:t xml:space="preserve">si osserva con </w:t>
      </w:r>
      <w:r w:rsidR="007E7829" w:rsidRPr="00D936E9">
        <w:rPr>
          <w:rFonts w:ascii="Garamond" w:hAnsi="Garamond"/>
          <w:spacing w:val="3"/>
        </w:rPr>
        <w:t xml:space="preserve">distacco </w:t>
      </w:r>
      <w:r w:rsidRPr="00D936E9">
        <w:rPr>
          <w:rFonts w:ascii="Garamond" w:hAnsi="Garamond"/>
          <w:spacing w:val="3"/>
        </w:rPr>
        <w:t>il fenomeno, ci si apre alla comparazione con strutture industriali e tecnologiche di altri paesi,</w:t>
      </w:r>
      <w:r w:rsidR="007E7829" w:rsidRPr="00D936E9">
        <w:rPr>
          <w:rFonts w:ascii="Garamond" w:hAnsi="Garamond"/>
          <w:spacing w:val="3"/>
        </w:rPr>
        <w:t xml:space="preserve"> </w:t>
      </w:r>
      <w:r w:rsidRPr="00D936E9">
        <w:rPr>
          <w:rFonts w:ascii="Garamond" w:hAnsi="Garamond"/>
          <w:spacing w:val="3"/>
        </w:rPr>
        <w:t xml:space="preserve">e si tiene un approccio </w:t>
      </w:r>
      <w:r w:rsidR="007E7829" w:rsidRPr="00D936E9">
        <w:rPr>
          <w:rFonts w:ascii="Garamond" w:hAnsi="Garamond"/>
          <w:spacing w:val="3"/>
        </w:rPr>
        <w:t xml:space="preserve">critico sia </w:t>
      </w:r>
      <w:r w:rsidRPr="00D936E9">
        <w:rPr>
          <w:rFonts w:ascii="Garamond" w:hAnsi="Garamond"/>
          <w:spacing w:val="3"/>
        </w:rPr>
        <w:t xml:space="preserve">rispetto all’abuso di interventi </w:t>
      </w:r>
      <w:r w:rsidRPr="00D936E9">
        <w:rPr>
          <w:rFonts w:ascii="Garamond" w:hAnsi="Garamond"/>
          <w:spacing w:val="3"/>
        </w:rPr>
        <w:lastRenderedPageBreak/>
        <w:t>legislativ</w:t>
      </w:r>
      <w:r w:rsidR="007E7829" w:rsidRPr="00D936E9">
        <w:rPr>
          <w:rFonts w:ascii="Garamond" w:hAnsi="Garamond"/>
          <w:spacing w:val="3"/>
        </w:rPr>
        <w:t>i</w:t>
      </w:r>
      <w:r w:rsidRPr="00D936E9">
        <w:rPr>
          <w:rFonts w:ascii="Garamond" w:hAnsi="Garamond"/>
          <w:spacing w:val="3"/>
        </w:rPr>
        <w:t xml:space="preserve"> che spesso </w:t>
      </w:r>
      <w:r w:rsidR="007E7829" w:rsidRPr="00D936E9">
        <w:rPr>
          <w:rFonts w:ascii="Garamond" w:hAnsi="Garamond"/>
          <w:spacing w:val="3"/>
        </w:rPr>
        <w:t xml:space="preserve">si manifestano sui temi centrali del lavoro anche a seguito variazioni nelle maggioranze </w:t>
      </w:r>
      <w:r w:rsidRPr="00D936E9">
        <w:rPr>
          <w:rFonts w:ascii="Garamond" w:hAnsi="Garamond"/>
          <w:spacing w:val="3"/>
        </w:rPr>
        <w:t>politiche e parlamentari</w:t>
      </w:r>
      <w:r w:rsidR="007E7829" w:rsidRPr="00D936E9">
        <w:rPr>
          <w:rFonts w:ascii="Garamond" w:hAnsi="Garamond"/>
          <w:spacing w:val="3"/>
        </w:rPr>
        <w:t>;</w:t>
      </w:r>
      <w:r w:rsidRPr="00D936E9">
        <w:rPr>
          <w:rFonts w:ascii="Garamond" w:hAnsi="Garamond"/>
          <w:spacing w:val="3"/>
        </w:rPr>
        <w:t xml:space="preserve"> </w:t>
      </w:r>
      <w:r w:rsidR="007E7829" w:rsidRPr="00D936E9">
        <w:rPr>
          <w:rFonts w:ascii="Garamond" w:hAnsi="Garamond"/>
          <w:spacing w:val="3"/>
        </w:rPr>
        <w:t xml:space="preserve">sia nei riguardi di un certo atteggiamento tecnofobico </w:t>
      </w:r>
      <w:r w:rsidRPr="00D936E9">
        <w:rPr>
          <w:rFonts w:ascii="Garamond" w:hAnsi="Garamond"/>
          <w:spacing w:val="3"/>
        </w:rPr>
        <w:t>verso la digitalizzazione del mondo del lavoro</w:t>
      </w:r>
      <w:r w:rsidR="007E7829" w:rsidRPr="00D936E9">
        <w:rPr>
          <w:rFonts w:ascii="Garamond" w:hAnsi="Garamond"/>
          <w:spacing w:val="3"/>
        </w:rPr>
        <w:t>.</w:t>
      </w:r>
      <w:r w:rsidRPr="00D936E9">
        <w:rPr>
          <w:rFonts w:ascii="Garamond" w:hAnsi="Garamond"/>
          <w:spacing w:val="3"/>
        </w:rPr>
        <w:t xml:space="preserve"> </w:t>
      </w:r>
      <w:r w:rsidR="007E7829" w:rsidRPr="00D936E9">
        <w:rPr>
          <w:rFonts w:ascii="Garamond" w:hAnsi="Garamond"/>
          <w:spacing w:val="3"/>
        </w:rPr>
        <w:t xml:space="preserve">Il giurista non deve porsi il quesito se scegliere, se abbracciare, oppure no, </w:t>
      </w:r>
      <w:r w:rsidRPr="00D936E9">
        <w:rPr>
          <w:rFonts w:ascii="Garamond" w:hAnsi="Garamond"/>
          <w:spacing w:val="3"/>
        </w:rPr>
        <w:t>l’innovazione tecnologica, ma</w:t>
      </w:r>
      <w:r w:rsidR="007E7829" w:rsidRPr="00D936E9">
        <w:rPr>
          <w:rFonts w:ascii="Garamond" w:hAnsi="Garamond"/>
          <w:spacing w:val="3"/>
        </w:rPr>
        <w:t>, piuttosto,</w:t>
      </w:r>
      <w:r w:rsidRPr="00D936E9">
        <w:rPr>
          <w:rFonts w:ascii="Garamond" w:hAnsi="Garamond"/>
          <w:spacing w:val="3"/>
        </w:rPr>
        <w:t xml:space="preserve"> deve </w:t>
      </w:r>
      <w:r w:rsidR="00157A4C" w:rsidRPr="00D936E9">
        <w:rPr>
          <w:rFonts w:ascii="Garamond" w:hAnsi="Garamond"/>
          <w:spacing w:val="3"/>
        </w:rPr>
        <w:t xml:space="preserve">osservare </w:t>
      </w:r>
      <w:r w:rsidRPr="00D936E9">
        <w:rPr>
          <w:rFonts w:ascii="Garamond" w:hAnsi="Garamond"/>
          <w:spacing w:val="3"/>
        </w:rPr>
        <w:t>con un atteggiamento del tutto neutrale.</w:t>
      </w:r>
    </w:p>
    <w:p w14:paraId="3897AB92" w14:textId="7D86D114" w:rsidR="003769A2" w:rsidRPr="00D936E9" w:rsidRDefault="003769A2" w:rsidP="003769A2">
      <w:pPr>
        <w:pStyle w:val="NormaleWeb"/>
        <w:spacing w:before="0" w:beforeAutospacing="0" w:after="0" w:afterAutospacing="0" w:line="360" w:lineRule="auto"/>
        <w:jc w:val="both"/>
        <w:rPr>
          <w:rFonts w:ascii="Garamond" w:hAnsi="Garamond"/>
          <w:spacing w:val="3"/>
        </w:rPr>
      </w:pPr>
      <w:r w:rsidRPr="00D936E9">
        <w:rPr>
          <w:rFonts w:ascii="Garamond" w:hAnsi="Garamond"/>
          <w:spacing w:val="3"/>
        </w:rPr>
        <w:t>La metodologia appena descritta è strettamente connessa con l’approccio disciplinare sulla cui scia si intende instaurarsi. Ai fini del</w:t>
      </w:r>
      <w:r w:rsidR="007E7829" w:rsidRPr="00D936E9">
        <w:rPr>
          <w:rFonts w:ascii="Garamond" w:hAnsi="Garamond"/>
          <w:spacing w:val="3"/>
        </w:rPr>
        <w:t>l’analisi</w:t>
      </w:r>
      <w:r w:rsidRPr="00D936E9">
        <w:rPr>
          <w:rFonts w:ascii="Garamond" w:hAnsi="Garamond"/>
          <w:spacing w:val="3"/>
        </w:rPr>
        <w:t>, infatti, per lavoratori tramite piattaforma si tiene conto della quadripartizione dei tipi di piattaforma elaborata in dottrina che distingue fra: (i) Tipo 1 - piattaforme corrispondenti ai servizi di taxi e di trasporto di persone (Uber, Lift, etc.); (ii) Tipo 2 - piattaforme che organizzano servizi di consegna e distribuzione di beni mediante lavoratori/</w:t>
      </w:r>
      <w:r w:rsidRPr="00D936E9">
        <w:rPr>
          <w:rFonts w:ascii="Garamond" w:hAnsi="Garamond"/>
          <w:i/>
          <w:iCs/>
          <w:spacing w:val="3"/>
        </w:rPr>
        <w:t>riders</w:t>
      </w:r>
      <w:r w:rsidRPr="00D936E9">
        <w:rPr>
          <w:rFonts w:ascii="Garamond" w:hAnsi="Garamond"/>
          <w:spacing w:val="3"/>
        </w:rPr>
        <w:t xml:space="preserve"> (</w:t>
      </w:r>
      <w:proofErr w:type="spellStart"/>
      <w:r w:rsidRPr="00D936E9">
        <w:rPr>
          <w:rFonts w:ascii="Garamond" w:hAnsi="Garamond"/>
          <w:spacing w:val="3"/>
        </w:rPr>
        <w:t>Deliveroo</w:t>
      </w:r>
      <w:proofErr w:type="spellEnd"/>
      <w:r w:rsidRPr="00D936E9">
        <w:rPr>
          <w:rFonts w:ascii="Garamond" w:hAnsi="Garamond"/>
          <w:spacing w:val="3"/>
        </w:rPr>
        <w:t xml:space="preserve">, Just </w:t>
      </w:r>
      <w:proofErr w:type="spellStart"/>
      <w:r w:rsidRPr="00D936E9">
        <w:rPr>
          <w:rFonts w:ascii="Garamond" w:hAnsi="Garamond"/>
          <w:spacing w:val="3"/>
        </w:rPr>
        <w:t>Eat</w:t>
      </w:r>
      <w:proofErr w:type="spellEnd"/>
      <w:r w:rsidRPr="00D936E9">
        <w:rPr>
          <w:rFonts w:ascii="Garamond" w:hAnsi="Garamond"/>
          <w:spacing w:val="3"/>
        </w:rPr>
        <w:t xml:space="preserve">, </w:t>
      </w:r>
      <w:proofErr w:type="spellStart"/>
      <w:r w:rsidRPr="00D936E9">
        <w:rPr>
          <w:rFonts w:ascii="Garamond" w:hAnsi="Garamond"/>
          <w:spacing w:val="3"/>
        </w:rPr>
        <w:t>Glovo</w:t>
      </w:r>
      <w:proofErr w:type="spellEnd"/>
      <w:r w:rsidRPr="00D936E9">
        <w:rPr>
          <w:rFonts w:ascii="Garamond" w:hAnsi="Garamond"/>
          <w:spacing w:val="3"/>
        </w:rPr>
        <w:t xml:space="preserve">, </w:t>
      </w:r>
      <w:proofErr w:type="spellStart"/>
      <w:r w:rsidRPr="00D936E9">
        <w:rPr>
          <w:rFonts w:ascii="Garamond" w:hAnsi="Garamond"/>
          <w:spacing w:val="3"/>
        </w:rPr>
        <w:t>UberEats</w:t>
      </w:r>
      <w:proofErr w:type="spellEnd"/>
      <w:r w:rsidRPr="00D936E9">
        <w:rPr>
          <w:rFonts w:ascii="Garamond" w:hAnsi="Garamond"/>
          <w:spacing w:val="3"/>
        </w:rPr>
        <w:t>, etc.); (iii) Tipo 3 - piattaforme che si limitano a ospitare e/o facilitare l’incontro tra domanda e offerta di piccoli lavori occasionali di natura “tradizionale”, come giardinaggio, attività di idraulica e di pulizia (</w:t>
      </w:r>
      <w:proofErr w:type="spellStart"/>
      <w:r w:rsidRPr="00D936E9">
        <w:rPr>
          <w:rFonts w:ascii="Garamond" w:hAnsi="Garamond"/>
          <w:spacing w:val="3"/>
        </w:rPr>
        <w:t>TaskRabbit</w:t>
      </w:r>
      <w:proofErr w:type="spellEnd"/>
      <w:r w:rsidRPr="00D936E9">
        <w:rPr>
          <w:rFonts w:ascii="Garamond" w:hAnsi="Garamond"/>
          <w:spacing w:val="3"/>
        </w:rPr>
        <w:t xml:space="preserve">, </w:t>
      </w:r>
      <w:proofErr w:type="spellStart"/>
      <w:r w:rsidRPr="00D936E9">
        <w:rPr>
          <w:rFonts w:ascii="Garamond" w:hAnsi="Garamond"/>
          <w:spacing w:val="3"/>
        </w:rPr>
        <w:t>Helpling</w:t>
      </w:r>
      <w:proofErr w:type="spellEnd"/>
      <w:r w:rsidRPr="00D936E9">
        <w:rPr>
          <w:rFonts w:ascii="Garamond" w:hAnsi="Garamond"/>
          <w:spacing w:val="3"/>
        </w:rPr>
        <w:t xml:space="preserve">, etc.), e l’erogazione di servizi alla persona o alla famiglia. In questi casi la piattaforma mette in contatto lavoratori indipendenti con il cliente, che procederà a remunerare il prodotto o il servizio </w:t>
      </w:r>
      <w:proofErr w:type="gramStart"/>
      <w:r w:rsidRPr="00D936E9">
        <w:rPr>
          <w:rFonts w:ascii="Garamond" w:hAnsi="Garamond"/>
          <w:spacing w:val="3"/>
        </w:rPr>
        <w:t>reso;</w:t>
      </w:r>
      <w:proofErr w:type="gramEnd"/>
      <w:r w:rsidRPr="00D936E9">
        <w:rPr>
          <w:rFonts w:ascii="Garamond" w:hAnsi="Garamond"/>
          <w:spacing w:val="3"/>
        </w:rPr>
        <w:t xml:space="preserve"> (iv) Tipo 4 - piattaforme che esternalizzano micro-attività, spesso eseguite sul </w:t>
      </w:r>
      <w:r w:rsidRPr="00D936E9">
        <w:rPr>
          <w:rFonts w:ascii="Garamond" w:hAnsi="Garamond"/>
          <w:i/>
          <w:iCs/>
          <w:spacing w:val="3"/>
        </w:rPr>
        <w:t>Web</w:t>
      </w:r>
      <w:r w:rsidRPr="00D936E9">
        <w:rPr>
          <w:rFonts w:ascii="Garamond" w:hAnsi="Garamond"/>
          <w:spacing w:val="3"/>
        </w:rPr>
        <w:t xml:space="preserve"> (traduzione di testi, data entry, contabilità, etc.), a una “folla” di lavoratori (piattaforme di </w:t>
      </w:r>
      <w:proofErr w:type="spellStart"/>
      <w:r w:rsidRPr="00D936E9">
        <w:rPr>
          <w:rFonts w:ascii="Garamond" w:hAnsi="Garamond"/>
          <w:i/>
          <w:iCs/>
          <w:spacing w:val="3"/>
        </w:rPr>
        <w:t>crowd</w:t>
      </w:r>
      <w:proofErr w:type="spellEnd"/>
      <w:r w:rsidRPr="00D936E9">
        <w:rPr>
          <w:rFonts w:ascii="Garamond" w:hAnsi="Garamond"/>
          <w:i/>
          <w:iCs/>
          <w:spacing w:val="3"/>
        </w:rPr>
        <w:t>-work</w:t>
      </w:r>
      <w:r w:rsidRPr="00D936E9">
        <w:rPr>
          <w:rFonts w:ascii="Garamond" w:hAnsi="Garamond"/>
          <w:spacing w:val="3"/>
        </w:rPr>
        <w:t xml:space="preserve"> - come Amazon </w:t>
      </w:r>
      <w:proofErr w:type="spellStart"/>
      <w:r w:rsidRPr="00D936E9">
        <w:rPr>
          <w:rFonts w:ascii="Garamond" w:hAnsi="Garamond"/>
          <w:spacing w:val="3"/>
        </w:rPr>
        <w:t>Mechanical</w:t>
      </w:r>
      <w:proofErr w:type="spellEnd"/>
      <w:r w:rsidRPr="00D936E9">
        <w:rPr>
          <w:rFonts w:ascii="Garamond" w:hAnsi="Garamond"/>
          <w:spacing w:val="3"/>
        </w:rPr>
        <w:t xml:space="preserve"> </w:t>
      </w:r>
      <w:proofErr w:type="spellStart"/>
      <w:r w:rsidRPr="00D936E9">
        <w:rPr>
          <w:rFonts w:ascii="Garamond" w:hAnsi="Garamond"/>
          <w:spacing w:val="3"/>
        </w:rPr>
        <w:t>Turk</w:t>
      </w:r>
      <w:proofErr w:type="spellEnd"/>
      <w:r w:rsidRPr="00D936E9">
        <w:rPr>
          <w:rFonts w:ascii="Garamond" w:hAnsi="Garamond"/>
          <w:spacing w:val="3"/>
        </w:rPr>
        <w:t>, in cui il lavoro viene offerto e contestualmente svolto mediante la medesima piattaforma digitale)</w:t>
      </w:r>
      <w:r w:rsidRPr="00D936E9">
        <w:rPr>
          <w:rStyle w:val="Rimandonotaapidipagina"/>
          <w:rFonts w:ascii="Garamond" w:hAnsi="Garamond"/>
        </w:rPr>
        <w:footnoteReference w:id="13"/>
      </w:r>
      <w:r w:rsidRPr="00D936E9">
        <w:rPr>
          <w:rFonts w:ascii="Garamond" w:hAnsi="Garamond"/>
          <w:spacing w:val="3"/>
        </w:rPr>
        <w:t>.</w:t>
      </w:r>
    </w:p>
    <w:p w14:paraId="767AFE3E" w14:textId="13EB28A3" w:rsidR="00C43D9C" w:rsidRPr="00D936E9" w:rsidRDefault="003769A2" w:rsidP="00C43D9C">
      <w:pPr>
        <w:spacing w:line="360" w:lineRule="auto"/>
        <w:jc w:val="both"/>
        <w:rPr>
          <w:rFonts w:ascii="Garamond" w:hAnsi="Garamond"/>
          <w:b/>
          <w:bCs/>
        </w:rPr>
      </w:pPr>
      <w:r w:rsidRPr="00D936E9">
        <w:rPr>
          <w:rFonts w:ascii="Garamond" w:hAnsi="Garamond"/>
          <w:spacing w:val="3"/>
        </w:rPr>
        <w:t xml:space="preserve">Utilizzare come metodo di analisi l’approccio sperimentale, basato sulla realtà dei fatti, a cui il diritto può solo adeguarsi, impone – ad avviso di chi scrive – di seguire l’orientamento dottrinale che, nell’ambito del lavoro tramite piattaforme digitali, ha più volte raccomandato di non limitarsi a considerare l’attività di consegna merci. </w:t>
      </w:r>
      <w:r w:rsidR="00C43D9C" w:rsidRPr="00D936E9">
        <w:rPr>
          <w:rFonts w:ascii="Garamond" w:hAnsi="Garamond"/>
          <w:spacing w:val="3"/>
        </w:rPr>
        <w:t>Anzi: come meglio verrà evidenziato nei prossimi capitoli, l’analisi del mercato del lavoro e delle modalità di svolgimento della prestazione, unite al continuo sviluppo della tecnologia e a una sempre più frequente “</w:t>
      </w:r>
      <w:r w:rsidR="00C43D9C" w:rsidRPr="00D936E9">
        <w:rPr>
          <w:rFonts w:ascii="Garamond" w:hAnsi="Garamond"/>
        </w:rPr>
        <w:t>micro-</w:t>
      </w:r>
      <w:proofErr w:type="spellStart"/>
      <w:r w:rsidR="00C43D9C" w:rsidRPr="00D936E9">
        <w:rPr>
          <w:rFonts w:ascii="Garamond" w:hAnsi="Garamond"/>
        </w:rPr>
        <w:t>taskalizzazione</w:t>
      </w:r>
      <w:proofErr w:type="spellEnd"/>
      <w:r w:rsidR="00C43D9C" w:rsidRPr="00D936E9">
        <w:rPr>
          <w:rFonts w:ascii="Garamond" w:hAnsi="Garamond"/>
        </w:rPr>
        <w:t>”</w:t>
      </w:r>
      <w:r w:rsidR="00C43D9C" w:rsidRPr="00D936E9">
        <w:rPr>
          <w:rStyle w:val="Rimandonotaapidipagina"/>
          <w:rFonts w:ascii="Garamond" w:hAnsi="Garamond"/>
        </w:rPr>
        <w:footnoteReference w:id="14"/>
      </w:r>
      <w:r w:rsidR="00C43D9C" w:rsidRPr="00D936E9">
        <w:rPr>
          <w:rFonts w:ascii="Garamond" w:hAnsi="Garamond"/>
          <w:spacing w:val="3"/>
        </w:rPr>
        <w:t xml:space="preserve"> delle competenze e professionalità, hanno dimostrato l’aumento esponenziale proprio di quelle realtà inquadrabili nei tipi 3 e 4 di piattaforme digitali di lavoro appena descritte.</w:t>
      </w:r>
    </w:p>
    <w:p w14:paraId="1E069520" w14:textId="19ED0A04" w:rsidR="003769A2" w:rsidRPr="00D936E9" w:rsidRDefault="003769A2" w:rsidP="003769A2">
      <w:pPr>
        <w:pStyle w:val="NormaleWeb"/>
        <w:spacing w:before="0" w:beforeAutospacing="0" w:after="0" w:afterAutospacing="0" w:line="360" w:lineRule="auto"/>
        <w:jc w:val="both"/>
        <w:rPr>
          <w:rFonts w:ascii="Garamond" w:hAnsi="Garamond"/>
        </w:rPr>
      </w:pPr>
      <w:r w:rsidRPr="00D936E9">
        <w:rPr>
          <w:rFonts w:ascii="Garamond" w:hAnsi="Garamond"/>
          <w:spacing w:val="3"/>
        </w:rPr>
        <w:t xml:space="preserve">Di tale approccio pare abbia fatto tesoro (quantomeno in parte) il legislatore europeo, ben comprendendo che il fenomeno dei cd. </w:t>
      </w:r>
      <w:proofErr w:type="spellStart"/>
      <w:r w:rsidRPr="00D936E9">
        <w:rPr>
          <w:rFonts w:ascii="Garamond" w:hAnsi="Garamond"/>
          <w:i/>
          <w:iCs/>
          <w:spacing w:val="3"/>
        </w:rPr>
        <w:t>gig</w:t>
      </w:r>
      <w:proofErr w:type="spellEnd"/>
      <w:r w:rsidRPr="00D936E9">
        <w:rPr>
          <w:rFonts w:ascii="Garamond" w:hAnsi="Garamond"/>
          <w:i/>
          <w:iCs/>
          <w:spacing w:val="3"/>
        </w:rPr>
        <w:t>-workers</w:t>
      </w:r>
      <w:r w:rsidRPr="00D936E9">
        <w:rPr>
          <w:rFonts w:ascii="Garamond" w:hAnsi="Garamond"/>
          <w:spacing w:val="3"/>
        </w:rPr>
        <w:t xml:space="preserve"> non è circoscrivibile solo ai </w:t>
      </w:r>
      <w:r w:rsidRPr="00D936E9">
        <w:rPr>
          <w:rFonts w:ascii="Garamond" w:hAnsi="Garamond"/>
          <w:i/>
          <w:iCs/>
          <w:spacing w:val="3"/>
        </w:rPr>
        <w:t>riders</w:t>
      </w:r>
      <w:r w:rsidRPr="00D936E9">
        <w:rPr>
          <w:rFonts w:ascii="Garamond" w:hAnsi="Garamond"/>
          <w:spacing w:val="3"/>
        </w:rPr>
        <w:t xml:space="preserve">, in quanto il mondo del lavoro su piattaforma è, invece, molto diversificato. Lo si nota sin dalle prime righe della </w:t>
      </w:r>
      <w:r w:rsidR="00D45D21" w:rsidRPr="00D936E9">
        <w:rPr>
          <w:rFonts w:ascii="Garamond" w:hAnsi="Garamond" w:cs="Arial"/>
        </w:rPr>
        <w:t>Proposta di direttiva UE</w:t>
      </w:r>
      <w:r w:rsidRPr="00D936E9">
        <w:rPr>
          <w:rFonts w:ascii="Garamond" w:hAnsi="Garamond"/>
          <w:spacing w:val="3"/>
        </w:rPr>
        <w:t xml:space="preserve">, che contengono una definizione di </w:t>
      </w:r>
      <w:r w:rsidRPr="00D936E9">
        <w:rPr>
          <w:rFonts w:ascii="Garamond" w:hAnsi="Garamond"/>
          <w:i/>
          <w:iCs/>
          <w:spacing w:val="3"/>
        </w:rPr>
        <w:t xml:space="preserve">Digital labour </w:t>
      </w:r>
      <w:proofErr w:type="spellStart"/>
      <w:r w:rsidRPr="00D936E9">
        <w:rPr>
          <w:rFonts w:ascii="Garamond" w:hAnsi="Garamond"/>
          <w:i/>
          <w:iCs/>
          <w:spacing w:val="3"/>
        </w:rPr>
        <w:t>platform</w:t>
      </w:r>
      <w:proofErr w:type="spellEnd"/>
      <w:r w:rsidRPr="00D936E9">
        <w:rPr>
          <w:rFonts w:ascii="Garamond" w:hAnsi="Garamond"/>
          <w:spacing w:val="3"/>
        </w:rPr>
        <w:t xml:space="preserve">, come ogni persona fisica o giuridica che offre un servizio (i) </w:t>
      </w:r>
      <w:r w:rsidR="00C22CDA" w:rsidRPr="00D936E9">
        <w:rPr>
          <w:rFonts w:ascii="Garamond" w:hAnsi="Garamond"/>
          <w:spacing w:val="3"/>
        </w:rPr>
        <w:t>«</w:t>
      </w:r>
      <w:r w:rsidR="00C22CDA" w:rsidRPr="00D936E9">
        <w:rPr>
          <w:rFonts w:ascii="Garamond" w:hAnsi="Garamond"/>
          <w:i/>
          <w:iCs/>
          <w:spacing w:val="3"/>
        </w:rPr>
        <w:t xml:space="preserve">fornito, almeno in parte, a distanza con mezzi elettronici quali un </w:t>
      </w:r>
      <w:r w:rsidR="00C22CDA" w:rsidRPr="00D936E9">
        <w:rPr>
          <w:rFonts w:ascii="Garamond" w:hAnsi="Garamond"/>
          <w:i/>
          <w:iCs/>
          <w:spacing w:val="3"/>
        </w:rPr>
        <w:lastRenderedPageBreak/>
        <w:t>sito web o un'applicazione mobile</w:t>
      </w:r>
      <w:r w:rsidR="00C22CDA" w:rsidRPr="00D936E9">
        <w:rPr>
          <w:rFonts w:ascii="Garamond" w:hAnsi="Garamond"/>
          <w:spacing w:val="3"/>
        </w:rPr>
        <w:t>»,</w:t>
      </w:r>
      <w:r w:rsidRPr="00D936E9">
        <w:rPr>
          <w:rFonts w:ascii="Garamond" w:hAnsi="Garamond"/>
          <w:spacing w:val="3"/>
        </w:rPr>
        <w:t xml:space="preserve"> (ii) </w:t>
      </w:r>
      <w:r w:rsidR="00C22CDA" w:rsidRPr="00D936E9">
        <w:rPr>
          <w:rFonts w:ascii="Garamond" w:hAnsi="Garamond"/>
          <w:spacing w:val="3"/>
        </w:rPr>
        <w:t>«</w:t>
      </w:r>
      <w:r w:rsidR="00C22CDA" w:rsidRPr="00D936E9">
        <w:rPr>
          <w:rFonts w:ascii="Garamond" w:hAnsi="Garamond"/>
          <w:i/>
          <w:iCs/>
          <w:spacing w:val="3"/>
        </w:rPr>
        <w:t>fornito su richiesta di un destinatario del servizio</w:t>
      </w:r>
      <w:r w:rsidR="00C22CDA" w:rsidRPr="00D936E9">
        <w:rPr>
          <w:rFonts w:ascii="Garamond" w:hAnsi="Garamond"/>
          <w:spacing w:val="3"/>
        </w:rPr>
        <w:t xml:space="preserve">», che comporta </w:t>
      </w:r>
      <w:r w:rsidRPr="00D936E9">
        <w:rPr>
          <w:rFonts w:ascii="Garamond" w:hAnsi="Garamond"/>
          <w:spacing w:val="3"/>
        </w:rPr>
        <w:t xml:space="preserve">(iii) </w:t>
      </w:r>
      <w:r w:rsidR="00C22CDA" w:rsidRPr="00D936E9">
        <w:rPr>
          <w:rFonts w:ascii="Garamond" w:hAnsi="Garamond"/>
          <w:spacing w:val="3"/>
        </w:rPr>
        <w:t>«</w:t>
      </w:r>
      <w:r w:rsidR="00C22CDA" w:rsidRPr="00D936E9">
        <w:rPr>
          <w:rFonts w:ascii="Garamond" w:hAnsi="Garamond"/>
          <w:i/>
          <w:iCs/>
          <w:spacing w:val="3"/>
        </w:rPr>
        <w:t>quale componente necessaria ed essenziale, l'organizzazione del lavoro svolto dalle persone fisiche a titolo oneroso, indipendentemente dal fatto che tale lavoro sia svolto online o in un determinato luogo</w:t>
      </w:r>
      <w:r w:rsidR="00C22CDA" w:rsidRPr="00D936E9">
        <w:rPr>
          <w:rFonts w:ascii="Garamond" w:hAnsi="Garamond"/>
          <w:spacing w:val="3"/>
        </w:rPr>
        <w:t>» e (iv) «</w:t>
      </w:r>
      <w:r w:rsidR="00C22CDA" w:rsidRPr="00D936E9">
        <w:rPr>
          <w:rFonts w:ascii="Garamond" w:hAnsi="Garamond"/>
          <w:i/>
          <w:iCs/>
          <w:spacing w:val="3"/>
        </w:rPr>
        <w:t>l'uso dei sistemi decisionali o di monitoraggio automatizzati</w:t>
      </w:r>
      <w:r w:rsidRPr="00D936E9">
        <w:rPr>
          <w:rStyle w:val="Rimandonotaapidipagina"/>
          <w:rFonts w:ascii="Garamond" w:hAnsi="Garamond"/>
        </w:rPr>
        <w:footnoteReference w:id="15"/>
      </w:r>
      <w:r w:rsidR="00AE2646" w:rsidRPr="00D936E9">
        <w:rPr>
          <w:rFonts w:ascii="Garamond" w:hAnsi="Garamond"/>
          <w:spacing w:val="3"/>
        </w:rPr>
        <w:t>»</w:t>
      </w:r>
      <w:r w:rsidRPr="00D936E9">
        <w:rPr>
          <w:rFonts w:ascii="Garamond" w:hAnsi="Garamond"/>
          <w:spacing w:val="3"/>
        </w:rPr>
        <w:t xml:space="preserve">. Definizione molto ampia, che, tuttavia, cozza </w:t>
      </w:r>
      <w:r w:rsidR="00157A4C" w:rsidRPr="00D936E9">
        <w:rPr>
          <w:rFonts w:ascii="Garamond" w:hAnsi="Garamond"/>
          <w:spacing w:val="3"/>
        </w:rPr>
        <w:t xml:space="preserve">con </w:t>
      </w:r>
      <w:r w:rsidRPr="00D936E9">
        <w:rPr>
          <w:rFonts w:ascii="Garamond" w:hAnsi="Garamond"/>
          <w:spacing w:val="3"/>
        </w:rPr>
        <w:t>la assai miope visione italiana, che inquadra le piattaforme digitali di lavoro, ai sensi dell’art. 47 bis, comma 2</w:t>
      </w:r>
      <w:r w:rsidRPr="00D936E9">
        <w:rPr>
          <w:rStyle w:val="Rimandonotaapidipagina"/>
          <w:rFonts w:ascii="Garamond" w:hAnsi="Garamond"/>
        </w:rPr>
        <w:footnoteReference w:id="16"/>
      </w:r>
      <w:r w:rsidRPr="00D936E9">
        <w:rPr>
          <w:rFonts w:ascii="Garamond" w:hAnsi="Garamond"/>
          <w:spacing w:val="3"/>
        </w:rPr>
        <w:t xml:space="preserve">, d.lgs. </w:t>
      </w:r>
      <w:r w:rsidR="00C22CDA" w:rsidRPr="00D936E9">
        <w:rPr>
          <w:rFonts w:ascii="Garamond" w:hAnsi="Garamond"/>
          <w:spacing w:val="3"/>
        </w:rPr>
        <w:t xml:space="preserve">15 giugno </w:t>
      </w:r>
      <w:r w:rsidRPr="00D936E9">
        <w:rPr>
          <w:rFonts w:ascii="Garamond" w:hAnsi="Garamond"/>
          <w:spacing w:val="3"/>
        </w:rPr>
        <w:t>2015</w:t>
      </w:r>
      <w:r w:rsidR="00C22CDA" w:rsidRPr="00D936E9">
        <w:rPr>
          <w:rFonts w:ascii="Garamond" w:hAnsi="Garamond"/>
          <w:spacing w:val="3"/>
        </w:rPr>
        <w:t>, n. 81</w:t>
      </w:r>
      <w:r w:rsidRPr="00D936E9">
        <w:rPr>
          <w:rFonts w:ascii="Garamond" w:hAnsi="Garamond"/>
          <w:spacing w:val="3"/>
        </w:rPr>
        <w:t xml:space="preserve">, nei </w:t>
      </w:r>
      <w:r w:rsidR="00AE2646" w:rsidRPr="00D936E9">
        <w:rPr>
          <w:rFonts w:ascii="Garamond" w:hAnsi="Garamond"/>
          <w:spacing w:val="3"/>
        </w:rPr>
        <w:t>«</w:t>
      </w:r>
      <w:r w:rsidRPr="00D936E9">
        <w:rPr>
          <w:rFonts w:ascii="Garamond" w:hAnsi="Garamond"/>
          <w:i/>
          <w:iCs/>
          <w:spacing w:val="3"/>
        </w:rPr>
        <w:t>programmi e le procedure informatiche utilizzati dal committente che, indipendentemente dal luogo di stabilimento, sono strumentali alle attività di consegna di beni, fissandone il compenso e determinando le modalità di esecuzione della prestazione</w:t>
      </w:r>
      <w:r w:rsidRPr="00D936E9">
        <w:rPr>
          <w:rStyle w:val="Rimandonotaapidipagina"/>
          <w:rFonts w:ascii="Garamond" w:hAnsi="Garamond"/>
        </w:rPr>
        <w:footnoteReference w:id="17"/>
      </w:r>
      <w:r w:rsidR="00AE2646" w:rsidRPr="00D936E9">
        <w:rPr>
          <w:rFonts w:ascii="Garamond" w:hAnsi="Garamond"/>
          <w:spacing w:val="3"/>
        </w:rPr>
        <w:t>»</w:t>
      </w:r>
      <w:r w:rsidRPr="00D936E9">
        <w:rPr>
          <w:rFonts w:ascii="Garamond" w:hAnsi="Garamond"/>
        </w:rPr>
        <w:t>.</w:t>
      </w:r>
    </w:p>
    <w:p w14:paraId="5822C2A3" w14:textId="77777777" w:rsidR="002B0AFD" w:rsidRPr="00D936E9" w:rsidRDefault="002B0AFD" w:rsidP="001F5C21">
      <w:pPr>
        <w:spacing w:line="360" w:lineRule="auto"/>
        <w:jc w:val="both"/>
        <w:rPr>
          <w:rFonts w:ascii="Garamond" w:hAnsi="Garamond"/>
        </w:rPr>
      </w:pPr>
    </w:p>
    <w:p w14:paraId="0780FF85" w14:textId="3FDF8D26" w:rsidR="000F4C9F" w:rsidRPr="00D936E9" w:rsidRDefault="000F4C9F" w:rsidP="000F4C9F">
      <w:pPr>
        <w:numPr>
          <w:ilvl w:val="0"/>
          <w:numId w:val="9"/>
        </w:numPr>
        <w:spacing w:line="360" w:lineRule="auto"/>
        <w:jc w:val="both"/>
        <w:rPr>
          <w:rFonts w:ascii="Garamond" w:hAnsi="Garamond"/>
          <w:b/>
        </w:rPr>
      </w:pPr>
      <w:r w:rsidRPr="00D936E9">
        <w:rPr>
          <w:rFonts w:ascii="Garamond" w:hAnsi="Garamond"/>
          <w:b/>
        </w:rPr>
        <w:t>L’evoluzione della nozione di unità produttiva nello Statuto dei lavoratori</w:t>
      </w:r>
    </w:p>
    <w:p w14:paraId="1DBDA4D3" w14:textId="77777777" w:rsidR="00BC2840" w:rsidRPr="00D936E9" w:rsidRDefault="00F53437" w:rsidP="00F21D62">
      <w:pPr>
        <w:spacing w:line="360" w:lineRule="auto"/>
        <w:jc w:val="both"/>
        <w:rPr>
          <w:rFonts w:ascii="Garamond" w:hAnsi="Garamond"/>
        </w:rPr>
      </w:pPr>
      <w:r w:rsidRPr="00D936E9">
        <w:rPr>
          <w:rFonts w:ascii="Garamond" w:hAnsi="Garamond"/>
        </w:rPr>
        <w:t>Si tratta di una nozione che ha coinvolto la dottrina sin dalla pubblicazione della l. 20 maggio 1970, n. 300, nel tentativo di individuare l’ambito di applicazione dello Statuto dei lavoratori (sia per quanto riguarda l’esercizio dei diritti sindacali, che in materia di licenziamenti). L’ambito si è oltremodo esteso, andando a spiegare effetti per quanto concerne i licenziamenti collettivi, il trasferimento dei lavoratori, la cessione d’azienda, la disciplina della salute e sicurezza nei luoghi di lavoro, fino a toccare aspetti legati all’economia del lavoro e alla scienza dell’organizzazione aziendale</w:t>
      </w:r>
      <w:r w:rsidRPr="00D936E9">
        <w:rPr>
          <w:rStyle w:val="Rimandonotaapidipagina"/>
          <w:rFonts w:ascii="Garamond" w:hAnsi="Garamond"/>
        </w:rPr>
        <w:footnoteReference w:id="18"/>
      </w:r>
      <w:r w:rsidRPr="00D936E9">
        <w:rPr>
          <w:rFonts w:ascii="Garamond" w:hAnsi="Garamond"/>
        </w:rPr>
        <w:t xml:space="preserve">. </w:t>
      </w:r>
    </w:p>
    <w:p w14:paraId="40119B0C" w14:textId="7B05849E" w:rsidR="00F21D62" w:rsidRPr="00D936E9" w:rsidRDefault="00F53437" w:rsidP="00F21D62">
      <w:pPr>
        <w:spacing w:line="360" w:lineRule="auto"/>
        <w:jc w:val="both"/>
        <w:rPr>
          <w:rFonts w:ascii="Garamond" w:hAnsi="Garamond"/>
        </w:rPr>
      </w:pPr>
      <w:r w:rsidRPr="00D936E9">
        <w:rPr>
          <w:rFonts w:ascii="Garamond" w:hAnsi="Garamond"/>
        </w:rPr>
        <w:t>Questa multidisciplinarietà che coinvolge il concetto di unità produttiva riflette la nozione di impresa intesa come «</w:t>
      </w:r>
      <w:r w:rsidRPr="00D936E9">
        <w:rPr>
          <w:rFonts w:ascii="Garamond" w:hAnsi="Garamond"/>
          <w:i/>
          <w:iCs/>
        </w:rPr>
        <w:t>comunità di lavoro</w:t>
      </w:r>
      <w:r w:rsidRPr="00D936E9">
        <w:rPr>
          <w:rStyle w:val="Rimandonotaapidipagina"/>
          <w:rFonts w:ascii="Garamond" w:hAnsi="Garamond"/>
        </w:rPr>
        <w:footnoteReference w:id="19"/>
      </w:r>
      <w:r w:rsidRPr="00D936E9">
        <w:rPr>
          <w:rFonts w:ascii="Garamond" w:hAnsi="Garamond"/>
        </w:rPr>
        <w:t>».</w:t>
      </w:r>
      <w:r w:rsidR="00F21D62" w:rsidRPr="00D936E9">
        <w:rPr>
          <w:rFonts w:ascii="Garamond" w:hAnsi="Garamond"/>
        </w:rPr>
        <w:t xml:space="preserve"> È un concetto complesso, reso ancora più oscuro da una «</w:t>
      </w:r>
      <w:r w:rsidR="00F21D62" w:rsidRPr="00D936E9">
        <w:rPr>
          <w:rFonts w:ascii="Garamond" w:hAnsi="Garamond"/>
          <w:i/>
          <w:iCs/>
        </w:rPr>
        <w:t>ipertrofia normativa</w:t>
      </w:r>
      <w:r w:rsidR="00F21D62" w:rsidRPr="00D936E9">
        <w:rPr>
          <w:rStyle w:val="Rimandonotaapidipagina"/>
          <w:rFonts w:ascii="Garamond" w:hAnsi="Garamond"/>
        </w:rPr>
        <w:footnoteReference w:id="20"/>
      </w:r>
      <w:r w:rsidR="00F21D62" w:rsidRPr="00D936E9">
        <w:rPr>
          <w:rFonts w:ascii="Garamond" w:hAnsi="Garamond"/>
        </w:rPr>
        <w:t>» che crea a volte difficoltà di coordinamento tra norme all’interno del medesimo ambito</w:t>
      </w:r>
      <w:r w:rsidR="00F21D62" w:rsidRPr="00D936E9">
        <w:rPr>
          <w:rStyle w:val="Rimandonotaapidipagina"/>
          <w:rFonts w:ascii="Garamond" w:hAnsi="Garamond"/>
        </w:rPr>
        <w:footnoteReference w:id="21"/>
      </w:r>
      <w:r w:rsidR="00F21D62" w:rsidRPr="00D936E9">
        <w:rPr>
          <w:rFonts w:ascii="Garamond" w:hAnsi="Garamond"/>
        </w:rPr>
        <w:t>.</w:t>
      </w:r>
      <w:r w:rsidR="001C00E4" w:rsidRPr="00D936E9">
        <w:rPr>
          <w:rFonts w:ascii="Garamond" w:hAnsi="Garamond"/>
        </w:rPr>
        <w:t xml:space="preserve"> Il </w:t>
      </w:r>
      <w:r w:rsidR="001C00E4" w:rsidRPr="00D936E9">
        <w:rPr>
          <w:rFonts w:ascii="Garamond" w:hAnsi="Garamond"/>
        </w:rPr>
        <w:lastRenderedPageBreak/>
        <w:t>problema vero è che non esiste una definizione legislativa chiara e precisa: essa è stata introdotta, ma non è stata spiegata.</w:t>
      </w:r>
    </w:p>
    <w:p w14:paraId="6F1BF8A8" w14:textId="04882356" w:rsidR="00133FDB" w:rsidRPr="00D936E9" w:rsidRDefault="00133FDB" w:rsidP="00133FDB">
      <w:pPr>
        <w:spacing w:line="360" w:lineRule="auto"/>
        <w:jc w:val="both"/>
        <w:rPr>
          <w:rFonts w:ascii="Garamond" w:hAnsi="Garamond"/>
        </w:rPr>
      </w:pPr>
      <w:r w:rsidRPr="00D936E9">
        <w:rPr>
          <w:rFonts w:ascii="Garamond" w:hAnsi="Garamond"/>
        </w:rPr>
        <w:t>L’art. 35, co. 1, dello Statuto dei lavoratori recita che «</w:t>
      </w:r>
      <w:r w:rsidRPr="00D936E9">
        <w:rPr>
          <w:rFonts w:ascii="Garamond" w:hAnsi="Garamond"/>
          <w:i/>
          <w:iCs/>
        </w:rPr>
        <w:t>Per le imprese industriali e commerciali, le disposizioni del titolo III, ad eccezione del primo comma dell'articolo 27, della presente legge si applicano a ciascuna sede, stabilimento, filiale, ufficio o reparto autonomo che occupa più di quindici dipendenti. Le stesse disposizioni si applicano alle imprese agricole che occupano più di cinque dipendenti</w:t>
      </w:r>
      <w:r w:rsidRPr="00D936E9">
        <w:rPr>
          <w:rFonts w:ascii="Garamond" w:hAnsi="Garamond"/>
        </w:rPr>
        <w:t xml:space="preserve">». </w:t>
      </w:r>
      <w:r w:rsidR="002102BC" w:rsidRPr="00D936E9">
        <w:rPr>
          <w:rFonts w:ascii="Garamond" w:hAnsi="Garamond"/>
        </w:rPr>
        <w:t>Solo nel secondo comma, tuttavia, compare l’espressione “unità produttiva”: «</w:t>
      </w:r>
      <w:r w:rsidR="002102BC" w:rsidRPr="00D936E9">
        <w:rPr>
          <w:rFonts w:ascii="Garamond" w:hAnsi="Garamond"/>
          <w:i/>
          <w:iCs/>
        </w:rPr>
        <w:t>Le norme suddette si applicano, altresì, alle imprese industriali e commerciali che nell'ambito dello stesso comune occupano più di quindici dipendenti ed alle imprese agricole che nel medesimo ambito territoriale occupano più di cinque dipendenti anche se ciascuna unità produttiva, singolarmente considerata, non raggiunge tali limiti</w:t>
      </w:r>
      <w:r w:rsidR="002102BC" w:rsidRPr="00D936E9">
        <w:rPr>
          <w:rFonts w:ascii="Garamond" w:hAnsi="Garamond"/>
        </w:rPr>
        <w:t>».</w:t>
      </w:r>
    </w:p>
    <w:p w14:paraId="3DC26711" w14:textId="05F59685" w:rsidR="00133FDB" w:rsidRPr="00D936E9" w:rsidRDefault="00133FDB" w:rsidP="002102BC">
      <w:pPr>
        <w:spacing w:line="360" w:lineRule="auto"/>
        <w:jc w:val="both"/>
        <w:rPr>
          <w:rFonts w:ascii="Garamond" w:hAnsi="Garamond"/>
        </w:rPr>
      </w:pPr>
      <w:r w:rsidRPr="00D936E9">
        <w:rPr>
          <w:rFonts w:ascii="Garamond" w:hAnsi="Garamond"/>
        </w:rPr>
        <w:t xml:space="preserve">Con tale norma il legislatore del 1970 ha, così, tentato di delimitare l’ambito di applicazione di alcune norme dello Statuto dei lavoratori. Va considerato, infatti, che con tale articolo, che si colloca nella parte finale della l. 20 maggio 1970, n. 300, si è voluto </w:t>
      </w:r>
      <w:r w:rsidR="002102BC" w:rsidRPr="00D936E9">
        <w:rPr>
          <w:rFonts w:ascii="Garamond" w:hAnsi="Garamond"/>
        </w:rPr>
        <w:t>prendere in considerazione contesti organizzativi di medio-grandi dimensioni – piuttosto che le realtà più piccole – all’interno dei quali</w:t>
      </w:r>
      <w:r w:rsidRPr="00D936E9">
        <w:rPr>
          <w:rFonts w:ascii="Garamond" w:hAnsi="Garamond"/>
        </w:rPr>
        <w:t xml:space="preserve"> </w:t>
      </w:r>
      <w:r w:rsidR="002102BC" w:rsidRPr="00D936E9">
        <w:rPr>
          <w:rFonts w:ascii="Garamond" w:hAnsi="Garamond"/>
        </w:rPr>
        <w:t>si determinano relazioni di lavoro e si esercitano, pertanto, i diritti sindacali</w:t>
      </w:r>
      <w:r w:rsidR="002102BC" w:rsidRPr="00D936E9">
        <w:rPr>
          <w:rStyle w:val="Rimandonotaapidipagina"/>
          <w:rFonts w:ascii="Garamond" w:hAnsi="Garamond"/>
        </w:rPr>
        <w:footnoteReference w:id="22"/>
      </w:r>
      <w:r w:rsidR="002102BC" w:rsidRPr="00D936E9">
        <w:rPr>
          <w:rFonts w:ascii="Garamond" w:hAnsi="Garamond"/>
        </w:rPr>
        <w:t xml:space="preserve">. E ciò lo si ottiene distinguendo due dimensioni della pur carente definizione legislativa di unità produttiva: (i) da un lato, quella materiale, rappresentata dal </w:t>
      </w:r>
      <w:r w:rsidRPr="00D936E9">
        <w:rPr>
          <w:rFonts w:ascii="Garamond" w:hAnsi="Garamond"/>
        </w:rPr>
        <w:t>riferimento alla sede, allo stabilimento, alla filiale, all’ufficio o al reparto autonomo</w:t>
      </w:r>
      <w:r w:rsidR="002102BC" w:rsidRPr="00D936E9">
        <w:rPr>
          <w:rFonts w:ascii="Garamond" w:hAnsi="Garamond"/>
        </w:rPr>
        <w:t xml:space="preserve">, che non necessariamente coincidono con il </w:t>
      </w:r>
      <w:r w:rsidRPr="00D936E9">
        <w:rPr>
          <w:rFonts w:ascii="Garamond" w:hAnsi="Garamond"/>
        </w:rPr>
        <w:t>luogo di lavor</w:t>
      </w:r>
      <w:r w:rsidR="002102BC" w:rsidRPr="00D936E9">
        <w:rPr>
          <w:rFonts w:ascii="Garamond" w:hAnsi="Garamond"/>
        </w:rPr>
        <w:t>o; (ii) dall’altro, l’aspetto legato alla finalità della nozione di unità produttiva, che funge da contenitore per l’applicazione delle discipline specifiche di cui allo Statuto dei lavoratori</w:t>
      </w:r>
      <w:r w:rsidRPr="00D936E9">
        <w:rPr>
          <w:rFonts w:ascii="Garamond" w:hAnsi="Garamond"/>
        </w:rPr>
        <w:t>.</w:t>
      </w:r>
    </w:p>
    <w:p w14:paraId="6A64F7E2" w14:textId="5D8D3743" w:rsidR="004F766C" w:rsidRPr="00D936E9" w:rsidRDefault="002564BA" w:rsidP="002564BA">
      <w:pPr>
        <w:spacing w:line="360" w:lineRule="auto"/>
        <w:jc w:val="both"/>
        <w:rPr>
          <w:rFonts w:ascii="Garamond" w:hAnsi="Garamond"/>
        </w:rPr>
      </w:pPr>
      <w:r w:rsidRPr="00D936E9">
        <w:rPr>
          <w:rFonts w:ascii="Garamond" w:hAnsi="Garamond"/>
        </w:rPr>
        <w:t>Banalmente, è sufficiente un semplice conteggio dei lavoratori che operano in una singola unità produttiva per comprendere a chi e quando si applicano le norme del T</w:t>
      </w:r>
      <w:r w:rsidR="00F92470" w:rsidRPr="00D936E9">
        <w:rPr>
          <w:rFonts w:ascii="Garamond" w:hAnsi="Garamond"/>
        </w:rPr>
        <w:t xml:space="preserve">itolo III </w:t>
      </w:r>
      <w:r w:rsidRPr="00D936E9">
        <w:rPr>
          <w:rFonts w:ascii="Garamond" w:hAnsi="Garamond"/>
        </w:rPr>
        <w:t>dello Statuto dei lavoratori</w:t>
      </w:r>
      <w:r w:rsidR="004F766C" w:rsidRPr="00D936E9">
        <w:rPr>
          <w:rStyle w:val="Rimandonotaapidipagina"/>
          <w:rFonts w:ascii="Garamond" w:hAnsi="Garamond"/>
        </w:rPr>
        <w:footnoteReference w:id="23"/>
      </w:r>
      <w:r w:rsidRPr="00D936E9">
        <w:rPr>
          <w:rFonts w:ascii="Garamond" w:hAnsi="Garamond"/>
        </w:rPr>
        <w:t xml:space="preserve">. </w:t>
      </w:r>
      <w:r w:rsidR="00F92470" w:rsidRPr="00D936E9">
        <w:rPr>
          <w:rFonts w:ascii="Garamond" w:hAnsi="Garamond"/>
        </w:rPr>
        <w:t>La</w:t>
      </w:r>
      <w:r w:rsidR="0098561C" w:rsidRPr="00D936E9">
        <w:rPr>
          <w:rFonts w:ascii="Garamond" w:hAnsi="Garamond"/>
        </w:rPr>
        <w:t xml:space="preserve"> </w:t>
      </w:r>
      <w:r w:rsidR="00F92470" w:rsidRPr="00D936E9">
        <w:rPr>
          <w:rFonts w:ascii="Garamond" w:hAnsi="Garamond"/>
        </w:rPr>
        <w:t>soglia dei 16 dipendenti</w:t>
      </w:r>
      <w:r w:rsidRPr="00D936E9">
        <w:rPr>
          <w:rFonts w:ascii="Garamond" w:hAnsi="Garamond"/>
        </w:rPr>
        <w:t>, funzionale a tale opera di selezione di situazioni giuridiche diverse,</w:t>
      </w:r>
      <w:r w:rsidR="00F92470" w:rsidRPr="00D936E9">
        <w:rPr>
          <w:rFonts w:ascii="Garamond" w:hAnsi="Garamond"/>
        </w:rPr>
        <w:t xml:space="preserve"> </w:t>
      </w:r>
      <w:r w:rsidRPr="00D936E9">
        <w:rPr>
          <w:rFonts w:ascii="Garamond" w:hAnsi="Garamond"/>
        </w:rPr>
        <w:t xml:space="preserve">consente </w:t>
      </w:r>
      <w:r w:rsidR="00F92470" w:rsidRPr="00D936E9">
        <w:rPr>
          <w:rFonts w:ascii="Garamond" w:hAnsi="Garamond"/>
        </w:rPr>
        <w:t>«</w:t>
      </w:r>
      <w:r w:rsidRPr="00D936E9">
        <w:rPr>
          <w:rFonts w:ascii="Garamond" w:hAnsi="Garamond"/>
          <w:i/>
          <w:iCs/>
        </w:rPr>
        <w:t xml:space="preserve">lo svolgimento di una </w:t>
      </w:r>
      <w:r w:rsidR="00F92470" w:rsidRPr="00D936E9">
        <w:rPr>
          <w:rFonts w:ascii="Garamond" w:hAnsi="Garamond"/>
          <w:i/>
          <w:iCs/>
        </w:rPr>
        <w:t>vita</w:t>
      </w:r>
      <w:r w:rsidR="0098561C" w:rsidRPr="00D936E9">
        <w:rPr>
          <w:rFonts w:ascii="Garamond" w:hAnsi="Garamond"/>
          <w:i/>
          <w:iCs/>
        </w:rPr>
        <w:t xml:space="preserve"> </w:t>
      </w:r>
      <w:r w:rsidR="00F92470" w:rsidRPr="00D936E9">
        <w:rPr>
          <w:rFonts w:ascii="Garamond" w:hAnsi="Garamond"/>
          <w:i/>
          <w:iCs/>
        </w:rPr>
        <w:t>sindacale interna</w:t>
      </w:r>
      <w:r w:rsidR="00F92470" w:rsidRPr="00D936E9">
        <w:rPr>
          <w:rFonts w:ascii="Garamond" w:hAnsi="Garamond"/>
        </w:rPr>
        <w:t>»</w:t>
      </w:r>
      <w:r w:rsidRPr="00D936E9">
        <w:rPr>
          <w:rFonts w:ascii="Garamond" w:hAnsi="Garamond"/>
        </w:rPr>
        <w:t>, tipica di quelle «</w:t>
      </w:r>
      <w:r w:rsidRPr="00D936E9">
        <w:rPr>
          <w:rFonts w:ascii="Garamond" w:hAnsi="Garamond"/>
          <w:i/>
          <w:iCs/>
        </w:rPr>
        <w:t>unità produttive, rispondenti ai requisiti minimi fissati dall'art. 35 dello Statuto dei lavoratori</w:t>
      </w:r>
      <w:r w:rsidRPr="00D936E9">
        <w:rPr>
          <w:rStyle w:val="Rimandonotaapidipagina"/>
          <w:rFonts w:ascii="Garamond" w:hAnsi="Garamond"/>
        </w:rPr>
        <w:footnoteReference w:id="24"/>
      </w:r>
      <w:r w:rsidRPr="00D936E9">
        <w:rPr>
          <w:rFonts w:ascii="Garamond" w:hAnsi="Garamond"/>
        </w:rPr>
        <w:t>».</w:t>
      </w:r>
      <w:r w:rsidR="004F766C" w:rsidRPr="00D936E9">
        <w:rPr>
          <w:rFonts w:ascii="Garamond" w:hAnsi="Garamond"/>
        </w:rPr>
        <w:t xml:space="preserve"> Pertanto, l’ambito di applicazione della l. 20 maggio 1970, n. 300 riguardava esclusivamente le imprese di grandi dimensioni, con una netta esclusione dei rapporti di lavoro autonomi: su quest’ultimo punto si era espressa in modo netto la </w:t>
      </w:r>
      <w:proofErr w:type="gramStart"/>
      <w:r w:rsidR="004F766C" w:rsidRPr="00D936E9">
        <w:rPr>
          <w:rFonts w:ascii="Garamond" w:hAnsi="Garamond"/>
        </w:rPr>
        <w:t>Corte Costituzionale</w:t>
      </w:r>
      <w:proofErr w:type="gramEnd"/>
      <w:r w:rsidR="004F766C" w:rsidRPr="00D936E9">
        <w:rPr>
          <w:rFonts w:ascii="Garamond" w:hAnsi="Garamond"/>
        </w:rPr>
        <w:t xml:space="preserve"> nel 1975, precisando che «</w:t>
      </w:r>
      <w:r w:rsidR="004F766C" w:rsidRPr="00D936E9">
        <w:rPr>
          <w:rFonts w:ascii="Garamond" w:hAnsi="Garamond"/>
          <w:i/>
          <w:iCs/>
        </w:rPr>
        <w:t xml:space="preserve">nessuna rilevanza può attribuirsi al fatto che l'attività saltuaria e discontinua venga prestata presso un solo soggetto, e nei locali da questo predisposti. La natura del rapporto, data l'effettiva autonomia dei lavoratori, non richiede ovviamente alcuna particolare tutela quanto all'esercizio dell'attività sindacale che essi ben possono svolgere liberamente, senza che occorrano speciali forme di garanzia per la sua esplicazione nell'interno dei </w:t>
      </w:r>
      <w:r w:rsidR="004F766C" w:rsidRPr="00D936E9">
        <w:rPr>
          <w:rFonts w:ascii="Garamond" w:hAnsi="Garamond"/>
          <w:i/>
          <w:iCs/>
        </w:rPr>
        <w:lastRenderedPageBreak/>
        <w:t>luoghi di lavoro, o nell'ambito di una organizzazione aziendale alla quale sono estranei, non essendo legati da alcun vincolo di dipendenza</w:t>
      </w:r>
      <w:r w:rsidR="004F766C" w:rsidRPr="00D936E9">
        <w:rPr>
          <w:rFonts w:ascii="Garamond" w:hAnsi="Garamond"/>
          <w:vertAlign w:val="superscript"/>
        </w:rPr>
        <w:footnoteReference w:id="25"/>
      </w:r>
      <w:r w:rsidR="004F766C" w:rsidRPr="00D936E9">
        <w:rPr>
          <w:rFonts w:ascii="Garamond" w:hAnsi="Garamond"/>
        </w:rPr>
        <w:t>».</w:t>
      </w:r>
    </w:p>
    <w:p w14:paraId="114B7CFD" w14:textId="0AEC1B04" w:rsidR="00E825EC" w:rsidRPr="00D936E9" w:rsidRDefault="00E825EC" w:rsidP="00E825EC">
      <w:pPr>
        <w:spacing w:line="360" w:lineRule="auto"/>
        <w:jc w:val="both"/>
        <w:rPr>
          <w:rFonts w:ascii="Garamond" w:hAnsi="Garamond"/>
        </w:rPr>
      </w:pPr>
      <w:r w:rsidRPr="00D936E9">
        <w:rPr>
          <w:rFonts w:ascii="Garamond" w:hAnsi="Garamond"/>
        </w:rPr>
        <w:t>Va detto che nella versione originaria l’art. 35 era funzionale anche e soprattutto a delimitare il campo di applicazione dell’art. 18 dello Statuto dei lavoratori sulla reintegrazione nel posto di lavoro</w:t>
      </w:r>
      <w:r w:rsidRPr="00D936E9">
        <w:rPr>
          <w:rStyle w:val="Rimandonotaapidipagina"/>
          <w:rFonts w:ascii="Garamond" w:hAnsi="Garamond"/>
        </w:rPr>
        <w:footnoteReference w:id="26"/>
      </w:r>
      <w:r w:rsidRPr="00D936E9">
        <w:rPr>
          <w:rFonts w:ascii="Garamond" w:hAnsi="Garamond"/>
        </w:rPr>
        <w:t>.</w:t>
      </w:r>
      <w:r w:rsidR="008016BB" w:rsidRPr="00D936E9">
        <w:rPr>
          <w:rFonts w:ascii="Garamond" w:hAnsi="Garamond"/>
        </w:rPr>
        <w:t xml:space="preserve"> Tale scelta ha suscitato immediati dubbi in dottrina, proprio </w:t>
      </w:r>
      <w:r w:rsidRPr="00D936E9">
        <w:rPr>
          <w:rFonts w:ascii="Garamond" w:hAnsi="Garamond"/>
        </w:rPr>
        <w:t>per la diversità</w:t>
      </w:r>
      <w:r w:rsidR="008016BB" w:rsidRPr="00D936E9">
        <w:rPr>
          <w:rFonts w:ascii="Garamond" w:hAnsi="Garamond"/>
        </w:rPr>
        <w:t xml:space="preserve"> </w:t>
      </w:r>
      <w:r w:rsidRPr="00D936E9">
        <w:rPr>
          <w:rFonts w:ascii="Garamond" w:hAnsi="Garamond"/>
        </w:rPr>
        <w:t xml:space="preserve">di </w:t>
      </w:r>
      <w:r w:rsidRPr="00D936E9">
        <w:rPr>
          <w:rFonts w:ascii="Garamond" w:hAnsi="Garamond"/>
          <w:i/>
          <w:iCs/>
        </w:rPr>
        <w:t>ratio</w:t>
      </w:r>
      <w:r w:rsidRPr="00D936E9">
        <w:rPr>
          <w:rFonts w:ascii="Garamond" w:hAnsi="Garamond"/>
        </w:rPr>
        <w:t xml:space="preserve"> tra le due </w:t>
      </w:r>
      <w:r w:rsidR="008016BB" w:rsidRPr="00D936E9">
        <w:rPr>
          <w:rFonts w:ascii="Garamond" w:hAnsi="Garamond"/>
        </w:rPr>
        <w:t>disposizioni e per le differenti ipotesi interpretative</w:t>
      </w:r>
      <w:r w:rsidR="008016BB" w:rsidRPr="00D936E9">
        <w:rPr>
          <w:rStyle w:val="Rimandonotaapidipagina"/>
          <w:rFonts w:ascii="Garamond" w:hAnsi="Garamond"/>
        </w:rPr>
        <w:footnoteReference w:id="27"/>
      </w:r>
      <w:r w:rsidRPr="00D936E9">
        <w:rPr>
          <w:rFonts w:ascii="Garamond" w:hAnsi="Garamond"/>
        </w:rPr>
        <w:t>.</w:t>
      </w:r>
    </w:p>
    <w:p w14:paraId="43098E6E" w14:textId="1A38BABD" w:rsidR="00397370" w:rsidRPr="00D936E9" w:rsidRDefault="00DF5CCF" w:rsidP="00397370">
      <w:pPr>
        <w:spacing w:line="360" w:lineRule="auto"/>
        <w:jc w:val="both"/>
        <w:rPr>
          <w:rFonts w:ascii="Garamond" w:hAnsi="Garamond"/>
        </w:rPr>
      </w:pPr>
      <w:r w:rsidRPr="00D936E9">
        <w:rPr>
          <w:rFonts w:ascii="Garamond" w:hAnsi="Garamond"/>
        </w:rPr>
        <w:t>In seguito, si sono contrapposte due visioni differenti. Da una parte, si è innestata una nozione unica, comune e omogeneizzante di unità produttiva</w:t>
      </w:r>
      <w:r w:rsidRPr="00D936E9">
        <w:rPr>
          <w:rFonts w:ascii="Garamond" w:hAnsi="Garamond"/>
          <w:vertAlign w:val="superscript"/>
        </w:rPr>
        <w:footnoteReference w:id="28"/>
      </w:r>
      <w:r w:rsidRPr="00D936E9">
        <w:rPr>
          <w:rFonts w:ascii="Garamond" w:hAnsi="Garamond"/>
        </w:rPr>
        <w:t>;</w:t>
      </w:r>
      <w:r w:rsidRPr="00D936E9">
        <w:rPr>
          <w:rFonts w:ascii="Garamond" w:hAnsi="Garamond"/>
          <w:vertAlign w:val="superscript"/>
        </w:rPr>
        <w:t xml:space="preserve"> </w:t>
      </w:r>
      <w:r w:rsidRPr="00D936E9">
        <w:rPr>
          <w:rFonts w:ascii="Garamond" w:hAnsi="Garamond"/>
        </w:rPr>
        <w:t xml:space="preserve">dall’altra, si è privilegiata la sua </w:t>
      </w:r>
      <w:r w:rsidR="002564BA" w:rsidRPr="00D936E9">
        <w:rPr>
          <w:rFonts w:ascii="Garamond" w:hAnsi="Garamond"/>
        </w:rPr>
        <w:t>relativizzazione</w:t>
      </w:r>
      <w:r w:rsidRPr="00D936E9">
        <w:rPr>
          <w:rStyle w:val="Rimandonotaapidipagina"/>
          <w:rFonts w:ascii="Garamond" w:hAnsi="Garamond"/>
        </w:rPr>
        <w:footnoteReference w:id="29"/>
      </w:r>
      <w:r w:rsidR="00397370" w:rsidRPr="00D936E9">
        <w:rPr>
          <w:rFonts w:ascii="Garamond" w:hAnsi="Garamond"/>
        </w:rPr>
        <w:t xml:space="preserve">. Secondo la prima opinione, </w:t>
      </w:r>
      <w:r w:rsidR="00397370" w:rsidRPr="00D936E9">
        <w:rPr>
          <w:rFonts w:ascii="Garamond" w:eastAsia="Times New Roman" w:hAnsi="Garamond"/>
          <w:lang w:eastAsia="it-IT"/>
        </w:rPr>
        <w:t>l’</w:t>
      </w:r>
      <w:r w:rsidR="002564BA" w:rsidRPr="00D936E9">
        <w:rPr>
          <w:rFonts w:ascii="Garamond" w:hAnsi="Garamond"/>
          <w:lang w:eastAsia="it-IT"/>
        </w:rPr>
        <w:t xml:space="preserve">unità produttiva </w:t>
      </w:r>
      <w:r w:rsidR="00397370" w:rsidRPr="00D936E9">
        <w:rPr>
          <w:rFonts w:ascii="Garamond" w:hAnsi="Garamond"/>
          <w:lang w:eastAsia="it-IT"/>
        </w:rPr>
        <w:t xml:space="preserve">è una parte dell’impresa, ma non coincide con essa, ed è caratterizzata da indipendenza tecnico-amministrativa, con una propria </w:t>
      </w:r>
      <w:r w:rsidR="002564BA" w:rsidRPr="00D936E9">
        <w:rPr>
          <w:rFonts w:ascii="Garamond" w:hAnsi="Garamond"/>
          <w:lang w:eastAsia="it-IT"/>
        </w:rPr>
        <w:t>organizzazione di</w:t>
      </w:r>
      <w:r w:rsidRPr="00D936E9">
        <w:rPr>
          <w:rFonts w:ascii="Garamond" w:hAnsi="Garamond"/>
        </w:rPr>
        <w:t xml:space="preserve"> </w:t>
      </w:r>
      <w:r w:rsidR="002564BA" w:rsidRPr="00D936E9">
        <w:rPr>
          <w:rFonts w:ascii="Garamond" w:hAnsi="Garamond"/>
          <w:lang w:eastAsia="it-IT"/>
        </w:rPr>
        <w:t xml:space="preserve">lavoro, </w:t>
      </w:r>
      <w:r w:rsidR="002564BA" w:rsidRPr="00D936E9">
        <w:rPr>
          <w:rFonts w:ascii="Garamond" w:hAnsi="Garamond"/>
        </w:rPr>
        <w:t>dotata di una autonomia funzionale</w:t>
      </w:r>
      <w:r w:rsidR="00397370" w:rsidRPr="00D936E9">
        <w:rPr>
          <w:rStyle w:val="Rimandonotaapidipagina"/>
          <w:rFonts w:ascii="Garamond" w:hAnsi="Garamond"/>
        </w:rPr>
        <w:footnoteReference w:id="30"/>
      </w:r>
      <w:r w:rsidR="002564BA" w:rsidRPr="00D936E9">
        <w:rPr>
          <w:rFonts w:ascii="Garamond" w:hAnsi="Garamond"/>
        </w:rPr>
        <w:t xml:space="preserve"> </w:t>
      </w:r>
      <w:r w:rsidR="00397370" w:rsidRPr="00D936E9">
        <w:rPr>
          <w:rFonts w:ascii="Garamond" w:hAnsi="Garamond"/>
        </w:rPr>
        <w:t>capace di portare a compimento una frazione dell’attività aziendale di produzione o erogazione di servizi</w:t>
      </w:r>
      <w:r w:rsidR="00397370" w:rsidRPr="00D936E9">
        <w:rPr>
          <w:rStyle w:val="Rimandonotaapidipagina"/>
          <w:rFonts w:ascii="Garamond" w:hAnsi="Garamond"/>
        </w:rPr>
        <w:footnoteReference w:id="31"/>
      </w:r>
      <w:r w:rsidR="002564BA" w:rsidRPr="00D936E9">
        <w:rPr>
          <w:rFonts w:ascii="Garamond" w:hAnsi="Garamond"/>
        </w:rPr>
        <w:t>.</w:t>
      </w:r>
    </w:p>
    <w:p w14:paraId="35C0FE4B" w14:textId="52472C28" w:rsidR="002564BA" w:rsidRPr="00D936E9" w:rsidRDefault="00032529" w:rsidP="00032529">
      <w:pPr>
        <w:pStyle w:val="NormaleWeb"/>
        <w:spacing w:before="0" w:beforeAutospacing="0" w:after="0" w:afterAutospacing="0" w:line="360" w:lineRule="auto"/>
        <w:jc w:val="both"/>
        <w:rPr>
          <w:rFonts w:ascii="Garamond" w:hAnsi="Garamond"/>
        </w:rPr>
      </w:pPr>
      <w:r w:rsidRPr="00D936E9">
        <w:rPr>
          <w:rFonts w:ascii="Garamond" w:hAnsi="Garamond"/>
        </w:rPr>
        <w:t>La visione pluralistica, invece, esclude l’esistenza di una nozione univoca, ed evidenzia le disfunzioni sottese al concetto di unità produttiva, sottolineando l’eterogeneità delle norme che sono ricomprese nell’alveo applicativo dell’art. 35 dello Statuto dei lavoratori</w:t>
      </w:r>
      <w:r w:rsidRPr="00D936E9">
        <w:rPr>
          <w:rStyle w:val="Rimandonotaapidipagina"/>
          <w:rFonts w:ascii="Garamond" w:hAnsi="Garamond"/>
        </w:rPr>
        <w:footnoteReference w:id="32"/>
      </w:r>
      <w:r w:rsidRPr="00D936E9">
        <w:rPr>
          <w:rFonts w:ascii="Garamond" w:hAnsi="Garamond"/>
        </w:rPr>
        <w:t xml:space="preserve"> (tutela dai licenziamenti illegittimi </w:t>
      </w:r>
      <w:r w:rsidRPr="00D936E9">
        <w:rPr>
          <w:rFonts w:ascii="Garamond" w:hAnsi="Garamond"/>
          <w:i/>
          <w:iCs/>
        </w:rPr>
        <w:t xml:space="preserve">ex </w:t>
      </w:r>
      <w:r w:rsidRPr="00D936E9">
        <w:rPr>
          <w:rFonts w:ascii="Garamond" w:hAnsi="Garamond"/>
        </w:rPr>
        <w:t xml:space="preserve">art. 18, e rappresentanza sindacale); con ciò, lamentando una mancanza di coerenza interna tra norme, dal momento che la nozione di unità produttiva mal si adatta alla disciplina delle mansioni </w:t>
      </w:r>
      <w:r w:rsidR="002564BA" w:rsidRPr="00D936E9">
        <w:rPr>
          <w:rFonts w:ascii="Garamond" w:hAnsi="Garamond"/>
        </w:rPr>
        <w:t>(</w:t>
      </w:r>
      <w:r w:rsidRPr="00D936E9">
        <w:rPr>
          <w:rFonts w:ascii="Garamond" w:hAnsi="Garamond"/>
          <w:i/>
          <w:iCs/>
        </w:rPr>
        <w:t xml:space="preserve">ex </w:t>
      </w:r>
      <w:r w:rsidR="002564BA" w:rsidRPr="00D936E9">
        <w:rPr>
          <w:rFonts w:ascii="Garamond" w:hAnsi="Garamond"/>
        </w:rPr>
        <w:t xml:space="preserve">art. 13 </w:t>
      </w:r>
      <w:r w:rsidRPr="00D936E9">
        <w:rPr>
          <w:rFonts w:ascii="Garamond" w:hAnsi="Garamond"/>
        </w:rPr>
        <w:t xml:space="preserve">e </w:t>
      </w:r>
      <w:r w:rsidR="002564BA" w:rsidRPr="00D936E9">
        <w:rPr>
          <w:rFonts w:ascii="Garamond" w:hAnsi="Garamond"/>
        </w:rPr>
        <w:t>l’art.</w:t>
      </w:r>
      <w:r w:rsidR="00DF5CCF" w:rsidRPr="00D936E9">
        <w:rPr>
          <w:rFonts w:ascii="Garamond" w:hAnsi="Garamond"/>
        </w:rPr>
        <w:t xml:space="preserve"> </w:t>
      </w:r>
      <w:r w:rsidR="002564BA" w:rsidRPr="00D936E9">
        <w:rPr>
          <w:rFonts w:ascii="Garamond" w:hAnsi="Garamond"/>
        </w:rPr>
        <w:t xml:space="preserve">2103 </w:t>
      </w:r>
      <w:r w:rsidRPr="00D936E9">
        <w:rPr>
          <w:rFonts w:ascii="Garamond" w:hAnsi="Garamond"/>
        </w:rPr>
        <w:t>cod. civ.</w:t>
      </w:r>
      <w:r w:rsidR="002564BA" w:rsidRPr="00D936E9">
        <w:rPr>
          <w:rFonts w:ascii="Garamond" w:hAnsi="Garamond"/>
        </w:rPr>
        <w:t xml:space="preserve">). </w:t>
      </w:r>
    </w:p>
    <w:p w14:paraId="6074F847" w14:textId="143EBC2C" w:rsidR="00A0650C" w:rsidRPr="00D936E9" w:rsidRDefault="00A0650C" w:rsidP="00A0650C">
      <w:pPr>
        <w:pStyle w:val="NormaleWeb"/>
        <w:spacing w:before="0" w:beforeAutospacing="0" w:after="0" w:afterAutospacing="0" w:line="360" w:lineRule="auto"/>
        <w:jc w:val="both"/>
        <w:rPr>
          <w:rFonts w:ascii="Garamond" w:hAnsi="Garamond"/>
        </w:rPr>
      </w:pPr>
      <w:r w:rsidRPr="00D936E9">
        <w:rPr>
          <w:rFonts w:ascii="Garamond" w:hAnsi="Garamond"/>
        </w:rPr>
        <w:t>La giurisprudenza di Cassazione, dal canto suo, ha sposato la visione unitaria, puntando essenzialmente sul concetto di autonomia produttiva, sul raggiungimento di un risultato evidente, sulla relazione tra l’unità produttiva e l’impresa e sulla separazione tra le due realtà</w:t>
      </w:r>
      <w:r w:rsidRPr="00D936E9">
        <w:rPr>
          <w:rStyle w:val="Rimandonotaapidipagina"/>
          <w:rFonts w:ascii="Garamond" w:hAnsi="Garamond"/>
        </w:rPr>
        <w:footnoteReference w:id="33"/>
      </w:r>
      <w:r w:rsidRPr="00D936E9">
        <w:rPr>
          <w:rFonts w:ascii="Garamond" w:hAnsi="Garamond"/>
        </w:rPr>
        <w:t>. In questo modo, ha stabilito un collegamento stretto tra autonomia, requisito dimensionale e luogo fisico</w:t>
      </w:r>
      <w:r w:rsidRPr="00D936E9">
        <w:rPr>
          <w:rStyle w:val="Rimandonotaapidipagina"/>
          <w:rFonts w:ascii="Garamond" w:hAnsi="Garamond"/>
        </w:rPr>
        <w:footnoteReference w:id="34"/>
      </w:r>
      <w:r w:rsidRPr="00D936E9">
        <w:rPr>
          <w:rFonts w:ascii="Garamond" w:hAnsi="Garamond"/>
        </w:rPr>
        <w:t xml:space="preserve"> (ai sensi dell’art. 35, co. 2), in modo da chiarire che non bisogna fare riferimento ad ogni sede, stabilimento, filiale, ufficio o reparto (come indicato dalla norma statutaria), ma soltanto alle entità aziendali più consistenti che siano dotate </w:t>
      </w:r>
      <w:r w:rsidRPr="00D936E9">
        <w:rPr>
          <w:rFonts w:ascii="Garamond" w:hAnsi="Garamond"/>
        </w:rPr>
        <w:lastRenderedPageBreak/>
        <w:t>di indipendenza tecnico-amministrativa, in cui si esaurisce una frazione o un momento essenziale dell’attività produttiva aziendale</w:t>
      </w:r>
      <w:r w:rsidRPr="00D936E9">
        <w:rPr>
          <w:rStyle w:val="Rimandonotaapidipagina"/>
          <w:rFonts w:ascii="Garamond" w:hAnsi="Garamond"/>
        </w:rPr>
        <w:footnoteReference w:id="35"/>
      </w:r>
      <w:r w:rsidRPr="00D936E9">
        <w:rPr>
          <w:rFonts w:ascii="Garamond" w:hAnsi="Garamond"/>
        </w:rPr>
        <w:t>.</w:t>
      </w:r>
    </w:p>
    <w:p w14:paraId="60B56BAC" w14:textId="77777777" w:rsidR="00F92470" w:rsidRPr="00D936E9" w:rsidRDefault="00F92470" w:rsidP="001F5C21">
      <w:pPr>
        <w:spacing w:line="360" w:lineRule="auto"/>
        <w:jc w:val="both"/>
        <w:rPr>
          <w:rFonts w:ascii="Garamond" w:hAnsi="Garamond"/>
        </w:rPr>
      </w:pPr>
    </w:p>
    <w:p w14:paraId="3D5A9247" w14:textId="7DEAE7C2" w:rsidR="00972B3B" w:rsidRPr="00D936E9" w:rsidRDefault="003D329B" w:rsidP="003769A2">
      <w:pPr>
        <w:numPr>
          <w:ilvl w:val="0"/>
          <w:numId w:val="9"/>
        </w:numPr>
        <w:spacing w:line="360" w:lineRule="auto"/>
        <w:jc w:val="both"/>
        <w:rPr>
          <w:rFonts w:ascii="Garamond" w:hAnsi="Garamond"/>
          <w:b/>
        </w:rPr>
      </w:pPr>
      <w:r w:rsidRPr="00D936E9">
        <w:rPr>
          <w:rFonts w:ascii="Garamond" w:hAnsi="Garamond"/>
          <w:b/>
        </w:rPr>
        <w:t>Innovazione tecnologica e lavoro. Il superamento di vecchi modelli</w:t>
      </w:r>
      <w:r w:rsidR="00453DFC" w:rsidRPr="00D936E9">
        <w:rPr>
          <w:rFonts w:ascii="Garamond" w:hAnsi="Garamond"/>
          <w:b/>
        </w:rPr>
        <w:t>.</w:t>
      </w:r>
    </w:p>
    <w:p w14:paraId="675ADC71" w14:textId="3F89695C" w:rsidR="003769A2" w:rsidRPr="00D936E9" w:rsidRDefault="00FF1150" w:rsidP="003769A2">
      <w:pPr>
        <w:pStyle w:val="NormaleWeb"/>
        <w:spacing w:before="0" w:beforeAutospacing="0" w:after="0" w:afterAutospacing="0" w:line="360" w:lineRule="auto"/>
        <w:jc w:val="both"/>
        <w:rPr>
          <w:rFonts w:ascii="Garamond" w:hAnsi="Garamond"/>
        </w:rPr>
      </w:pPr>
      <w:r w:rsidRPr="00D936E9">
        <w:rPr>
          <w:rFonts w:ascii="Garamond" w:hAnsi="Garamond"/>
        </w:rPr>
        <w:t>Rituffiamoci, ora, nell’</w:t>
      </w:r>
      <w:r w:rsidR="003769A2" w:rsidRPr="00D936E9">
        <w:rPr>
          <w:rFonts w:ascii="Garamond" w:hAnsi="Garamond"/>
        </w:rPr>
        <w:t xml:space="preserve">epoca attuale, caratterizzata da una rapidissima evoluzione tecnologica, </w:t>
      </w:r>
      <w:r w:rsidRPr="00D936E9">
        <w:rPr>
          <w:rFonts w:ascii="Garamond" w:hAnsi="Garamond"/>
        </w:rPr>
        <w:t xml:space="preserve">che </w:t>
      </w:r>
      <w:r w:rsidR="003769A2" w:rsidRPr="00D936E9">
        <w:rPr>
          <w:rFonts w:ascii="Garamond" w:hAnsi="Garamond"/>
        </w:rPr>
        <w:t xml:space="preserve">rappresenta una rivoluzione nell’ambito del mercato del lavoro, </w:t>
      </w:r>
      <w:r w:rsidRPr="00D936E9">
        <w:rPr>
          <w:rFonts w:ascii="Garamond" w:hAnsi="Garamond"/>
        </w:rPr>
        <w:t xml:space="preserve">e </w:t>
      </w:r>
      <w:r w:rsidR="003769A2" w:rsidRPr="00D936E9">
        <w:rPr>
          <w:rFonts w:ascii="Garamond" w:hAnsi="Garamond"/>
        </w:rPr>
        <w:t xml:space="preserve">che merita approfondimento, studio, analisi, </w:t>
      </w:r>
      <w:r w:rsidR="00AE2646" w:rsidRPr="00D936E9">
        <w:rPr>
          <w:rFonts w:ascii="Garamond" w:hAnsi="Garamond"/>
        </w:rPr>
        <w:t>riflessione</w:t>
      </w:r>
      <w:r w:rsidR="003769A2" w:rsidRPr="00D936E9">
        <w:rPr>
          <w:rFonts w:ascii="Garamond" w:hAnsi="Garamond"/>
        </w:rPr>
        <w:t xml:space="preserve">, apparentemente in antitesi rispetto alla velocità con cui gli strumenti tecnologici si innestato nella vita </w:t>
      </w:r>
      <w:r w:rsidR="00AE2646" w:rsidRPr="00D936E9">
        <w:rPr>
          <w:rFonts w:ascii="Garamond" w:hAnsi="Garamond"/>
        </w:rPr>
        <w:t xml:space="preserve">quotidiana </w:t>
      </w:r>
      <w:r w:rsidR="003769A2" w:rsidRPr="00D936E9">
        <w:rPr>
          <w:rFonts w:ascii="Garamond" w:hAnsi="Garamond"/>
        </w:rPr>
        <w:t>e, quindi, nel lavoro delle persone. In realtà, il diritto del lavoro ha sempre subìto (</w:t>
      </w:r>
      <w:proofErr w:type="spellStart"/>
      <w:r w:rsidR="003769A2" w:rsidRPr="00D936E9">
        <w:rPr>
          <w:rFonts w:ascii="Garamond" w:hAnsi="Garamond"/>
          <w:i/>
          <w:iCs/>
        </w:rPr>
        <w:t>rectius</w:t>
      </w:r>
      <w:proofErr w:type="spellEnd"/>
      <w:r w:rsidR="003769A2" w:rsidRPr="00D936E9">
        <w:rPr>
          <w:rFonts w:ascii="Garamond" w:hAnsi="Garamond"/>
        </w:rPr>
        <w:t>, è stato influenzato dai) profondi cambiamenti generati dalle continue invenzioni tecnologiche: basti pensare alle rivoluzioni industriali, che hanno imposto agli studiosi riflessioni approfondite sull’adattamento delle modalità di svolgimento della prestazione lavorativa prima, e delle regole giuridiche poi, ai nuovi strumenti di lavoro.</w:t>
      </w:r>
    </w:p>
    <w:p w14:paraId="0BF5DE0C" w14:textId="77777777" w:rsidR="00520795" w:rsidRPr="00D936E9" w:rsidRDefault="00520795" w:rsidP="00520795">
      <w:pPr>
        <w:pStyle w:val="NormaleWeb"/>
        <w:spacing w:before="0" w:beforeAutospacing="0" w:after="0" w:afterAutospacing="0" w:line="360" w:lineRule="auto"/>
        <w:jc w:val="both"/>
        <w:rPr>
          <w:rFonts w:ascii="Garamond" w:hAnsi="Garamond" w:cs="Arial"/>
        </w:rPr>
      </w:pPr>
      <w:r w:rsidRPr="00D936E9">
        <w:rPr>
          <w:rFonts w:ascii="Garamond" w:hAnsi="Garamond" w:cs="Arial"/>
        </w:rPr>
        <w:t>Tali fenomeni non si limitano al mero ambito giuridico, ma partecipano di ogni ambito umano, compreso quello socio-economico, con particolare riguardo ai concetti di tempo e spazio (non solo di lavoro): sul punto si distinguono visioni di chi insiste sulla rilettura del concetto di tempo di lavoro nell’epoca delle moderne forme di lavoro per obiettivi, con riflessi sul tema del lavoro agile e al lavoro su piattaforma digitale; e chi, invece, ribadisce una nuova centralità del tempo di lavoro, come limite esterno all’attività di lavoro</w:t>
      </w:r>
      <w:r w:rsidRPr="00D936E9">
        <w:rPr>
          <w:rStyle w:val="Rimandonotaapidipagina"/>
          <w:rFonts w:ascii="Garamond" w:hAnsi="Garamond"/>
        </w:rPr>
        <w:footnoteReference w:id="36"/>
      </w:r>
      <w:r w:rsidRPr="00D936E9">
        <w:rPr>
          <w:rFonts w:ascii="Garamond" w:hAnsi="Garamond" w:cs="Arial"/>
        </w:rPr>
        <w:t>. Qui basta analizzare alcune piattaforme digitali di lavoro per accorgersi della molteplicità di modalità di svolgimento della prestazione lavorativa, con varie tipologie contrattuali, nello stesso tempo, e per datori di lavoro/committenti differenti</w:t>
      </w:r>
      <w:r w:rsidRPr="00D936E9">
        <w:rPr>
          <w:rStyle w:val="Rimandonotaapidipagina"/>
          <w:rFonts w:ascii="Garamond" w:hAnsi="Garamond"/>
        </w:rPr>
        <w:footnoteReference w:id="37"/>
      </w:r>
      <w:r w:rsidRPr="00D936E9">
        <w:rPr>
          <w:rFonts w:ascii="Garamond" w:hAnsi="Garamond" w:cs="Arial"/>
        </w:rPr>
        <w:t>.</w:t>
      </w:r>
    </w:p>
    <w:p w14:paraId="4025B120" w14:textId="2829C35C" w:rsidR="003769A2" w:rsidRPr="00D936E9" w:rsidRDefault="00F43B40" w:rsidP="003769A2">
      <w:pPr>
        <w:pStyle w:val="NormaleWeb"/>
        <w:spacing w:before="0" w:beforeAutospacing="0" w:after="0" w:afterAutospacing="0" w:line="360" w:lineRule="auto"/>
        <w:jc w:val="both"/>
        <w:rPr>
          <w:rFonts w:ascii="Garamond" w:hAnsi="Garamond" w:cs="Arial"/>
        </w:rPr>
      </w:pPr>
      <w:r w:rsidRPr="00D936E9">
        <w:rPr>
          <w:rFonts w:ascii="Garamond" w:hAnsi="Garamond" w:cs="Arial"/>
        </w:rPr>
        <w:t xml:space="preserve">Si è già detto all’inizio della fluidità dei rapporti di lavoro nell’epoca della digitalizzazione, caratterizzata da </w:t>
      </w:r>
      <w:r w:rsidR="003769A2" w:rsidRPr="00D936E9">
        <w:rPr>
          <w:rFonts w:ascii="Garamond" w:hAnsi="Garamond" w:cs="Arial"/>
        </w:rPr>
        <w:t xml:space="preserve">una visione del mondo del lavoro e delle sue forme molto sfocata, a cui si contrappone, invece, un sistema giuridico ancora cristallizzato – in quanto evidentemente slegato dalla realtà, a dispetto ciò che si è detto nel primo </w:t>
      </w:r>
      <w:r w:rsidR="002E49F3" w:rsidRPr="00D936E9">
        <w:rPr>
          <w:rFonts w:ascii="Garamond" w:hAnsi="Garamond" w:cs="Arial"/>
        </w:rPr>
        <w:t>paragrafo</w:t>
      </w:r>
      <w:r w:rsidR="003769A2" w:rsidRPr="00D936E9">
        <w:rPr>
          <w:rFonts w:ascii="Garamond" w:hAnsi="Garamond" w:cs="Arial"/>
        </w:rPr>
        <w:t xml:space="preserve"> sulla necessità di adattamento del diritto all’evoluzione del lavoro – nella distinzione storica tra lavoro subordinato e lavoro autonomo. Si tratta di una dicotomia che non rispecchia le modalità di svolgimento delle prestazioni di lavoro, sempre più indistinte e sempre connotate dall’elemento personale che porta a riflettere sull’unitarietà del lavoro, e sull’inadeguatezza delle tutele giuridiche, tutte sbilanciate a favore del lavoro ex art. 2094 c.c.</w:t>
      </w:r>
    </w:p>
    <w:p w14:paraId="0108DF36" w14:textId="21B8BD38" w:rsidR="003769A2" w:rsidRPr="00D936E9" w:rsidRDefault="003769A2" w:rsidP="003769A2">
      <w:pPr>
        <w:pStyle w:val="NormaleWeb"/>
        <w:spacing w:before="0" w:beforeAutospacing="0" w:after="0" w:afterAutospacing="0" w:line="360" w:lineRule="auto"/>
        <w:jc w:val="both"/>
        <w:rPr>
          <w:rFonts w:ascii="Garamond" w:hAnsi="Garamond" w:cs="Arial"/>
        </w:rPr>
      </w:pPr>
      <w:r w:rsidRPr="00D936E9">
        <w:rPr>
          <w:rFonts w:ascii="Garamond" w:hAnsi="Garamond" w:cs="Arial"/>
        </w:rPr>
        <w:t xml:space="preserve">Si segue, a tal proposito, con interesse lo studio di </w:t>
      </w:r>
      <w:r w:rsidR="004A5D95" w:rsidRPr="00D936E9">
        <w:rPr>
          <w:rFonts w:ascii="Garamond" w:hAnsi="Garamond" w:cs="Arial"/>
        </w:rPr>
        <w:t>Perulli e Treu</w:t>
      </w:r>
      <w:r w:rsidRPr="00D936E9">
        <w:rPr>
          <w:rFonts w:ascii="Garamond" w:hAnsi="Garamond" w:cs="Arial"/>
        </w:rPr>
        <w:t xml:space="preserve">, che auspicano l’approvazione di un </w:t>
      </w:r>
      <w:r w:rsidRPr="00D936E9">
        <w:rPr>
          <w:rFonts w:ascii="Garamond" w:hAnsi="Garamond"/>
        </w:rPr>
        <w:t>«</w:t>
      </w:r>
      <w:r w:rsidRPr="00D936E9">
        <w:rPr>
          <w:rFonts w:ascii="Garamond" w:hAnsi="Garamond" w:cs="Arial"/>
          <w:i/>
          <w:iCs/>
        </w:rPr>
        <w:t>Nuovo Statuto del lavoro</w:t>
      </w:r>
      <w:r w:rsidRPr="00D936E9">
        <w:rPr>
          <w:rFonts w:ascii="Garamond" w:hAnsi="Garamond"/>
        </w:rPr>
        <w:t>»</w:t>
      </w:r>
      <w:r w:rsidRPr="00D936E9">
        <w:rPr>
          <w:rFonts w:ascii="Garamond" w:hAnsi="Garamond" w:cs="Arial"/>
        </w:rPr>
        <w:t xml:space="preserve"> da intendersi – in ossequio al dettato costituzionale dell’art. 35 Cost. – </w:t>
      </w:r>
      <w:r w:rsidRPr="00D936E9">
        <w:rPr>
          <w:rFonts w:ascii="Garamond" w:hAnsi="Garamond"/>
        </w:rPr>
        <w:t>«</w:t>
      </w:r>
      <w:r w:rsidRPr="00D936E9">
        <w:rPr>
          <w:rFonts w:ascii="Garamond" w:hAnsi="Garamond" w:cs="Arial"/>
          <w:i/>
          <w:iCs/>
        </w:rPr>
        <w:t>in tutte le sue forme e applicazioni</w:t>
      </w:r>
      <w:r w:rsidRPr="00D936E9">
        <w:rPr>
          <w:rFonts w:ascii="Garamond" w:hAnsi="Garamond"/>
        </w:rPr>
        <w:t>»</w:t>
      </w:r>
      <w:r w:rsidRPr="00D936E9">
        <w:rPr>
          <w:rFonts w:ascii="Garamond" w:hAnsi="Garamond" w:cs="Arial"/>
        </w:rPr>
        <w:t xml:space="preserve">: in questo senso gli autori, prediligendo un approccio improntato all’universalismo di tutele, piuttosto che al pluralismo, in quanto ancorato alle dinamiche dei rapporti di lavoro, </w:t>
      </w:r>
      <w:r w:rsidRPr="00D936E9">
        <w:rPr>
          <w:rFonts w:ascii="Garamond" w:hAnsi="Garamond" w:cs="Arial"/>
        </w:rPr>
        <w:lastRenderedPageBreak/>
        <w:t xml:space="preserve">propongono di cambiare prospettiva di studio sulla base di un ragionamento logico molto interessante, superando la logica civilistica tradizionale basata sul binomio </w:t>
      </w:r>
      <w:r w:rsidRPr="00D936E9">
        <w:rPr>
          <w:rFonts w:ascii="Garamond" w:hAnsi="Garamond" w:cs="Arial"/>
          <w:i/>
          <w:iCs/>
        </w:rPr>
        <w:t>fattispecie-effetti</w:t>
      </w:r>
      <w:r w:rsidRPr="00D936E9">
        <w:rPr>
          <w:rFonts w:ascii="Garamond" w:hAnsi="Garamond" w:cs="Arial"/>
        </w:rPr>
        <w:t xml:space="preserve"> e costruendo, induttivamente, un insieme di protezioni contrattuali e sociali legate ai bisogni espressi </w:t>
      </w:r>
      <w:r w:rsidRPr="00D936E9">
        <w:rPr>
          <w:rFonts w:ascii="Garamond" w:hAnsi="Garamond"/>
        </w:rPr>
        <w:t>«</w:t>
      </w:r>
      <w:r w:rsidRPr="00D936E9">
        <w:rPr>
          <w:rFonts w:ascii="Garamond" w:hAnsi="Garamond" w:cs="Arial"/>
          <w:i/>
          <w:iCs/>
        </w:rPr>
        <w:t>da chi svolge un lavoro personale a favore di altri</w:t>
      </w:r>
      <w:r w:rsidRPr="00D936E9">
        <w:rPr>
          <w:rFonts w:ascii="Garamond" w:hAnsi="Garamond"/>
        </w:rPr>
        <w:t>»</w:t>
      </w:r>
      <w:r w:rsidRPr="00D936E9">
        <w:rPr>
          <w:rFonts w:ascii="Garamond" w:hAnsi="Garamond" w:cs="Arial"/>
        </w:rPr>
        <w:t>, così valorizzando appieno valori e principi costituzionali</w:t>
      </w:r>
      <w:r w:rsidRPr="00D936E9">
        <w:rPr>
          <w:rStyle w:val="Rimandonotaapidipagina"/>
          <w:rFonts w:ascii="Garamond" w:hAnsi="Garamond"/>
        </w:rPr>
        <w:footnoteReference w:id="38"/>
      </w:r>
      <w:r w:rsidRPr="00D936E9">
        <w:rPr>
          <w:rFonts w:ascii="Garamond" w:hAnsi="Garamond" w:cs="Arial"/>
        </w:rPr>
        <w:t xml:space="preserve">. </w:t>
      </w:r>
    </w:p>
    <w:p w14:paraId="7FC221EF" w14:textId="77777777" w:rsidR="00890C73" w:rsidRPr="00D936E9" w:rsidRDefault="003769A2" w:rsidP="003769A2">
      <w:pPr>
        <w:pStyle w:val="NormaleWeb"/>
        <w:spacing w:before="0" w:beforeAutospacing="0" w:after="0" w:afterAutospacing="0" w:line="360" w:lineRule="auto"/>
        <w:jc w:val="both"/>
        <w:rPr>
          <w:rFonts w:ascii="Garamond" w:hAnsi="Garamond" w:cs="Arial"/>
        </w:rPr>
      </w:pPr>
      <w:r w:rsidRPr="00D936E9">
        <w:rPr>
          <w:rFonts w:ascii="Garamond" w:hAnsi="Garamond" w:cs="Arial"/>
        </w:rPr>
        <w:t>Se nel recente passato si ragionava solo in termini di fuga (o, meglio, di anelito di fuga) verso il lavoro subordinato</w:t>
      </w:r>
      <w:r w:rsidR="002C3ED0" w:rsidRPr="00D936E9">
        <w:rPr>
          <w:rStyle w:val="Rimandonotaapidipagina"/>
          <w:rFonts w:ascii="Garamond" w:hAnsi="Garamond" w:cs="Arial"/>
        </w:rPr>
        <w:footnoteReference w:id="39"/>
      </w:r>
      <w:r w:rsidRPr="00D936E9">
        <w:rPr>
          <w:rFonts w:ascii="Garamond" w:hAnsi="Garamond" w:cs="Arial"/>
        </w:rPr>
        <w:t xml:space="preserve">; oggi, invece, le novità in materia di lavoro, la diffusione di meccanismi premiali legati alla retribuzione, la fase pandemica da Covid-19, nonché l’attuazione (seppur </w:t>
      </w:r>
      <w:r w:rsidRPr="00D936E9">
        <w:rPr>
          <w:rFonts w:ascii="Garamond" w:hAnsi="Garamond" w:cs="Arial"/>
          <w:i/>
          <w:iCs/>
        </w:rPr>
        <w:t>obtorto collo</w:t>
      </w:r>
      <w:r w:rsidRPr="00D936E9">
        <w:rPr>
          <w:rFonts w:ascii="Garamond" w:hAnsi="Garamond" w:cs="Arial"/>
        </w:rPr>
        <w:t>) della normativa sul lavoro agile</w:t>
      </w:r>
      <w:r w:rsidRPr="00D936E9">
        <w:rPr>
          <w:rStyle w:val="Rimandonotaapidipagina"/>
          <w:rFonts w:ascii="Garamond" w:hAnsi="Garamond"/>
        </w:rPr>
        <w:footnoteReference w:id="40"/>
      </w:r>
      <w:r w:rsidRPr="00D936E9">
        <w:rPr>
          <w:rFonts w:ascii="Garamond" w:hAnsi="Garamond" w:cs="Arial"/>
        </w:rPr>
        <w:t>, sembrano ribaltare il ragionamento, quasi con una fuga in senso opposto verso il lavoro autonomo.</w:t>
      </w:r>
      <w:r w:rsidR="00890C73" w:rsidRPr="00D936E9">
        <w:rPr>
          <w:rFonts w:ascii="Garamond" w:hAnsi="Garamond" w:cs="Arial"/>
        </w:rPr>
        <w:t xml:space="preserve"> </w:t>
      </w:r>
    </w:p>
    <w:p w14:paraId="4C67DD9A" w14:textId="747EEDE2" w:rsidR="003769A2" w:rsidRPr="00D936E9" w:rsidRDefault="00890C73" w:rsidP="003769A2">
      <w:pPr>
        <w:pStyle w:val="NormaleWeb"/>
        <w:spacing w:before="0" w:beforeAutospacing="0" w:after="0" w:afterAutospacing="0" w:line="360" w:lineRule="auto"/>
        <w:jc w:val="both"/>
        <w:rPr>
          <w:rFonts w:ascii="Garamond" w:hAnsi="Garamond" w:cs="Arial"/>
        </w:rPr>
      </w:pPr>
      <w:r w:rsidRPr="00D936E9">
        <w:rPr>
          <w:rFonts w:ascii="Garamond" w:hAnsi="Garamond" w:cs="Arial"/>
        </w:rPr>
        <w:t xml:space="preserve">Serve interrogarsi </w:t>
      </w:r>
      <w:r w:rsidRPr="00D936E9">
        <w:rPr>
          <w:rFonts w:ascii="Garamond" w:hAnsi="Garamond" w:cs="Arial"/>
        </w:rPr>
        <w:t xml:space="preserve">sulla effettiva idoneità della fattispecie della subordinazione e dei suoi tradizionali indici denotativi a rispondere ai mutamenti del lavoro nel contesto </w:t>
      </w:r>
      <w:r w:rsidRPr="00D936E9">
        <w:rPr>
          <w:rFonts w:ascii="Garamond" w:hAnsi="Garamond" w:cs="Arial"/>
        </w:rPr>
        <w:t xml:space="preserve">del lavoro tramite piattaforma digitale: questo </w:t>
      </w:r>
      <w:r w:rsidRPr="00D936E9">
        <w:rPr>
          <w:rFonts w:ascii="Garamond" w:hAnsi="Garamond"/>
        </w:rPr>
        <w:t>«</w:t>
      </w:r>
      <w:r w:rsidRPr="00D936E9">
        <w:rPr>
          <w:rFonts w:ascii="Garamond" w:hAnsi="Garamond" w:cs="Arial"/>
          <w:i/>
          <w:iCs/>
        </w:rPr>
        <w:t xml:space="preserve">nulla toglie all’opportunità di una riflessione che, in attesa che venga sciolto il dilemma qualificatorio, si concentri sui rimedi piuttosto che sulla fattispecie, individuando un nucleo di diritti fondamentali, di carattere trasversale, dei prestatori di lavoro esclusivamente personale che operano nel contesto della </w:t>
      </w:r>
      <w:proofErr w:type="spellStart"/>
      <w:r w:rsidRPr="00D936E9">
        <w:rPr>
          <w:rFonts w:ascii="Garamond" w:hAnsi="Garamond" w:cs="Arial"/>
        </w:rPr>
        <w:t>Gig</w:t>
      </w:r>
      <w:proofErr w:type="spellEnd"/>
      <w:r w:rsidRPr="00D936E9">
        <w:rPr>
          <w:rFonts w:ascii="Garamond" w:hAnsi="Garamond" w:cs="Arial"/>
        </w:rPr>
        <w:t xml:space="preserve"> economy</w:t>
      </w:r>
      <w:r w:rsidRPr="00D936E9">
        <w:rPr>
          <w:rStyle w:val="Rimandonotaapidipagina"/>
          <w:rFonts w:ascii="Garamond" w:hAnsi="Garamond" w:cs="Arial"/>
        </w:rPr>
        <w:footnoteReference w:id="41"/>
      </w:r>
      <w:r w:rsidRPr="00D936E9">
        <w:rPr>
          <w:rFonts w:ascii="Garamond" w:hAnsi="Garamond"/>
        </w:rPr>
        <w:t>»</w:t>
      </w:r>
      <w:r w:rsidRPr="00D936E9">
        <w:rPr>
          <w:rFonts w:ascii="Garamond" w:hAnsi="Garamond"/>
        </w:rPr>
        <w:t>.</w:t>
      </w:r>
    </w:p>
    <w:p w14:paraId="47AD459F" w14:textId="3D74BCB0" w:rsidR="003769A2" w:rsidRPr="00D936E9" w:rsidRDefault="003769A2" w:rsidP="003769A2">
      <w:pPr>
        <w:pStyle w:val="NormaleWeb"/>
        <w:spacing w:before="0" w:beforeAutospacing="0" w:after="0" w:afterAutospacing="0" w:line="360" w:lineRule="auto"/>
        <w:jc w:val="both"/>
        <w:rPr>
          <w:rFonts w:ascii="Garamond" w:hAnsi="Garamond" w:cs="Arial"/>
        </w:rPr>
      </w:pPr>
      <w:r w:rsidRPr="00D936E9">
        <w:rPr>
          <w:rFonts w:ascii="Garamond" w:hAnsi="Garamond" w:cs="Arial"/>
        </w:rPr>
        <w:t xml:space="preserve">L’influenza dello </w:t>
      </w:r>
      <w:r w:rsidRPr="00D936E9">
        <w:rPr>
          <w:rFonts w:ascii="Garamond" w:hAnsi="Garamond" w:cs="Arial"/>
          <w:i/>
          <w:iCs/>
        </w:rPr>
        <w:t xml:space="preserve">smart working </w:t>
      </w:r>
      <w:r w:rsidRPr="00D936E9">
        <w:rPr>
          <w:rFonts w:ascii="Garamond" w:hAnsi="Garamond" w:cs="Arial"/>
        </w:rPr>
        <w:t xml:space="preserve">su queste tematiche è evidente, poiché presuppone una nuova dimensione organizzativa della prestazione del lavoratore nell’ambito del contratto di lavoro che rimane </w:t>
      </w:r>
      <w:r w:rsidR="002C3ED0" w:rsidRPr="00D936E9">
        <w:rPr>
          <w:rFonts w:ascii="Garamond" w:hAnsi="Garamond" w:cs="Arial"/>
        </w:rPr>
        <w:t xml:space="preserve">pur sempre </w:t>
      </w:r>
      <w:r w:rsidRPr="00D936E9">
        <w:rPr>
          <w:rFonts w:ascii="Garamond" w:hAnsi="Garamond" w:cs="Arial"/>
        </w:rPr>
        <w:t>di tipo subordinato, ribaltando i concetti classici di tempo e spazio di lavoro, rendendo in questo modo più complesso il ricorso ai tradizionali criteri di distinzione tra lavoro autonomo e lavoro subordinato</w:t>
      </w:r>
      <w:r w:rsidRPr="00D936E9">
        <w:rPr>
          <w:rStyle w:val="Rimandonotaapidipagina"/>
          <w:rFonts w:ascii="Garamond" w:hAnsi="Garamond"/>
        </w:rPr>
        <w:footnoteReference w:id="42"/>
      </w:r>
      <w:r w:rsidRPr="00D936E9">
        <w:rPr>
          <w:rFonts w:ascii="Garamond" w:hAnsi="Garamond" w:cs="Arial"/>
        </w:rPr>
        <w:t xml:space="preserve">. </w:t>
      </w:r>
    </w:p>
    <w:p w14:paraId="5D54C08C" w14:textId="3331718B" w:rsidR="003769A2" w:rsidRPr="00D936E9" w:rsidRDefault="003769A2" w:rsidP="003769A2">
      <w:pPr>
        <w:pStyle w:val="NormaleWeb"/>
        <w:spacing w:before="0" w:beforeAutospacing="0" w:after="0" w:afterAutospacing="0" w:line="360" w:lineRule="auto"/>
        <w:jc w:val="both"/>
        <w:rPr>
          <w:rFonts w:ascii="Garamond" w:hAnsi="Garamond" w:cs="Arial"/>
        </w:rPr>
      </w:pPr>
      <w:r w:rsidRPr="00D936E9">
        <w:rPr>
          <w:rFonts w:ascii="Garamond" w:hAnsi="Garamond" w:cs="Arial"/>
        </w:rPr>
        <w:lastRenderedPageBreak/>
        <w:t>Basta analizzare alcuni dei più interessanti contratti collettivi aziendali di lavoro</w:t>
      </w:r>
      <w:r w:rsidR="000F2731" w:rsidRPr="00D936E9">
        <w:rPr>
          <w:rStyle w:val="Rimandonotaapidipagina"/>
          <w:rFonts w:ascii="Garamond" w:hAnsi="Garamond" w:cs="Arial"/>
        </w:rPr>
        <w:footnoteReference w:id="43"/>
      </w:r>
      <w:r w:rsidRPr="00D936E9">
        <w:rPr>
          <w:rFonts w:ascii="Garamond" w:hAnsi="Garamond" w:cs="Arial"/>
        </w:rPr>
        <w:t xml:space="preserve"> (qui di seguito anche </w:t>
      </w:r>
      <w:r w:rsidRPr="00D936E9">
        <w:rPr>
          <w:rFonts w:ascii="Garamond" w:hAnsi="Garamond"/>
        </w:rPr>
        <w:t>«</w:t>
      </w:r>
      <w:r w:rsidRPr="00D936E9">
        <w:rPr>
          <w:rFonts w:ascii="Garamond" w:hAnsi="Garamond" w:cs="Arial"/>
          <w:i/>
          <w:iCs/>
        </w:rPr>
        <w:t>CCAL</w:t>
      </w:r>
      <w:r w:rsidRPr="00D936E9">
        <w:rPr>
          <w:rFonts w:ascii="Garamond" w:hAnsi="Garamond"/>
        </w:rPr>
        <w:t>»</w:t>
      </w:r>
      <w:r w:rsidRPr="00D936E9">
        <w:rPr>
          <w:rFonts w:ascii="Garamond" w:hAnsi="Garamond" w:cs="Arial"/>
        </w:rPr>
        <w:t xml:space="preserve">) per comprendere gli sforzi che imprese e parti sociali hanno compiuto per valorizzare </w:t>
      </w:r>
      <w:r w:rsidR="000F2731" w:rsidRPr="00D936E9">
        <w:rPr>
          <w:rFonts w:ascii="Garamond" w:hAnsi="Garamond" w:cs="Arial"/>
        </w:rPr>
        <w:t xml:space="preserve">lo sviluppo di competenze dei lavoratori, i temi del </w:t>
      </w:r>
      <w:r w:rsidR="000F2731" w:rsidRPr="00D936E9">
        <w:rPr>
          <w:rFonts w:ascii="Garamond" w:hAnsi="Garamond" w:cs="Arial"/>
          <w:i/>
          <w:iCs/>
        </w:rPr>
        <w:t xml:space="preserve">talent </w:t>
      </w:r>
      <w:proofErr w:type="spellStart"/>
      <w:r w:rsidR="000F2731" w:rsidRPr="00D936E9">
        <w:rPr>
          <w:rFonts w:ascii="Garamond" w:hAnsi="Garamond" w:cs="Arial"/>
          <w:i/>
          <w:iCs/>
        </w:rPr>
        <w:t>retention</w:t>
      </w:r>
      <w:proofErr w:type="spellEnd"/>
      <w:r w:rsidR="000F2731" w:rsidRPr="00D936E9">
        <w:rPr>
          <w:rFonts w:ascii="Garamond" w:hAnsi="Garamond" w:cs="Arial"/>
          <w:i/>
          <w:iCs/>
        </w:rPr>
        <w:t xml:space="preserve"> </w:t>
      </w:r>
      <w:r w:rsidR="000F2731" w:rsidRPr="00D936E9">
        <w:rPr>
          <w:rFonts w:ascii="Garamond" w:hAnsi="Garamond" w:cs="Arial"/>
        </w:rPr>
        <w:t>e dell’</w:t>
      </w:r>
      <w:proofErr w:type="spellStart"/>
      <w:r w:rsidR="000F2731" w:rsidRPr="00D936E9">
        <w:rPr>
          <w:rFonts w:ascii="Garamond" w:hAnsi="Garamond" w:cs="Arial"/>
          <w:i/>
          <w:iCs/>
        </w:rPr>
        <w:t>attractiveness</w:t>
      </w:r>
      <w:proofErr w:type="spellEnd"/>
      <w:r w:rsidR="000F2731" w:rsidRPr="00D936E9">
        <w:rPr>
          <w:rFonts w:ascii="Garamond" w:hAnsi="Garamond" w:cs="Arial"/>
        </w:rPr>
        <w:t>.</w:t>
      </w:r>
    </w:p>
    <w:p w14:paraId="5F142B1D" w14:textId="2BCA5649" w:rsidR="00D06905" w:rsidRPr="00D936E9" w:rsidRDefault="003769A2" w:rsidP="003769A2">
      <w:pPr>
        <w:pStyle w:val="NormaleWeb"/>
        <w:spacing w:before="0" w:beforeAutospacing="0" w:after="0" w:afterAutospacing="0" w:line="360" w:lineRule="auto"/>
        <w:jc w:val="both"/>
        <w:rPr>
          <w:rFonts w:ascii="Garamond" w:hAnsi="Garamond" w:cs="Arial"/>
        </w:rPr>
      </w:pPr>
      <w:r w:rsidRPr="00D936E9">
        <w:rPr>
          <w:rFonts w:ascii="Garamond" w:hAnsi="Garamond" w:cs="Arial"/>
        </w:rPr>
        <w:t xml:space="preserve">Strettamente connesso, poi, alla modalità agile di svolgimento della prestazione di lavoro è il tema della retribuzione incentivante </w:t>
      </w:r>
      <w:r w:rsidR="0037484E" w:rsidRPr="00D936E9">
        <w:rPr>
          <w:rFonts w:ascii="Garamond" w:hAnsi="Garamond" w:cs="Arial"/>
        </w:rPr>
        <w:t>connesso all’e</w:t>
      </w:r>
      <w:r w:rsidR="0017322B" w:rsidRPr="00D936E9">
        <w:rPr>
          <w:rFonts w:ascii="Garamond" w:hAnsi="Garamond" w:cs="Arial"/>
        </w:rPr>
        <w:t xml:space="preserve">voluzione del </w:t>
      </w:r>
      <w:r w:rsidR="0017322B" w:rsidRPr="00D936E9">
        <w:rPr>
          <w:rFonts w:ascii="Garamond" w:hAnsi="Garamond" w:cs="Arial"/>
          <w:i/>
          <w:iCs/>
        </w:rPr>
        <w:t xml:space="preserve">welfare </w:t>
      </w:r>
      <w:r w:rsidR="0017322B" w:rsidRPr="00D936E9">
        <w:rPr>
          <w:rFonts w:ascii="Garamond" w:hAnsi="Garamond" w:cs="Arial"/>
        </w:rPr>
        <w:t>aziendale</w:t>
      </w:r>
      <w:r w:rsidRPr="00D936E9">
        <w:rPr>
          <w:rFonts w:ascii="Garamond" w:hAnsi="Garamond" w:cs="Arial"/>
        </w:rPr>
        <w:t xml:space="preserve">, nell’ottica aziendale di auto-imporre un </w:t>
      </w:r>
      <w:r w:rsidRPr="00D936E9">
        <w:rPr>
          <w:rFonts w:ascii="Garamond" w:hAnsi="Garamond"/>
        </w:rPr>
        <w:t>«</w:t>
      </w:r>
      <w:r w:rsidRPr="00D936E9">
        <w:rPr>
          <w:rFonts w:ascii="Garamond" w:hAnsi="Garamond" w:cs="Arial"/>
          <w:i/>
          <w:iCs/>
        </w:rPr>
        <w:t>approccio costruttivo e dinamico dei lavoratori volto al miglioramento dei risultati aziendali</w:t>
      </w:r>
      <w:r w:rsidR="0017322B" w:rsidRPr="00D936E9">
        <w:rPr>
          <w:rFonts w:ascii="Garamond" w:hAnsi="Garamond" w:cs="Arial"/>
          <w:i/>
          <w:iCs/>
        </w:rPr>
        <w:t>, valorizzando la correlazione tra risultati ottenuti e compensi corrisposti, e, dall’altra, una cultura focalizzata su una migliore conoscenza di prodotti, processi e organizzazione funzionali anche allo sviluppo e alla formazione dei lavoratori</w:t>
      </w:r>
      <w:r w:rsidR="00971486" w:rsidRPr="00D936E9">
        <w:rPr>
          <w:rStyle w:val="Rimandonotaapidipagina"/>
          <w:rFonts w:ascii="Garamond" w:hAnsi="Garamond" w:cs="Arial"/>
        </w:rPr>
        <w:footnoteReference w:id="44"/>
      </w:r>
      <w:r w:rsidRPr="00D936E9">
        <w:rPr>
          <w:rFonts w:ascii="Garamond" w:hAnsi="Garamond"/>
        </w:rPr>
        <w:t xml:space="preserve">»: ciò anche alla luce della prestazione </w:t>
      </w:r>
      <w:r w:rsidRPr="00D936E9">
        <w:rPr>
          <w:rFonts w:ascii="Garamond" w:hAnsi="Garamond" w:cs="Arial"/>
        </w:rPr>
        <w:t>di lavoro agile, che il legislatore vuole organizzata «</w:t>
      </w:r>
      <w:r w:rsidRPr="00D936E9">
        <w:rPr>
          <w:rFonts w:ascii="Garamond" w:hAnsi="Garamond" w:cs="Arial"/>
          <w:i/>
          <w:iCs/>
        </w:rPr>
        <w:t>per fasi, cicli, obiettivi e senza precisi vincoli di orario o di luogo di lavoro</w:t>
      </w:r>
      <w:r w:rsidRPr="00D936E9">
        <w:rPr>
          <w:rFonts w:ascii="Garamond" w:hAnsi="Garamond" w:cs="Arial"/>
        </w:rPr>
        <w:t>»</w:t>
      </w:r>
      <w:r w:rsidRPr="00D936E9">
        <w:rPr>
          <w:rStyle w:val="Rimandonotaapidipagina"/>
          <w:rFonts w:ascii="Garamond" w:hAnsi="Garamond"/>
        </w:rPr>
        <w:footnoteReference w:id="45"/>
      </w:r>
      <w:r w:rsidRPr="00D936E9">
        <w:rPr>
          <w:rFonts w:ascii="Garamond" w:hAnsi="Garamond" w:cs="Arial"/>
        </w:rPr>
        <w:t>, e che, pertanto, deve valorizzare l’autonomia individuale</w:t>
      </w:r>
      <w:r w:rsidRPr="00D936E9">
        <w:rPr>
          <w:rStyle w:val="Rimandonotaapidipagina"/>
          <w:rFonts w:ascii="Garamond" w:hAnsi="Garamond"/>
        </w:rPr>
        <w:footnoteReference w:id="46"/>
      </w:r>
      <w:r w:rsidRPr="00D936E9">
        <w:rPr>
          <w:rFonts w:ascii="Garamond" w:hAnsi="Garamond" w:cs="Arial"/>
        </w:rPr>
        <w:t xml:space="preserve"> e del risultato</w:t>
      </w:r>
      <w:r w:rsidRPr="00D936E9">
        <w:rPr>
          <w:rStyle w:val="Rimandonotaapidipagina"/>
          <w:rFonts w:ascii="Garamond" w:hAnsi="Garamond"/>
        </w:rPr>
        <w:footnoteReference w:id="47"/>
      </w:r>
      <w:r w:rsidRPr="00D936E9">
        <w:rPr>
          <w:rFonts w:ascii="Garamond" w:hAnsi="Garamond" w:cs="Arial"/>
        </w:rPr>
        <w:t>. In altri termini, lavoro agile e tecniche di retribuzione incentivante e partecipative comportano una progressiva flessibilizzazione della prestazione di lavoro e dell’obbligazione retributiva</w:t>
      </w:r>
      <w:r w:rsidR="0017322B" w:rsidRPr="00D936E9">
        <w:rPr>
          <w:rFonts w:ascii="Garamond" w:hAnsi="Garamond" w:cs="Arial"/>
        </w:rPr>
        <w:t>; in questa prospettiva, l’</w:t>
      </w:r>
      <w:proofErr w:type="spellStart"/>
      <w:r w:rsidR="0017322B" w:rsidRPr="00D936E9">
        <w:rPr>
          <w:rFonts w:ascii="Garamond" w:hAnsi="Garamond" w:cs="Arial"/>
        </w:rPr>
        <w:t>incrementalità</w:t>
      </w:r>
      <w:proofErr w:type="spellEnd"/>
      <w:r w:rsidR="0017322B" w:rsidRPr="00D936E9">
        <w:rPr>
          <w:rFonts w:ascii="Garamond" w:hAnsi="Garamond" w:cs="Arial"/>
        </w:rPr>
        <w:t xml:space="preserve"> diventa «welfare</w:t>
      </w:r>
      <w:r w:rsidR="0017322B" w:rsidRPr="00D936E9">
        <w:rPr>
          <w:rFonts w:ascii="Garamond" w:hAnsi="Garamond" w:cs="Arial"/>
          <w:i/>
          <w:iCs/>
        </w:rPr>
        <w:t xml:space="preserve"> aziendale</w:t>
      </w:r>
      <w:r w:rsidR="0017322B" w:rsidRPr="00D936E9">
        <w:rPr>
          <w:rStyle w:val="Rimandonotaapidipagina"/>
          <w:rFonts w:ascii="Garamond" w:hAnsi="Garamond" w:cs="Arial"/>
        </w:rPr>
        <w:footnoteReference w:id="48"/>
      </w:r>
      <w:r w:rsidR="0017322B" w:rsidRPr="00D936E9">
        <w:rPr>
          <w:rFonts w:ascii="Garamond" w:hAnsi="Garamond" w:cs="Arial"/>
        </w:rPr>
        <w:t xml:space="preserve">» </w:t>
      </w:r>
      <w:r w:rsidR="00D06905" w:rsidRPr="00D936E9">
        <w:rPr>
          <w:rFonts w:ascii="Garamond" w:hAnsi="Garamond" w:cs="Arial"/>
        </w:rPr>
        <w:t>e (nelle esperienze più evolute) si rafforza su queste tematiche a livello aziendale il coinvolgimento paritetico, per valutare e realizzare ciò che è funzionale al collegamento tra partecipazione organizzativa, premio e welfare, anche riferito alla migliore conciliazione vita-lavoro</w:t>
      </w:r>
      <w:r w:rsidR="00D06905" w:rsidRPr="00D936E9">
        <w:rPr>
          <w:rStyle w:val="Rimandonotaapidipagina"/>
          <w:rFonts w:ascii="Garamond" w:hAnsi="Garamond" w:cs="Arial"/>
        </w:rPr>
        <w:footnoteReference w:id="49"/>
      </w:r>
      <w:r w:rsidR="00D06905" w:rsidRPr="00D936E9">
        <w:rPr>
          <w:rFonts w:ascii="Garamond" w:hAnsi="Garamond" w:cs="Arial"/>
        </w:rPr>
        <w:t>.</w:t>
      </w:r>
    </w:p>
    <w:p w14:paraId="1822A6F3" w14:textId="77777777" w:rsidR="003769A2" w:rsidRPr="00D936E9" w:rsidRDefault="003769A2" w:rsidP="003769A2">
      <w:pPr>
        <w:pStyle w:val="NormaleWeb"/>
        <w:spacing w:before="0" w:beforeAutospacing="0" w:after="0" w:afterAutospacing="0" w:line="360" w:lineRule="auto"/>
        <w:jc w:val="both"/>
        <w:rPr>
          <w:rFonts w:ascii="Garamond" w:hAnsi="Garamond" w:cs="Arial"/>
        </w:rPr>
      </w:pPr>
      <w:r w:rsidRPr="00D936E9">
        <w:rPr>
          <w:rFonts w:ascii="Garamond" w:hAnsi="Garamond" w:cs="Arial"/>
        </w:rPr>
        <w:t>Da tali premesse dovrebbe discendere un mutamento della cultura organizzativa improntato su produttività e fiducia</w:t>
      </w:r>
      <w:r w:rsidRPr="00D936E9">
        <w:rPr>
          <w:rStyle w:val="Rimandonotaapidipagina"/>
          <w:rFonts w:ascii="Garamond" w:hAnsi="Garamond"/>
        </w:rPr>
        <w:footnoteReference w:id="50"/>
      </w:r>
      <w:r w:rsidRPr="00D936E9">
        <w:rPr>
          <w:rFonts w:ascii="Garamond" w:hAnsi="Garamond" w:cs="Arial"/>
        </w:rPr>
        <w:t xml:space="preserve">, in stretta connessione con l’influenza dell’innovazione tecnologica sui rapporti di lavoro. Premialità nell’ambito della retribuzione variabile e </w:t>
      </w:r>
      <w:r w:rsidRPr="00D936E9">
        <w:rPr>
          <w:rFonts w:ascii="Garamond" w:hAnsi="Garamond" w:cs="Arial"/>
          <w:i/>
          <w:iCs/>
        </w:rPr>
        <w:t>smart working</w:t>
      </w:r>
      <w:r w:rsidRPr="00D936E9">
        <w:rPr>
          <w:rFonts w:ascii="Garamond" w:hAnsi="Garamond" w:cs="Arial"/>
        </w:rPr>
        <w:t xml:space="preserve"> sono aspetti sempre più fondamentali nelle logiche aziendali: non c’è premialità e lavoro agile senza sistemi tecnologici avanzati; non c’è lavoro agile senza un’organizzazione agile del lavoro; ragionare a livello aziendale sui criteri per misurare la produttività di gruppo e individuale e modellare una nuova organizzazione aziendale in </w:t>
      </w:r>
      <w:r w:rsidRPr="00D936E9">
        <w:rPr>
          <w:rFonts w:ascii="Garamond" w:hAnsi="Garamond" w:cs="Arial"/>
        </w:rPr>
        <w:lastRenderedPageBreak/>
        <w:t xml:space="preserve">modalità agile significa incidere sui profili professionali dei lavoratori. La professionalità, in questo senso, oltre al connotato esclusivamente retributivo, acquista una dimensione più ampia volta a rafforzare la logica della </w:t>
      </w:r>
      <w:proofErr w:type="spellStart"/>
      <w:r w:rsidRPr="00D936E9">
        <w:rPr>
          <w:rFonts w:ascii="Garamond" w:hAnsi="Garamond" w:cs="Arial"/>
        </w:rPr>
        <w:t>ri</w:t>
      </w:r>
      <w:proofErr w:type="spellEnd"/>
      <w:r w:rsidRPr="00D936E9">
        <w:rPr>
          <w:rFonts w:ascii="Garamond" w:hAnsi="Garamond" w:cs="Arial"/>
        </w:rPr>
        <w:t>-collocazione nel mercato del lavoro</w:t>
      </w:r>
      <w:r w:rsidRPr="00D936E9">
        <w:rPr>
          <w:rStyle w:val="Rimandonotaapidipagina"/>
          <w:rFonts w:ascii="Garamond" w:hAnsi="Garamond"/>
        </w:rPr>
        <w:footnoteReference w:id="51"/>
      </w:r>
      <w:r w:rsidRPr="00D936E9">
        <w:rPr>
          <w:rFonts w:ascii="Garamond" w:hAnsi="Garamond" w:cs="Arial"/>
        </w:rPr>
        <w:t xml:space="preserve">. </w:t>
      </w:r>
    </w:p>
    <w:p w14:paraId="046B69E2" w14:textId="5BB47F35" w:rsidR="003769A2" w:rsidRPr="00D936E9" w:rsidRDefault="003769A2" w:rsidP="003769A2">
      <w:pPr>
        <w:pStyle w:val="NormaleWeb"/>
        <w:spacing w:before="0" w:beforeAutospacing="0" w:after="0" w:afterAutospacing="0" w:line="360" w:lineRule="auto"/>
        <w:jc w:val="both"/>
        <w:rPr>
          <w:rFonts w:ascii="Garamond" w:hAnsi="Garamond" w:cs="Arial"/>
        </w:rPr>
      </w:pPr>
      <w:r w:rsidRPr="00D936E9">
        <w:rPr>
          <w:rFonts w:ascii="Garamond" w:hAnsi="Garamond" w:cs="Arial"/>
        </w:rPr>
        <w:t xml:space="preserve">È un approccio più stimolante, che esula dalla tradizionale distinzione tra lavoro subordinato e lavoro autonomo, che è già stata superata; ma è, altresì, più complesso, poiché impone di incidere sull’organizzazione aziendale, in modo che sia (più) agile e, quindi, tecnologica. Cambia il paradigma, con uomo e macchina fusi insieme nell’unità produttiva che è anche digitale, occorre </w:t>
      </w:r>
      <w:r w:rsidR="005F7714" w:rsidRPr="00D936E9">
        <w:rPr>
          <w:rFonts w:ascii="Garamond" w:hAnsi="Garamond" w:cs="Arial"/>
        </w:rPr>
        <w:t xml:space="preserve">ragionare </w:t>
      </w:r>
      <w:r w:rsidRPr="00D936E9">
        <w:rPr>
          <w:rFonts w:ascii="Garamond" w:hAnsi="Garamond" w:cs="Arial"/>
        </w:rPr>
        <w:t>in termini di mansioni e assegnazione di compiti, con la macchina che deve adattarsi al lavoratore mediante l’intelligenza artificiale, che ne favorirà l’integrazione</w:t>
      </w:r>
      <w:r w:rsidR="00D06905" w:rsidRPr="00D936E9">
        <w:rPr>
          <w:rStyle w:val="Rimandonotaapidipagina"/>
          <w:rFonts w:ascii="Garamond" w:hAnsi="Garamond" w:cs="Arial"/>
        </w:rPr>
        <w:footnoteReference w:id="52"/>
      </w:r>
      <w:r w:rsidRPr="00D936E9">
        <w:rPr>
          <w:rFonts w:ascii="Garamond" w:hAnsi="Garamond" w:cs="Arial"/>
        </w:rPr>
        <w:t>.</w:t>
      </w:r>
    </w:p>
    <w:p w14:paraId="27C9C005" w14:textId="77777777" w:rsidR="003769A2" w:rsidRPr="00D936E9" w:rsidRDefault="003769A2" w:rsidP="003769A2">
      <w:pPr>
        <w:pStyle w:val="NormaleWeb"/>
        <w:spacing w:before="0" w:beforeAutospacing="0" w:after="0" w:afterAutospacing="0" w:line="360" w:lineRule="auto"/>
        <w:jc w:val="both"/>
        <w:rPr>
          <w:rFonts w:ascii="Garamond" w:hAnsi="Garamond" w:cs="Arial"/>
        </w:rPr>
      </w:pPr>
      <w:r w:rsidRPr="00D936E9">
        <w:rPr>
          <w:rFonts w:ascii="Garamond" w:hAnsi="Garamond" w:cs="Arial"/>
        </w:rPr>
        <w:t>Ciò che è evidente, da questo turbinio di tendenze sempre più rapide apportate dall’applicazione dell’innovazione tecnologica al lavoro, è il continuo assottigliarsi delle differenze tra lavoro subordinato ex art. 2094 c.c. e lavoro autonomo ex art. 2222 c.c., contrapposizione che ha sempre meno ragione di occupare le pagine della dottrina e della giurisprudenza. Questo perché ragionare su distinzioni così nette tra tipologie contrattuali forse attrae sempre meno i lavoratori e le lavoratrici, meno interessati alle tutele giuridiche (forse, anche in ragione del maggior spazio che si sta guadagnando il concetto di etero-organizzazione ex art. 2, d.lgs. 15 giugno 2015, n. 81</w:t>
      </w:r>
      <w:r w:rsidRPr="00D936E9">
        <w:rPr>
          <w:rStyle w:val="Rimandonotaapidipagina"/>
          <w:rFonts w:ascii="Garamond" w:hAnsi="Garamond"/>
        </w:rPr>
        <w:footnoteReference w:id="53"/>
      </w:r>
      <w:r w:rsidRPr="00D936E9">
        <w:rPr>
          <w:rFonts w:ascii="Garamond" w:hAnsi="Garamond" w:cs="Arial"/>
        </w:rPr>
        <w:t xml:space="preserve">) e più, invece, al lavoro per obiettivi, a forme di retribuzione incentivante, e a prestazioni senza vincoli di tempo e di spazio. </w:t>
      </w:r>
    </w:p>
    <w:p w14:paraId="01D84D26" w14:textId="77777777" w:rsidR="003769A2" w:rsidRPr="00D936E9" w:rsidRDefault="003769A2" w:rsidP="003769A2">
      <w:pPr>
        <w:pStyle w:val="NormaleWeb"/>
        <w:spacing w:before="0" w:beforeAutospacing="0" w:after="0" w:afterAutospacing="0" w:line="360" w:lineRule="auto"/>
        <w:jc w:val="both"/>
        <w:rPr>
          <w:rFonts w:ascii="Garamond" w:hAnsi="Garamond" w:cs="Arial"/>
        </w:rPr>
      </w:pPr>
      <w:r w:rsidRPr="00D936E9">
        <w:rPr>
          <w:rFonts w:ascii="Garamond" w:hAnsi="Garamond" w:cs="Arial"/>
        </w:rPr>
        <w:t>Tali novità sui cambiamenti nei rapporti di lavoro si collegano, per diversi profili, al dibattito attuale sull’esigenza di ripensare i canoni del diritto del lavoro</w:t>
      </w:r>
      <w:r w:rsidRPr="00D936E9">
        <w:rPr>
          <w:rStyle w:val="Rimandonotaapidipagina"/>
          <w:rFonts w:ascii="Garamond" w:hAnsi="Garamond"/>
        </w:rPr>
        <w:footnoteReference w:id="54"/>
      </w:r>
      <w:r w:rsidRPr="00D936E9">
        <w:rPr>
          <w:rFonts w:ascii="Garamond" w:hAnsi="Garamond" w:cs="Arial"/>
        </w:rPr>
        <w:t xml:space="preserve">, e sono particolarmente evidenti nell’ambito del lavoro tramite piattaforme digitali. Esso segna un punto di discontinuità irreversibile per il diritto del lavoro nel sistema economico-produttivo mondiale, capace di invertire i concetti classici di lavoro </w:t>
      </w:r>
      <w:proofErr w:type="gramStart"/>
      <w:r w:rsidRPr="00D936E9">
        <w:rPr>
          <w:rFonts w:ascii="Garamond" w:hAnsi="Garamond" w:cs="Arial"/>
        </w:rPr>
        <w:t>e</w:t>
      </w:r>
      <w:proofErr w:type="gramEnd"/>
      <w:r w:rsidRPr="00D936E9">
        <w:rPr>
          <w:rFonts w:ascii="Garamond" w:hAnsi="Garamond" w:cs="Arial"/>
        </w:rPr>
        <w:t xml:space="preserve"> economia: non c’è più la persona che utilizza la macchina e il diritto che protegge il lavoratore mentre la usa, ma è tutto ribaltato. </w:t>
      </w:r>
    </w:p>
    <w:p w14:paraId="6214494C" w14:textId="06313CC2" w:rsidR="003769A2" w:rsidRPr="00D936E9" w:rsidRDefault="003769A2" w:rsidP="003769A2">
      <w:pPr>
        <w:pStyle w:val="NormaleWeb"/>
        <w:spacing w:before="0" w:beforeAutospacing="0" w:after="0" w:afterAutospacing="0" w:line="360" w:lineRule="auto"/>
        <w:jc w:val="both"/>
        <w:rPr>
          <w:rFonts w:ascii="Garamond" w:hAnsi="Garamond"/>
        </w:rPr>
      </w:pPr>
      <w:r w:rsidRPr="00D936E9">
        <w:rPr>
          <w:rFonts w:ascii="Garamond" w:hAnsi="Garamond" w:cs="Arial"/>
        </w:rPr>
        <w:t xml:space="preserve">È necessario un ripensamento generale. Proprio per questo parrebbe non cogliere nel segno la dibattuta </w:t>
      </w:r>
      <w:r w:rsidRPr="00D936E9">
        <w:rPr>
          <w:rFonts w:ascii="Garamond" w:hAnsi="Garamond"/>
        </w:rPr>
        <w:t>«</w:t>
      </w:r>
      <w:r w:rsidRPr="00D936E9">
        <w:rPr>
          <w:rFonts w:ascii="Garamond" w:hAnsi="Garamond" w:cs="Arial"/>
          <w:i/>
          <w:iCs/>
        </w:rPr>
        <w:t>Presunzione legale</w:t>
      </w:r>
      <w:r w:rsidRPr="00D936E9">
        <w:rPr>
          <w:rFonts w:ascii="Garamond" w:hAnsi="Garamond"/>
        </w:rPr>
        <w:t xml:space="preserve">» contenuta nell’art. 4 della Proposta di </w:t>
      </w:r>
      <w:r w:rsidR="00D45D21" w:rsidRPr="00D936E9">
        <w:rPr>
          <w:rFonts w:ascii="Garamond" w:hAnsi="Garamond"/>
        </w:rPr>
        <w:t>d</w:t>
      </w:r>
      <w:r w:rsidRPr="00D936E9">
        <w:rPr>
          <w:rFonts w:ascii="Garamond" w:hAnsi="Garamond"/>
        </w:rPr>
        <w:t xml:space="preserve">irettiva </w:t>
      </w:r>
      <w:r w:rsidR="00D45D21" w:rsidRPr="00D936E9">
        <w:rPr>
          <w:rFonts w:ascii="Garamond" w:hAnsi="Garamond"/>
        </w:rPr>
        <w:t>UE</w:t>
      </w:r>
      <w:r w:rsidRPr="00D936E9">
        <w:rPr>
          <w:rFonts w:ascii="Garamond" w:hAnsi="Garamond"/>
        </w:rPr>
        <w:t>. Si tratta di una</w:t>
      </w:r>
      <w:r w:rsidR="00C674E6" w:rsidRPr="00D936E9">
        <w:rPr>
          <w:rFonts w:ascii="Garamond" w:hAnsi="Garamond"/>
        </w:rPr>
        <w:t xml:space="preserve"> presunz</w:t>
      </w:r>
      <w:r w:rsidR="00C674E6" w:rsidRPr="00D936E9">
        <w:rPr>
          <w:rFonts w:ascii="Garamond" w:hAnsi="Garamond"/>
          <w:i/>
          <w:iCs/>
        </w:rPr>
        <w:t>i</w:t>
      </w:r>
      <w:r w:rsidR="00C674E6" w:rsidRPr="00D936E9">
        <w:rPr>
          <w:rFonts w:ascii="Garamond" w:hAnsi="Garamond"/>
        </w:rPr>
        <w:t>one</w:t>
      </w:r>
      <w:r w:rsidRPr="00D936E9">
        <w:rPr>
          <w:rFonts w:ascii="Garamond" w:hAnsi="Garamond"/>
        </w:rPr>
        <w:t xml:space="preserve"> semplice – sul fatto che la piattaforma di lavoro eserciti un «</w:t>
      </w:r>
      <w:r w:rsidRPr="00D936E9">
        <w:rPr>
          <w:rFonts w:ascii="Garamond" w:hAnsi="Garamond"/>
          <w:i/>
          <w:iCs/>
        </w:rPr>
        <w:t>potere di controllo e direzione</w:t>
      </w:r>
      <w:r w:rsidRPr="00D936E9">
        <w:rPr>
          <w:rFonts w:ascii="Garamond" w:hAnsi="Garamond"/>
        </w:rPr>
        <w:t xml:space="preserve">» sul lavoratore digitale – che i singoli stati membri sono poi chiamati ad implementare e che si fonda sulla contemporanea presenza di almeno tre indici in relazione ad un elenco (ora) di sette, che ha ad oggetto: (i) l’esistenza di limiti massimi individuali quanto alla retribuzione; (ii) la riconoscibilità dei lavoratori da parte dei destinatari dei servizi </w:t>
      </w:r>
      <w:r w:rsidRPr="00D936E9">
        <w:rPr>
          <w:rFonts w:ascii="Garamond" w:hAnsi="Garamond"/>
        </w:rPr>
        <w:lastRenderedPageBreak/>
        <w:t>offerti dalla piattaforma; (iii) controlli anche elettronici sul rispetto della qualità della prestazione resa; (iv) controlli sull’orario e sulle assenze, con possibilità di sanzioni disciplinari; (v) limiti, anche di tipo disciplinare, alla libertà individuale di organizzare il proprio orario e di accettare o rifiutare incarichi; (vi) previsione di un divieto di farsi sostituire da terzi; (vii) restrizioni alla possibilità di sviluppare una propria clientela o di lavorare anche per conto di altre piattaforme.</w:t>
      </w:r>
    </w:p>
    <w:p w14:paraId="3F4CE60B" w14:textId="1619D46E" w:rsidR="003769A2" w:rsidRPr="00D936E9" w:rsidRDefault="003769A2" w:rsidP="003769A2">
      <w:pPr>
        <w:pStyle w:val="NormaleWeb"/>
        <w:spacing w:before="0" w:beforeAutospacing="0" w:after="0" w:afterAutospacing="0" w:line="360" w:lineRule="auto"/>
        <w:jc w:val="both"/>
        <w:rPr>
          <w:rFonts w:ascii="Garamond" w:hAnsi="Garamond"/>
        </w:rPr>
      </w:pPr>
      <w:r w:rsidRPr="00D936E9">
        <w:rPr>
          <w:rFonts w:ascii="Garamond" w:hAnsi="Garamond"/>
        </w:rPr>
        <w:t xml:space="preserve">Tali criteri mal si conciliano innanzitutto con la varietà e diversificazione delle piattaforme: viene da chiedersi, infatti, se ha senso </w:t>
      </w:r>
      <w:r w:rsidR="005F7714" w:rsidRPr="00D936E9">
        <w:rPr>
          <w:rFonts w:ascii="Garamond" w:hAnsi="Garamond"/>
        </w:rPr>
        <w:t>assegnare a criteri così generali</w:t>
      </w:r>
      <w:r w:rsidR="005F7714" w:rsidRPr="00D936E9">
        <w:rPr>
          <w:rFonts w:ascii="Garamond" w:hAnsi="Garamond" w:cs="Arial"/>
        </w:rPr>
        <w:t xml:space="preserve"> il compito di stabilire cosa è lavoro subordinato, e cosa è autonomo</w:t>
      </w:r>
      <w:r w:rsidRPr="00D936E9">
        <w:rPr>
          <w:rFonts w:ascii="Garamond" w:hAnsi="Garamond"/>
        </w:rPr>
        <w:t xml:space="preserve">, </w:t>
      </w:r>
      <w:r w:rsidR="005F7714" w:rsidRPr="00D936E9">
        <w:rPr>
          <w:rFonts w:ascii="Garamond" w:hAnsi="Garamond"/>
        </w:rPr>
        <w:t xml:space="preserve">rispetto a piattaforme così </w:t>
      </w:r>
      <w:r w:rsidRPr="00D936E9">
        <w:rPr>
          <w:rFonts w:ascii="Garamond" w:hAnsi="Garamond"/>
        </w:rPr>
        <w:t>variegate e composte di sistemi algoritmici altamente complessi</w:t>
      </w:r>
      <w:r w:rsidRPr="00D936E9">
        <w:rPr>
          <w:rFonts w:ascii="Garamond" w:hAnsi="Garamond" w:cs="Arial"/>
        </w:rPr>
        <w:t xml:space="preserve">. </w:t>
      </w:r>
      <w:r w:rsidRPr="00D936E9">
        <w:rPr>
          <w:rFonts w:ascii="Garamond" w:hAnsi="Garamond"/>
        </w:rPr>
        <w:t>Inoltre, per quanto la previsione di indici presuntivi della subordinazione non possa che condurre in via tendenziale alla formazione di una unitaria nozione europea</w:t>
      </w:r>
      <w:r w:rsidRPr="00D936E9">
        <w:rPr>
          <w:rStyle w:val="Rimandonotaapidipagina"/>
          <w:rFonts w:ascii="Garamond" w:hAnsi="Garamond"/>
        </w:rPr>
        <w:footnoteReference w:id="55"/>
      </w:r>
      <w:r w:rsidRPr="00D936E9">
        <w:rPr>
          <w:rFonts w:ascii="Garamond" w:hAnsi="Garamond"/>
        </w:rPr>
        <w:t xml:space="preserve">, anche se si lascia ai singoli stati la scelta sulla disciplina sostanziale da applicare poi in concreto, i criteri sopra individuati non sembrano granché efficaci in relazione ai (superati?) canoni contrapposti di subordinazione e autonomia nel lavoro: la </w:t>
      </w:r>
      <w:r w:rsidR="00D45D21" w:rsidRPr="00D936E9">
        <w:rPr>
          <w:rFonts w:ascii="Garamond" w:hAnsi="Garamond"/>
        </w:rPr>
        <w:t>P</w:t>
      </w:r>
      <w:r w:rsidRPr="00D936E9">
        <w:rPr>
          <w:rFonts w:ascii="Garamond" w:hAnsi="Garamond"/>
        </w:rPr>
        <w:t>roposta di direttiva</w:t>
      </w:r>
      <w:r w:rsidR="00D45D21" w:rsidRPr="00D936E9">
        <w:rPr>
          <w:rFonts w:ascii="Garamond" w:hAnsi="Garamond"/>
        </w:rPr>
        <w:t xml:space="preserve"> UE</w:t>
      </w:r>
      <w:r w:rsidRPr="00D936E9">
        <w:rPr>
          <w:rFonts w:ascii="Garamond" w:hAnsi="Garamond"/>
        </w:rPr>
        <w:t>, infatti, mischia indici tipici del lavoro subordinato (come, ad esempio, la supervisione da parte della piattaforma sull’esecuzione del lavoro o l’obbligo di accettare gli incarichi assegnati) con quelli del lavoro autonomo (si pensi alla valutazione della qualità della prestazione che è ampiamente ammessa nel contratto d’opera)</w:t>
      </w:r>
      <w:r w:rsidRPr="00D936E9">
        <w:rPr>
          <w:rStyle w:val="Rimandonotaapidipagina"/>
          <w:rFonts w:ascii="Garamond" w:hAnsi="Garamond"/>
        </w:rPr>
        <w:footnoteReference w:id="56"/>
      </w:r>
      <w:r w:rsidRPr="00D936E9">
        <w:rPr>
          <w:rFonts w:ascii="Garamond" w:hAnsi="Garamond"/>
        </w:rPr>
        <w:t>.</w:t>
      </w:r>
    </w:p>
    <w:p w14:paraId="5EF90A2F" w14:textId="2438AEC9" w:rsidR="005F7714" w:rsidRPr="00D936E9" w:rsidRDefault="003769A2" w:rsidP="003769A2">
      <w:pPr>
        <w:spacing w:line="360" w:lineRule="auto"/>
        <w:jc w:val="both"/>
        <w:rPr>
          <w:rFonts w:ascii="Garamond" w:hAnsi="Garamond"/>
        </w:rPr>
      </w:pPr>
      <w:r w:rsidRPr="00D936E9">
        <w:rPr>
          <w:rFonts w:ascii="Garamond" w:hAnsi="Garamond"/>
        </w:rPr>
        <w:t xml:space="preserve">Pertanto, questa distinzione, nell’era digitale, appare superata, in un verso, da una frantumazione del lavoro, e, dall’altro, da quella che </w:t>
      </w:r>
      <w:r w:rsidR="00F43B40" w:rsidRPr="00D936E9">
        <w:rPr>
          <w:rFonts w:ascii="Garamond" w:hAnsi="Garamond"/>
        </w:rPr>
        <w:t xml:space="preserve">è stata in precedenza </w:t>
      </w:r>
      <w:proofErr w:type="spellStart"/>
      <w:r w:rsidR="00F43B40" w:rsidRPr="00D936E9">
        <w:rPr>
          <w:rFonts w:ascii="Garamond" w:hAnsi="Garamond"/>
        </w:rPr>
        <w:t>definitita</w:t>
      </w:r>
      <w:proofErr w:type="spellEnd"/>
      <w:r w:rsidR="00F43B40" w:rsidRPr="00D936E9">
        <w:rPr>
          <w:rFonts w:ascii="Garamond" w:hAnsi="Garamond"/>
        </w:rPr>
        <w:t xml:space="preserve"> </w:t>
      </w:r>
      <w:r w:rsidRPr="00D936E9">
        <w:rPr>
          <w:rFonts w:ascii="Garamond" w:hAnsi="Garamond"/>
        </w:rPr>
        <w:t xml:space="preserve">come </w:t>
      </w:r>
      <w:r w:rsidR="00E80BCE" w:rsidRPr="00D936E9">
        <w:rPr>
          <w:rFonts w:ascii="Garamond" w:hAnsi="Garamond"/>
        </w:rPr>
        <w:t>“</w:t>
      </w:r>
      <w:r w:rsidRPr="00D936E9">
        <w:rPr>
          <w:rFonts w:ascii="Garamond" w:hAnsi="Garamond"/>
        </w:rPr>
        <w:t>micro-</w:t>
      </w:r>
      <w:proofErr w:type="spellStart"/>
      <w:r w:rsidRPr="00D936E9">
        <w:rPr>
          <w:rFonts w:ascii="Garamond" w:hAnsi="Garamond"/>
        </w:rPr>
        <w:t>taskalizzazione</w:t>
      </w:r>
      <w:proofErr w:type="spellEnd"/>
      <w:r w:rsidR="00E80BCE" w:rsidRPr="00D936E9">
        <w:rPr>
          <w:rFonts w:ascii="Garamond" w:hAnsi="Garamond"/>
        </w:rPr>
        <w:t>”</w:t>
      </w:r>
      <w:r w:rsidRPr="00D936E9">
        <w:rPr>
          <w:rFonts w:ascii="Garamond" w:hAnsi="Garamond"/>
        </w:rPr>
        <w:t xml:space="preserve"> delle mansioni. Il lavoro sempre meno viene strutturato per categorie contrattuali, a cui corrispondono livelli gerarchici e qualifiche (e, ovviamente, livelli di retribuzione), e sempre più ambisce a un «</w:t>
      </w:r>
      <w:r w:rsidRPr="00D936E9">
        <w:rPr>
          <w:rFonts w:ascii="Garamond" w:hAnsi="Garamond"/>
          <w:i/>
          <w:iCs/>
        </w:rPr>
        <w:t xml:space="preserve">work </w:t>
      </w:r>
      <w:proofErr w:type="spellStart"/>
      <w:r w:rsidRPr="00D936E9">
        <w:rPr>
          <w:rFonts w:ascii="Garamond" w:hAnsi="Garamond"/>
          <w:i/>
          <w:iCs/>
        </w:rPr>
        <w:t>operating</w:t>
      </w:r>
      <w:proofErr w:type="spellEnd"/>
      <w:r w:rsidRPr="00D936E9">
        <w:rPr>
          <w:rFonts w:ascii="Garamond" w:hAnsi="Garamond"/>
          <w:i/>
          <w:iCs/>
        </w:rPr>
        <w:t xml:space="preserve"> system</w:t>
      </w:r>
      <w:r w:rsidRPr="00D936E9">
        <w:rPr>
          <w:rStyle w:val="Rimandonotaapidipagina"/>
          <w:rFonts w:ascii="Garamond" w:hAnsi="Garamond"/>
        </w:rPr>
        <w:footnoteReference w:id="57"/>
      </w:r>
      <w:r w:rsidRPr="00D936E9">
        <w:rPr>
          <w:rFonts w:ascii="Garamond" w:hAnsi="Garamond"/>
        </w:rPr>
        <w:t>», che miglior</w:t>
      </w:r>
      <w:r w:rsidR="005F7714" w:rsidRPr="00D936E9">
        <w:rPr>
          <w:rFonts w:ascii="Garamond" w:hAnsi="Garamond"/>
        </w:rPr>
        <w:t>i</w:t>
      </w:r>
      <w:r w:rsidRPr="00D936E9">
        <w:rPr>
          <w:rFonts w:ascii="Garamond" w:hAnsi="Garamond"/>
        </w:rPr>
        <w:t xml:space="preserve"> l’agilità organizzativa, favorisc</w:t>
      </w:r>
      <w:r w:rsidR="005F7714" w:rsidRPr="00D936E9">
        <w:rPr>
          <w:rFonts w:ascii="Garamond" w:hAnsi="Garamond"/>
        </w:rPr>
        <w:t>a</w:t>
      </w:r>
      <w:r w:rsidRPr="00D936E9">
        <w:rPr>
          <w:rFonts w:ascii="Garamond" w:hAnsi="Garamond"/>
        </w:rPr>
        <w:t xml:space="preserve"> l’inclusione e consent</w:t>
      </w:r>
      <w:r w:rsidR="005F7714" w:rsidRPr="00D936E9">
        <w:rPr>
          <w:rFonts w:ascii="Garamond" w:hAnsi="Garamond"/>
        </w:rPr>
        <w:t>a</w:t>
      </w:r>
      <w:r w:rsidRPr="00D936E9">
        <w:rPr>
          <w:rFonts w:ascii="Garamond" w:hAnsi="Garamond"/>
        </w:rPr>
        <w:t xml:space="preserve"> di superare con più facilità le sfide del futuro. </w:t>
      </w:r>
    </w:p>
    <w:p w14:paraId="59D89BF0" w14:textId="13A0BFB2" w:rsidR="003E05B6" w:rsidRPr="00D936E9" w:rsidRDefault="003769A2" w:rsidP="003769A2">
      <w:pPr>
        <w:spacing w:line="360" w:lineRule="auto"/>
        <w:jc w:val="both"/>
        <w:rPr>
          <w:rFonts w:ascii="Garamond" w:hAnsi="Garamond"/>
        </w:rPr>
      </w:pPr>
      <w:r w:rsidRPr="00D936E9">
        <w:rPr>
          <w:rFonts w:ascii="Garamond" w:hAnsi="Garamond"/>
        </w:rPr>
        <w:t xml:space="preserve">Questo nuovo sistema decostruisce i posti di lavoro, e li reinventa formulandoli in </w:t>
      </w:r>
      <w:proofErr w:type="gramStart"/>
      <w:r w:rsidRPr="00D936E9">
        <w:rPr>
          <w:rFonts w:ascii="Garamond" w:hAnsi="Garamond"/>
        </w:rPr>
        <w:t>micro-componenti</w:t>
      </w:r>
      <w:proofErr w:type="gramEnd"/>
      <w:r w:rsidRPr="00D936E9">
        <w:rPr>
          <w:rFonts w:ascii="Garamond" w:hAnsi="Garamond"/>
        </w:rPr>
        <w:t xml:space="preserve"> suddivise in compiti/progetti, competenze/capacità e qualifiche («</w:t>
      </w:r>
      <w:r w:rsidRPr="00D936E9">
        <w:rPr>
          <w:rFonts w:ascii="Garamond" w:hAnsi="Garamond"/>
          <w:i/>
          <w:iCs/>
        </w:rPr>
        <w:t xml:space="preserve">a new work </w:t>
      </w:r>
      <w:proofErr w:type="spellStart"/>
      <w:r w:rsidRPr="00D936E9">
        <w:rPr>
          <w:rFonts w:ascii="Garamond" w:hAnsi="Garamond"/>
          <w:i/>
          <w:iCs/>
        </w:rPr>
        <w:t>operating</w:t>
      </w:r>
      <w:proofErr w:type="spellEnd"/>
      <w:r w:rsidRPr="00D936E9">
        <w:rPr>
          <w:rFonts w:ascii="Garamond" w:hAnsi="Garamond"/>
          <w:i/>
          <w:iCs/>
        </w:rPr>
        <w:t xml:space="preserve"> system </w:t>
      </w:r>
      <w:proofErr w:type="spellStart"/>
      <w:r w:rsidRPr="00D936E9">
        <w:rPr>
          <w:rFonts w:ascii="Garamond" w:hAnsi="Garamond"/>
          <w:i/>
          <w:iCs/>
        </w:rPr>
        <w:t>that</w:t>
      </w:r>
      <w:proofErr w:type="spellEnd"/>
      <w:r w:rsidRPr="00D936E9">
        <w:rPr>
          <w:rFonts w:ascii="Garamond" w:hAnsi="Garamond"/>
          <w:i/>
          <w:iCs/>
        </w:rPr>
        <w:t xml:space="preserve"> </w:t>
      </w:r>
      <w:proofErr w:type="spellStart"/>
      <w:r w:rsidRPr="00D936E9">
        <w:rPr>
          <w:rFonts w:ascii="Garamond" w:hAnsi="Garamond"/>
          <w:i/>
          <w:iCs/>
        </w:rPr>
        <w:t>deconstructs</w:t>
      </w:r>
      <w:proofErr w:type="spellEnd"/>
      <w:r w:rsidRPr="00D936E9">
        <w:rPr>
          <w:rFonts w:ascii="Garamond" w:hAnsi="Garamond"/>
          <w:i/>
          <w:iCs/>
        </w:rPr>
        <w:t xml:space="preserve"> and </w:t>
      </w:r>
      <w:proofErr w:type="spellStart"/>
      <w:r w:rsidRPr="00D936E9">
        <w:rPr>
          <w:rFonts w:ascii="Garamond" w:hAnsi="Garamond"/>
          <w:i/>
          <w:iCs/>
        </w:rPr>
        <w:t>reinvents</w:t>
      </w:r>
      <w:proofErr w:type="spellEnd"/>
      <w:r w:rsidRPr="00D936E9">
        <w:rPr>
          <w:rFonts w:ascii="Garamond" w:hAnsi="Garamond"/>
          <w:i/>
          <w:iCs/>
        </w:rPr>
        <w:t xml:space="preserve"> human work </w:t>
      </w:r>
      <w:proofErr w:type="spellStart"/>
      <w:r w:rsidRPr="00D936E9">
        <w:rPr>
          <w:rFonts w:ascii="Garamond" w:hAnsi="Garamond"/>
          <w:i/>
          <w:iCs/>
        </w:rPr>
        <w:t>into</w:t>
      </w:r>
      <w:proofErr w:type="spellEnd"/>
      <w:r w:rsidRPr="00D936E9">
        <w:rPr>
          <w:rFonts w:ascii="Garamond" w:hAnsi="Garamond"/>
          <w:i/>
          <w:iCs/>
        </w:rPr>
        <w:t xml:space="preserve"> tasks and capabilities </w:t>
      </w:r>
      <w:proofErr w:type="spellStart"/>
      <w:r w:rsidRPr="00D936E9">
        <w:rPr>
          <w:rFonts w:ascii="Garamond" w:hAnsi="Garamond"/>
          <w:i/>
          <w:iCs/>
        </w:rPr>
        <w:t>offers</w:t>
      </w:r>
      <w:proofErr w:type="spellEnd"/>
      <w:r w:rsidRPr="00D936E9">
        <w:rPr>
          <w:rFonts w:ascii="Garamond" w:hAnsi="Garamond"/>
          <w:i/>
          <w:iCs/>
        </w:rPr>
        <w:t xml:space="preserve"> the </w:t>
      </w:r>
      <w:proofErr w:type="spellStart"/>
      <w:r w:rsidRPr="00D936E9">
        <w:rPr>
          <w:rFonts w:ascii="Garamond" w:hAnsi="Garamond"/>
          <w:i/>
          <w:iCs/>
        </w:rPr>
        <w:t>solution</w:t>
      </w:r>
      <w:proofErr w:type="spellEnd"/>
      <w:r w:rsidRPr="00D936E9">
        <w:rPr>
          <w:rFonts w:ascii="Garamond" w:hAnsi="Garamond"/>
          <w:i/>
          <w:iCs/>
        </w:rPr>
        <w:t xml:space="preserve"> to </w:t>
      </w:r>
      <w:proofErr w:type="spellStart"/>
      <w:r w:rsidRPr="00D936E9">
        <w:rPr>
          <w:rFonts w:ascii="Garamond" w:hAnsi="Garamond"/>
          <w:i/>
          <w:iCs/>
        </w:rPr>
        <w:t>this</w:t>
      </w:r>
      <w:proofErr w:type="spellEnd"/>
      <w:r w:rsidRPr="00D936E9">
        <w:rPr>
          <w:rFonts w:ascii="Garamond" w:hAnsi="Garamond"/>
          <w:i/>
          <w:iCs/>
        </w:rPr>
        <w:t xml:space="preserve"> dilemma</w:t>
      </w:r>
      <w:r w:rsidR="00F43B40" w:rsidRPr="00D936E9">
        <w:rPr>
          <w:rStyle w:val="Rimandonotaapidipagina"/>
          <w:rFonts w:ascii="Garamond" w:hAnsi="Garamond"/>
        </w:rPr>
        <w:footnoteReference w:id="58"/>
      </w:r>
      <w:r w:rsidRPr="00D936E9">
        <w:rPr>
          <w:rFonts w:ascii="Garamond" w:hAnsi="Garamond"/>
        </w:rPr>
        <w:t xml:space="preserve">»). </w:t>
      </w:r>
      <w:r w:rsidR="00F43B40" w:rsidRPr="00D936E9">
        <w:rPr>
          <w:rFonts w:ascii="Garamond" w:hAnsi="Garamond"/>
        </w:rPr>
        <w:t xml:space="preserve">È un continuo reinventarsi </w:t>
      </w:r>
      <w:r w:rsidR="00F43B40" w:rsidRPr="00D936E9">
        <w:rPr>
          <w:rFonts w:ascii="Garamond" w:hAnsi="Garamond"/>
        </w:rPr>
        <w:lastRenderedPageBreak/>
        <w:t>di professionalità e incarichi; la stabilità e l’inamovibilità del singolo ruolo lavorativo sono superate; le attività sono sempre più legate a fasi e specifici progetti (</w:t>
      </w:r>
      <w:r w:rsidR="00F43B40" w:rsidRPr="00D936E9">
        <w:rPr>
          <w:rFonts w:ascii="Garamond" w:hAnsi="Garamond"/>
          <w:i/>
          <w:iCs/>
        </w:rPr>
        <w:t>sic</w:t>
      </w:r>
      <w:r w:rsidR="00F43B40" w:rsidRPr="00D936E9">
        <w:rPr>
          <w:rFonts w:ascii="Garamond" w:hAnsi="Garamond"/>
        </w:rPr>
        <w:t xml:space="preserve">!), che cambiano frequentemente; si lavora sempre più su fronti, datori e committenti diversi, anche nello stesso momento. </w:t>
      </w:r>
    </w:p>
    <w:p w14:paraId="31D56DB0" w14:textId="5E086E55" w:rsidR="003E05B6" w:rsidRPr="00D936E9" w:rsidRDefault="003E05B6" w:rsidP="003E05B6">
      <w:pPr>
        <w:shd w:val="clear" w:color="auto" w:fill="FFFFFF"/>
        <w:spacing w:line="360" w:lineRule="auto"/>
        <w:jc w:val="both"/>
        <w:textAlignment w:val="baseline"/>
        <w:rPr>
          <w:rFonts w:ascii="Garamond" w:hAnsi="Garamond"/>
        </w:rPr>
      </w:pPr>
    </w:p>
    <w:p w14:paraId="09C728CF" w14:textId="18181FE0" w:rsidR="00972B3B" w:rsidRPr="00D936E9" w:rsidRDefault="003D329B" w:rsidP="001F5C21">
      <w:pPr>
        <w:numPr>
          <w:ilvl w:val="0"/>
          <w:numId w:val="9"/>
        </w:numPr>
        <w:spacing w:line="360" w:lineRule="auto"/>
        <w:jc w:val="both"/>
        <w:rPr>
          <w:rFonts w:ascii="Garamond" w:hAnsi="Garamond"/>
          <w:b/>
          <w:bCs/>
        </w:rPr>
      </w:pPr>
      <w:r w:rsidRPr="00D936E9">
        <w:rPr>
          <w:rFonts w:ascii="Garamond" w:hAnsi="Garamond"/>
          <w:b/>
          <w:bCs/>
        </w:rPr>
        <w:t xml:space="preserve">L’unità produttiva </w:t>
      </w:r>
      <w:r w:rsidRPr="00D936E9">
        <w:rPr>
          <w:rFonts w:ascii="Garamond" w:hAnsi="Garamond"/>
          <w:b/>
          <w:bCs/>
          <w:i/>
          <w:iCs/>
        </w:rPr>
        <w:t xml:space="preserve">digitale </w:t>
      </w:r>
      <w:r w:rsidRPr="00D936E9">
        <w:rPr>
          <w:rFonts w:ascii="Garamond" w:hAnsi="Garamond"/>
          <w:b/>
          <w:bCs/>
        </w:rPr>
        <w:t>e l’esercizio dei diritti sindacali</w:t>
      </w:r>
    </w:p>
    <w:p w14:paraId="2AB87B49" w14:textId="77777777" w:rsidR="003769A2" w:rsidRPr="00D936E9" w:rsidRDefault="003769A2" w:rsidP="003769A2">
      <w:pPr>
        <w:shd w:val="clear" w:color="auto" w:fill="FFFFFF"/>
        <w:spacing w:line="360" w:lineRule="auto"/>
        <w:jc w:val="both"/>
        <w:textAlignment w:val="baseline"/>
        <w:rPr>
          <w:rFonts w:ascii="Garamond" w:hAnsi="Garamond"/>
        </w:rPr>
      </w:pPr>
      <w:r w:rsidRPr="00D936E9">
        <w:rPr>
          <w:rFonts w:ascii="Garamond" w:hAnsi="Garamond"/>
        </w:rPr>
        <w:t>Se è vero quanto sin qui descritto in merito alle evoluzioni delle modalità di svolgimento delle attività lavorative, occorre concentrare maggiormente l’analisi sulla nozione di unità produttiva digitale. In essa si trova una tensione forte generata dall’aumento della digitalizzazione delle procedure, che i lavoratori devono saper gestire, senza, tuttavia, tralasciare le più consuete mansioni operative, tecniche e manuali. Questa compresenza di attività (operative/gestionali) comporta una trasformazione del lavoro, che si spinge sempre a livelli più alti di complessità – col superamento delle mere ripetizioni seriali di mansioni semplici – e che presuppone, dunque, aggiornamento costante delle competenze.</w:t>
      </w:r>
    </w:p>
    <w:p w14:paraId="025E5C4A" w14:textId="2B8C8E13" w:rsidR="003769A2" w:rsidRPr="00D936E9" w:rsidRDefault="003769A2" w:rsidP="003769A2">
      <w:pPr>
        <w:shd w:val="clear" w:color="auto" w:fill="FFFFFF"/>
        <w:spacing w:line="360" w:lineRule="auto"/>
        <w:jc w:val="both"/>
        <w:textAlignment w:val="baseline"/>
        <w:rPr>
          <w:rFonts w:ascii="Garamond" w:hAnsi="Garamond"/>
        </w:rPr>
      </w:pPr>
      <w:r w:rsidRPr="00D936E9">
        <w:rPr>
          <w:rFonts w:ascii="Garamond" w:hAnsi="Garamond"/>
        </w:rPr>
        <w:t>Si è passati dai classici sistemi fordisti – contraddistinti da rapporti gerarchici e impenetrabili, e dalla reiterazione delle medesime attività, sempre uguali e che presupponevano semplici competenze tecnico-pratiche, da svolgersi nello stesso ambito circoscritto e chiuso – a industria 4.0</w:t>
      </w:r>
      <w:r w:rsidRPr="00D936E9">
        <w:rPr>
          <w:rStyle w:val="Rimandonotaapidipagina"/>
          <w:rFonts w:ascii="Garamond" w:hAnsi="Garamond"/>
        </w:rPr>
        <w:footnoteReference w:id="59"/>
      </w:r>
      <w:r w:rsidRPr="00D936E9">
        <w:rPr>
          <w:rFonts w:ascii="Garamond" w:hAnsi="Garamond"/>
        </w:rPr>
        <w:t xml:space="preserve"> che, invece, non può prescindere, da una parte, da mansioni sempre più autonome, complesse e responsabilizzanti, e, dall’altra, da una combinazione tra macchine intelligenti</w:t>
      </w:r>
      <w:r w:rsidRPr="00D936E9">
        <w:rPr>
          <w:rStyle w:val="Rimandonotaapidipagina"/>
          <w:rFonts w:ascii="Garamond" w:hAnsi="Garamond"/>
        </w:rPr>
        <w:footnoteReference w:id="60"/>
      </w:r>
      <w:r w:rsidRPr="00D936E9">
        <w:rPr>
          <w:rFonts w:ascii="Garamond" w:hAnsi="Garamond"/>
        </w:rPr>
        <w:t xml:space="preserve">, linee automatizzate e lavoratori che le gestiscono, in un ambito più esteso del mero perimetro della fabbrica; per arrivare, poi, al lavoro tramite piattaforma digitale, caratterizzato da ubiquità e atemporalità delle prestazioni, e da forme agili di organizzazione del lavoro, sui cui ci si è già soffermati nel </w:t>
      </w:r>
      <w:r w:rsidR="002E49F3" w:rsidRPr="00D936E9">
        <w:rPr>
          <w:rFonts w:ascii="Garamond" w:hAnsi="Garamond"/>
        </w:rPr>
        <w:t>paragrafo</w:t>
      </w:r>
      <w:r w:rsidRPr="00D936E9">
        <w:rPr>
          <w:rFonts w:ascii="Garamond" w:hAnsi="Garamond"/>
        </w:rPr>
        <w:t xml:space="preserve"> precedente.</w:t>
      </w:r>
    </w:p>
    <w:p w14:paraId="79074245" w14:textId="7DF17FB2" w:rsidR="003769A2" w:rsidRPr="00D936E9" w:rsidRDefault="003769A2" w:rsidP="003769A2">
      <w:pPr>
        <w:shd w:val="clear" w:color="auto" w:fill="FFFFFF"/>
        <w:spacing w:line="360" w:lineRule="auto"/>
        <w:jc w:val="both"/>
        <w:textAlignment w:val="baseline"/>
        <w:rPr>
          <w:rFonts w:ascii="Garamond" w:hAnsi="Garamond"/>
        </w:rPr>
      </w:pPr>
      <w:r w:rsidRPr="00D936E9">
        <w:rPr>
          <w:rFonts w:ascii="Garamond" w:hAnsi="Garamond"/>
        </w:rPr>
        <w:t>È evidente, dunque, come l’evoluzione dei modelli di organizzazione del lavoro in chiave digitale abbia inciso sia sugli aspetti legati alla professionalità dei lavoratori, che sulla dimensione spazio/temporale all’interno della quale si esercitano e negoziano i diritti</w:t>
      </w:r>
      <w:r w:rsidR="00126359" w:rsidRPr="00D936E9">
        <w:rPr>
          <w:rFonts w:ascii="Garamond" w:hAnsi="Garamond"/>
        </w:rPr>
        <w:t xml:space="preserve">, disciplinata </w:t>
      </w:r>
      <w:r w:rsidRPr="00D936E9">
        <w:rPr>
          <w:rFonts w:ascii="Garamond" w:hAnsi="Garamond"/>
        </w:rPr>
        <w:t>nel nostro ordinamento dall’art. 35</w:t>
      </w:r>
      <w:r w:rsidR="00126359" w:rsidRPr="00D936E9">
        <w:rPr>
          <w:rFonts w:ascii="Garamond" w:hAnsi="Garamond"/>
        </w:rPr>
        <w:t>,</w:t>
      </w:r>
      <w:r w:rsidRPr="00D936E9">
        <w:rPr>
          <w:rFonts w:ascii="Garamond" w:hAnsi="Garamond"/>
        </w:rPr>
        <w:t xml:space="preserve"> l. 20 maggio 1970, n. 300</w:t>
      </w:r>
      <w:r w:rsidRPr="00D936E9">
        <w:rPr>
          <w:rStyle w:val="Rimandonotaapidipagina"/>
          <w:rFonts w:ascii="Garamond" w:hAnsi="Garamond"/>
        </w:rPr>
        <w:footnoteReference w:id="61"/>
      </w:r>
      <w:r w:rsidRPr="00D936E9">
        <w:rPr>
          <w:rFonts w:ascii="Garamond" w:hAnsi="Garamond"/>
        </w:rPr>
        <w:t xml:space="preserve">. Bisogna comprendere se si tratta o no di una definizione completa, capace di comprendere anche l’unità produttiva digitale. Non solo, perché dal concetto di unità produttiva discende la possibilità di esercitare i diritti sindacali di cui al Titolo III dello Statuto dei lavoratori, individuali e collettivi (artt. 18, 20, 21, 23, 25, 27 e 29), compresa la costituzione di rappresentanze sindacali aziendali o unitarie. </w:t>
      </w:r>
    </w:p>
    <w:p w14:paraId="26864489" w14:textId="6C825440" w:rsidR="003769A2" w:rsidRPr="00D936E9" w:rsidRDefault="003769A2" w:rsidP="003769A2">
      <w:pPr>
        <w:shd w:val="clear" w:color="auto" w:fill="FFFFFF"/>
        <w:spacing w:line="360" w:lineRule="auto"/>
        <w:jc w:val="both"/>
        <w:textAlignment w:val="baseline"/>
        <w:rPr>
          <w:rFonts w:ascii="Garamond" w:hAnsi="Garamond"/>
        </w:rPr>
      </w:pPr>
      <w:r w:rsidRPr="00D936E9">
        <w:rPr>
          <w:rFonts w:ascii="Garamond" w:hAnsi="Garamond"/>
        </w:rPr>
        <w:t xml:space="preserve">Torniamo un attimo alla quadripartizione </w:t>
      </w:r>
      <w:r w:rsidRPr="00D936E9">
        <w:rPr>
          <w:rFonts w:ascii="Garamond" w:hAnsi="Garamond"/>
          <w:spacing w:val="3"/>
        </w:rPr>
        <w:t xml:space="preserve">dei tipi di piattaforma di cui al primo </w:t>
      </w:r>
      <w:r w:rsidR="002E49F3" w:rsidRPr="00D936E9">
        <w:rPr>
          <w:rFonts w:ascii="Garamond" w:hAnsi="Garamond"/>
          <w:spacing w:val="3"/>
        </w:rPr>
        <w:t>paragrafo</w:t>
      </w:r>
      <w:r w:rsidRPr="00D936E9">
        <w:rPr>
          <w:rFonts w:ascii="Garamond" w:hAnsi="Garamond"/>
          <w:spacing w:val="3"/>
        </w:rPr>
        <w:t xml:space="preserve">, e proviamo a immaginare </w:t>
      </w:r>
      <w:r w:rsidRPr="00D936E9">
        <w:rPr>
          <w:rFonts w:ascii="Garamond" w:hAnsi="Garamond"/>
        </w:rPr>
        <w:t xml:space="preserve">a una piattaforma digitale che opera in uno Stato, attorno alla quale operano alcuni lavoratori che si occupano di attività di amministrazione contabile, svolgendo le mansioni in uno Stato </w:t>
      </w:r>
      <w:r w:rsidRPr="00D936E9">
        <w:rPr>
          <w:rFonts w:ascii="Garamond" w:hAnsi="Garamond"/>
        </w:rPr>
        <w:lastRenderedPageBreak/>
        <w:t xml:space="preserve">diverso, perfino nella propria abitazione all’interno di una stanza adibita a luogo di lavoro, magari insieme ad </w:t>
      </w:r>
      <w:r w:rsidR="00C3286B" w:rsidRPr="00D936E9">
        <w:rPr>
          <w:rFonts w:ascii="Garamond" w:hAnsi="Garamond"/>
        </w:rPr>
        <w:t>altri colleghi che, dalla propria stanza adibita a ufficio, lavorano, contemporaneamente</w:t>
      </w:r>
      <w:r w:rsidRPr="00D936E9">
        <w:rPr>
          <w:rFonts w:ascii="Garamond" w:hAnsi="Garamond"/>
        </w:rPr>
        <w:t xml:space="preserve">, per la medesima e per altre piattaforme committenti: viene spontaneo chiedersi (i) perché non si può ritenere quella stanza una unità produttiva digitale, </w:t>
      </w:r>
      <w:r w:rsidR="000F3CEB" w:rsidRPr="00D936E9">
        <w:rPr>
          <w:rFonts w:ascii="Garamond" w:hAnsi="Garamond"/>
        </w:rPr>
        <w:t xml:space="preserve">e, </w:t>
      </w:r>
      <w:r w:rsidRPr="00D936E9">
        <w:rPr>
          <w:rFonts w:ascii="Garamond" w:hAnsi="Garamond"/>
        </w:rPr>
        <w:t>conseguentemente, (ii) perché quei lavoratori non possono esercitare (individualmente e/o collettivamente) i diritti sindacali, qualora ovviamente siano da considerarsi lavoratori subordinati.</w:t>
      </w:r>
    </w:p>
    <w:p w14:paraId="080002BB" w14:textId="77777777" w:rsidR="003769A2" w:rsidRPr="00D936E9" w:rsidRDefault="003769A2" w:rsidP="003769A2">
      <w:pPr>
        <w:shd w:val="clear" w:color="auto" w:fill="FFFFFF"/>
        <w:spacing w:line="360" w:lineRule="auto"/>
        <w:jc w:val="both"/>
        <w:textAlignment w:val="baseline"/>
        <w:rPr>
          <w:rFonts w:ascii="Garamond" w:hAnsi="Garamond"/>
        </w:rPr>
      </w:pPr>
      <w:r w:rsidRPr="00D936E9">
        <w:rPr>
          <w:rFonts w:ascii="Garamond" w:hAnsi="Garamond"/>
        </w:rPr>
        <w:t>Ad entrambe le domande verrebbe da rispondere affermativamente, nel senso dell’individuazione anche nell’ambito del lavoro tramite piattaforme digitali (perfino quelle di tipo 3 e 4) di una unità produttiva, all’interno della quale i lavoratori possono, in ipotesi, costituire una RSA ex art. 19 e svolgere un’assemblea sindacale ex art. 22.</w:t>
      </w:r>
    </w:p>
    <w:p w14:paraId="037573F0" w14:textId="5638EC8B" w:rsidR="003769A2" w:rsidRPr="00D936E9" w:rsidRDefault="003769A2" w:rsidP="003769A2">
      <w:pPr>
        <w:shd w:val="clear" w:color="auto" w:fill="FFFFFF"/>
        <w:spacing w:line="360" w:lineRule="auto"/>
        <w:jc w:val="both"/>
        <w:textAlignment w:val="baseline"/>
        <w:rPr>
          <w:rFonts w:ascii="Garamond" w:hAnsi="Garamond"/>
        </w:rPr>
      </w:pPr>
      <w:r w:rsidRPr="00D936E9">
        <w:rPr>
          <w:rFonts w:ascii="Garamond" w:hAnsi="Garamond"/>
        </w:rPr>
        <w:t xml:space="preserve">Tuttavia, così facendo, ci si scontra con la nozione </w:t>
      </w:r>
      <w:r w:rsidR="00FF1150" w:rsidRPr="00D936E9">
        <w:rPr>
          <w:rFonts w:ascii="Garamond" w:hAnsi="Garamond"/>
        </w:rPr>
        <w:t xml:space="preserve">citata in precedenza </w:t>
      </w:r>
      <w:r w:rsidRPr="00D936E9">
        <w:rPr>
          <w:rFonts w:ascii="Garamond" w:hAnsi="Garamond"/>
        </w:rPr>
        <w:t>(</w:t>
      </w:r>
      <w:r w:rsidR="00126359" w:rsidRPr="00D936E9">
        <w:rPr>
          <w:rFonts w:ascii="Garamond" w:hAnsi="Garamond"/>
        </w:rPr>
        <w:t xml:space="preserve">che, a questo punto, possiamo ritenere </w:t>
      </w:r>
      <w:r w:rsidRPr="00D936E9">
        <w:rPr>
          <w:rFonts w:ascii="Garamond" w:hAnsi="Garamond"/>
        </w:rPr>
        <w:t>superata) di unità produttiva, che si fonda sul criterio di autonomia, sia in senso economico-strutturale, sia come risultato produttivo: in questo senso, l'unità produttiva è «</w:t>
      </w:r>
      <w:r w:rsidRPr="00D936E9">
        <w:rPr>
          <w:rFonts w:ascii="Garamond" w:hAnsi="Garamond"/>
          <w:i/>
          <w:iCs/>
        </w:rPr>
        <w:t>un'articolazione organizzativa (sede, stabilimento, ufficio, reparto) idonea a conseguire anche in parte, con autonomia amministrativa e funzionale, lo scopo del datore di lavoro</w:t>
      </w:r>
      <w:r w:rsidRPr="00D936E9">
        <w:rPr>
          <w:rStyle w:val="Rimandonotaapidipagina"/>
          <w:rFonts w:ascii="Garamond" w:hAnsi="Garamond"/>
        </w:rPr>
        <w:footnoteReference w:id="62"/>
      </w:r>
      <w:r w:rsidRPr="00D936E9">
        <w:rPr>
          <w:rFonts w:ascii="Garamond" w:hAnsi="Garamond"/>
        </w:rPr>
        <w:t>».</w:t>
      </w:r>
    </w:p>
    <w:p w14:paraId="4BED73E9" w14:textId="392A6614" w:rsidR="003769A2" w:rsidRPr="00D936E9" w:rsidRDefault="003769A2" w:rsidP="003769A2">
      <w:pPr>
        <w:shd w:val="clear" w:color="auto" w:fill="FFFFFF"/>
        <w:spacing w:line="360" w:lineRule="auto"/>
        <w:jc w:val="both"/>
        <w:textAlignment w:val="baseline"/>
        <w:rPr>
          <w:rFonts w:ascii="Garamond" w:hAnsi="Garamond"/>
        </w:rPr>
      </w:pPr>
      <w:r w:rsidRPr="00D936E9">
        <w:rPr>
          <w:rFonts w:ascii="Garamond" w:hAnsi="Garamond"/>
        </w:rPr>
        <w:t>Tale interpretazione, tuttavia, frutto anche dell’elaborazione della giurisprudenza costituzionale</w:t>
      </w:r>
      <w:r w:rsidRPr="00D936E9">
        <w:rPr>
          <w:rStyle w:val="Rimandonotaapidipagina"/>
          <w:rFonts w:ascii="Garamond" w:hAnsi="Garamond"/>
        </w:rPr>
        <w:footnoteReference w:id="63"/>
      </w:r>
      <w:r w:rsidRPr="00D936E9">
        <w:rPr>
          <w:rFonts w:ascii="Garamond" w:hAnsi="Garamond"/>
        </w:rPr>
        <w:t>, sebbene fosse adatt</w:t>
      </w:r>
      <w:r w:rsidR="00D32033" w:rsidRPr="00D936E9">
        <w:rPr>
          <w:rFonts w:ascii="Garamond" w:hAnsi="Garamond"/>
        </w:rPr>
        <w:t>a</w:t>
      </w:r>
      <w:r w:rsidRPr="00D936E9">
        <w:rPr>
          <w:rFonts w:ascii="Garamond" w:hAnsi="Garamond"/>
        </w:rPr>
        <w:t xml:space="preserve"> ai tempi in cui è stato scritto lo Statuto dei lavoratori, oggi risulta difficilmente applicabile a un’impresa gestita da un’organizzazione a tecnologia avanzata</w:t>
      </w:r>
      <w:r w:rsidRPr="00D936E9">
        <w:rPr>
          <w:rStyle w:val="Rimandonotaapidipagina"/>
          <w:rFonts w:ascii="Garamond" w:hAnsi="Garamond"/>
        </w:rPr>
        <w:footnoteReference w:id="64"/>
      </w:r>
      <w:r w:rsidRPr="00D936E9">
        <w:rPr>
          <w:rFonts w:ascii="Garamond" w:hAnsi="Garamond"/>
        </w:rPr>
        <w:t xml:space="preserve">, caratterizzata, dunque, da nuovi modelli organizzativi, da interazioni sempre più ibride tra lavoratori e macchine, da algoritmi gestiti da intelligenza artificiale, da luoghi di lavoro distribuiti su sedi differenti e sistemi operativi gestiti in </w:t>
      </w:r>
      <w:r w:rsidRPr="00D936E9">
        <w:rPr>
          <w:rFonts w:ascii="Garamond" w:hAnsi="Garamond"/>
          <w:i/>
          <w:iCs/>
        </w:rPr>
        <w:t>cloud computing</w:t>
      </w:r>
      <w:r w:rsidRPr="00D936E9">
        <w:rPr>
          <w:rFonts w:ascii="Garamond" w:hAnsi="Garamond"/>
        </w:rPr>
        <w:t>., macchine intelligente e lavoratori. Questa “messa in discussione” del concetto classico di unità produttiva è un aspetto così evidente, soprattutto nelle piattaforme digitali di lavoro, che sorprende l’immobilismo del legislatore, non solo italiano.</w:t>
      </w:r>
    </w:p>
    <w:p w14:paraId="6F84948C" w14:textId="77777777" w:rsidR="003769A2" w:rsidRPr="00D936E9" w:rsidRDefault="003769A2" w:rsidP="003769A2">
      <w:pPr>
        <w:shd w:val="clear" w:color="auto" w:fill="FFFFFF"/>
        <w:spacing w:line="360" w:lineRule="auto"/>
        <w:jc w:val="both"/>
        <w:textAlignment w:val="baseline"/>
        <w:rPr>
          <w:rFonts w:ascii="Garamond" w:hAnsi="Garamond"/>
        </w:rPr>
      </w:pPr>
      <w:r w:rsidRPr="00D936E9">
        <w:rPr>
          <w:rFonts w:ascii="Garamond" w:hAnsi="Garamond"/>
        </w:rPr>
        <w:t xml:space="preserve">In tale contesto, assai più liquido, dove la dinamica produttiva crea una sempre più interconnessa rete tra la piattaforma digitale, lavoratori (subordinati o autonomi/etero-organizzati), fornitori e clienti, con cui si instaura una relazione ancora più immediata e a cui si chiede un </w:t>
      </w:r>
      <w:r w:rsidRPr="00D936E9">
        <w:rPr>
          <w:rFonts w:ascii="Garamond" w:hAnsi="Garamond"/>
          <w:i/>
          <w:iCs/>
        </w:rPr>
        <w:t xml:space="preserve">feedback </w:t>
      </w:r>
      <w:r w:rsidRPr="00D936E9">
        <w:rPr>
          <w:rFonts w:ascii="Garamond" w:hAnsi="Garamond"/>
        </w:rPr>
        <w:t xml:space="preserve">che comporta, al medesimo tempo, una valutazione (controllo?) sui </w:t>
      </w:r>
      <w:proofErr w:type="spellStart"/>
      <w:r w:rsidRPr="00D936E9">
        <w:rPr>
          <w:rFonts w:ascii="Garamond" w:hAnsi="Garamond"/>
          <w:i/>
          <w:iCs/>
        </w:rPr>
        <w:t>platform</w:t>
      </w:r>
      <w:proofErr w:type="spellEnd"/>
      <w:r w:rsidRPr="00D936E9">
        <w:rPr>
          <w:rFonts w:ascii="Garamond" w:hAnsi="Garamond"/>
          <w:i/>
          <w:iCs/>
        </w:rPr>
        <w:t xml:space="preserve"> workers</w:t>
      </w:r>
      <w:r w:rsidRPr="00D936E9">
        <w:rPr>
          <w:rFonts w:ascii="Garamond" w:hAnsi="Garamond"/>
        </w:rPr>
        <w:t xml:space="preserve">, ossia figure professionali dislocate su vari paesi e diverse unità produttive digitali, si sono fatte avanti alcune proposte di soluzione del problema. Una di queste individua nel diritto statunitense, con il </w:t>
      </w:r>
      <w:r w:rsidRPr="00D936E9">
        <w:rPr>
          <w:rFonts w:ascii="Garamond" w:hAnsi="Garamond"/>
          <w:i/>
          <w:iCs/>
        </w:rPr>
        <w:t xml:space="preserve">National </w:t>
      </w:r>
      <w:proofErr w:type="spellStart"/>
      <w:r w:rsidRPr="00D936E9">
        <w:rPr>
          <w:rFonts w:ascii="Garamond" w:hAnsi="Garamond"/>
          <w:i/>
          <w:iCs/>
        </w:rPr>
        <w:t>Labor</w:t>
      </w:r>
      <w:proofErr w:type="spellEnd"/>
      <w:r w:rsidRPr="00D936E9">
        <w:rPr>
          <w:rFonts w:ascii="Garamond" w:hAnsi="Garamond"/>
          <w:i/>
          <w:iCs/>
        </w:rPr>
        <w:t xml:space="preserve"> Relations Act</w:t>
      </w:r>
      <w:r w:rsidRPr="00D936E9">
        <w:rPr>
          <w:rFonts w:ascii="Garamond" w:hAnsi="Garamond"/>
        </w:rPr>
        <w:t>, lo strumento con cui applicare alla disciplina sull’unità produttiva la nozione di «</w:t>
      </w:r>
      <w:r w:rsidRPr="00D936E9">
        <w:rPr>
          <w:rFonts w:ascii="Garamond" w:hAnsi="Garamond"/>
          <w:i/>
          <w:iCs/>
        </w:rPr>
        <w:t xml:space="preserve">appropriate </w:t>
      </w:r>
      <w:proofErr w:type="spellStart"/>
      <w:r w:rsidRPr="00D936E9">
        <w:rPr>
          <w:rFonts w:ascii="Garamond" w:hAnsi="Garamond"/>
          <w:i/>
          <w:iCs/>
        </w:rPr>
        <w:t>bargaining</w:t>
      </w:r>
      <w:proofErr w:type="spellEnd"/>
      <w:r w:rsidRPr="00D936E9">
        <w:rPr>
          <w:rFonts w:ascii="Garamond" w:hAnsi="Garamond"/>
          <w:i/>
          <w:iCs/>
        </w:rPr>
        <w:t xml:space="preserve"> </w:t>
      </w:r>
      <w:proofErr w:type="spellStart"/>
      <w:r w:rsidRPr="00D936E9">
        <w:rPr>
          <w:rFonts w:ascii="Garamond" w:hAnsi="Garamond"/>
          <w:i/>
          <w:iCs/>
        </w:rPr>
        <w:t>unit</w:t>
      </w:r>
      <w:proofErr w:type="spellEnd"/>
      <w:r w:rsidRPr="00D936E9">
        <w:rPr>
          <w:rFonts w:ascii="Garamond" w:hAnsi="Garamond"/>
        </w:rPr>
        <w:t>» intesa come «</w:t>
      </w:r>
      <w:proofErr w:type="spellStart"/>
      <w:r w:rsidRPr="00D936E9">
        <w:rPr>
          <w:rFonts w:ascii="Garamond" w:hAnsi="Garamond"/>
          <w:i/>
          <w:iCs/>
        </w:rPr>
        <w:t>sufficient</w:t>
      </w:r>
      <w:proofErr w:type="spellEnd"/>
      <w:r w:rsidRPr="00D936E9">
        <w:rPr>
          <w:rFonts w:ascii="Garamond" w:hAnsi="Garamond"/>
          <w:i/>
          <w:iCs/>
        </w:rPr>
        <w:t xml:space="preserve"> community of </w:t>
      </w:r>
      <w:proofErr w:type="spellStart"/>
      <w:r w:rsidRPr="00D936E9">
        <w:rPr>
          <w:rFonts w:ascii="Garamond" w:hAnsi="Garamond"/>
          <w:i/>
          <w:iCs/>
        </w:rPr>
        <w:t>interests</w:t>
      </w:r>
      <w:proofErr w:type="spellEnd"/>
      <w:r w:rsidRPr="00D936E9">
        <w:rPr>
          <w:rStyle w:val="Rimandonotaapidipagina"/>
          <w:rFonts w:ascii="Garamond" w:hAnsi="Garamond"/>
        </w:rPr>
        <w:footnoteReference w:id="65"/>
      </w:r>
      <w:r w:rsidRPr="00D936E9">
        <w:rPr>
          <w:rFonts w:ascii="Garamond" w:hAnsi="Garamond"/>
        </w:rPr>
        <w:t xml:space="preserve">»: ridefinendo, cioè, il concetto di unità produttiva verso forme digitali di dimensione spaziale </w:t>
      </w:r>
      <w:r w:rsidRPr="00D936E9">
        <w:rPr>
          <w:rFonts w:ascii="Garamond" w:hAnsi="Garamond"/>
        </w:rPr>
        <w:lastRenderedPageBreak/>
        <w:t>del lavoro, si potrebbe dar vita al quadro mediante cui si possono «</w:t>
      </w:r>
      <w:r w:rsidRPr="00D936E9">
        <w:rPr>
          <w:rFonts w:ascii="Garamond" w:hAnsi="Garamond"/>
          <w:i/>
          <w:iCs/>
        </w:rPr>
        <w:t xml:space="preserve">esercitare, da una parte, diritti sindacali, individuali e collettivi, e, dall’altra, permettere l’avvio di negoziati aziendali, avendo considerato l’unità produttiva digitale una </w:t>
      </w:r>
      <w:proofErr w:type="spellStart"/>
      <w:r w:rsidRPr="00D936E9">
        <w:rPr>
          <w:rFonts w:ascii="Garamond" w:hAnsi="Garamond"/>
        </w:rPr>
        <w:t>bargaining</w:t>
      </w:r>
      <w:proofErr w:type="spellEnd"/>
      <w:r w:rsidRPr="00D936E9">
        <w:rPr>
          <w:rFonts w:ascii="Garamond" w:hAnsi="Garamond"/>
        </w:rPr>
        <w:t xml:space="preserve"> </w:t>
      </w:r>
      <w:proofErr w:type="spellStart"/>
      <w:r w:rsidRPr="00D936E9">
        <w:rPr>
          <w:rFonts w:ascii="Garamond" w:hAnsi="Garamond"/>
        </w:rPr>
        <w:t>unit</w:t>
      </w:r>
      <w:proofErr w:type="spellEnd"/>
      <w:r w:rsidRPr="00D936E9">
        <w:rPr>
          <w:rFonts w:ascii="Garamond" w:hAnsi="Garamond"/>
          <w:i/>
          <w:iCs/>
        </w:rPr>
        <w:t xml:space="preserve"> ex artt. 35 e 19 l. 20 maggio 1970, n. 300</w:t>
      </w:r>
      <w:r w:rsidRPr="00D936E9">
        <w:rPr>
          <w:rStyle w:val="Rimandonotaapidipagina"/>
          <w:rFonts w:ascii="Garamond" w:hAnsi="Garamond"/>
        </w:rPr>
        <w:footnoteReference w:id="66"/>
      </w:r>
      <w:r w:rsidRPr="00D936E9">
        <w:rPr>
          <w:rFonts w:ascii="Garamond" w:hAnsi="Garamond"/>
        </w:rPr>
        <w:t>».</w:t>
      </w:r>
    </w:p>
    <w:p w14:paraId="4C43B612" w14:textId="36F7D031" w:rsidR="003769A2" w:rsidRPr="00D936E9" w:rsidRDefault="003769A2" w:rsidP="003769A2">
      <w:pPr>
        <w:shd w:val="clear" w:color="auto" w:fill="FFFFFF"/>
        <w:spacing w:line="360" w:lineRule="auto"/>
        <w:jc w:val="both"/>
        <w:textAlignment w:val="baseline"/>
        <w:rPr>
          <w:rFonts w:ascii="Garamond" w:hAnsi="Garamond" w:cs="Arial"/>
        </w:rPr>
      </w:pPr>
      <w:r w:rsidRPr="00D936E9">
        <w:rPr>
          <w:rFonts w:ascii="Garamond" w:hAnsi="Garamond" w:cs="Arial"/>
        </w:rPr>
        <w:t>Ciò che risulta, in ogni caso, imprescindibile è l’estensione nell'unità produttiva digitale della rappresentanza dei lavoratori, intesa come sufficiente comunità di interessi. Le piattaforme di lavoro, in certi casi, offrono alcune forme di canali di comunicazione per i lavoratori che vi operano, in termini di accesso alle informazioni e di tutela dei diritti. Tuttavia, la comunicazione tra i lavoratori delle piattaforme risulta raramente possibile. E questo proprio in ragione dell’aumento delle unità produttive in senso digitale. Inoltre, non vi è facile accesso a questi canali per gli attori esterni (sindacati) o di altre forme di rappresentanza degli interessi.</w:t>
      </w:r>
      <w:r w:rsidR="004E47D8" w:rsidRPr="00D936E9">
        <w:rPr>
          <w:rFonts w:ascii="Garamond" w:hAnsi="Garamond" w:cs="Arial"/>
        </w:rPr>
        <w:t xml:space="preserve"> Alcuni autori vedono opportunità per il sindacato nell’utilizzo di strumenti processuali utili a rilanciare in modo più incisivo l’attività sindacale anche in materia di </w:t>
      </w:r>
      <w:proofErr w:type="spellStart"/>
      <w:r w:rsidR="004E47D8" w:rsidRPr="00D936E9">
        <w:rPr>
          <w:rFonts w:ascii="Garamond" w:hAnsi="Garamond" w:cs="Arial"/>
          <w:i/>
          <w:iCs/>
        </w:rPr>
        <w:t>algorithmic</w:t>
      </w:r>
      <w:proofErr w:type="spellEnd"/>
      <w:r w:rsidR="004E47D8" w:rsidRPr="00D936E9">
        <w:rPr>
          <w:rFonts w:ascii="Garamond" w:hAnsi="Garamond" w:cs="Arial"/>
          <w:i/>
          <w:iCs/>
        </w:rPr>
        <w:t xml:space="preserve"> management</w:t>
      </w:r>
      <w:r w:rsidR="004E47D8" w:rsidRPr="00D936E9">
        <w:rPr>
          <w:rStyle w:val="Rimandonotaapidipagina"/>
          <w:rFonts w:ascii="Garamond" w:hAnsi="Garamond" w:cs="Arial"/>
          <w:i/>
          <w:iCs/>
        </w:rPr>
        <w:footnoteReference w:id="67"/>
      </w:r>
      <w:r w:rsidR="004E47D8" w:rsidRPr="00D936E9">
        <w:rPr>
          <w:rFonts w:ascii="Garamond" w:hAnsi="Garamond" w:cs="Arial"/>
        </w:rPr>
        <w:t xml:space="preserve">. </w:t>
      </w:r>
      <w:r w:rsidRPr="00D936E9">
        <w:rPr>
          <w:rFonts w:ascii="Garamond" w:hAnsi="Garamond" w:cs="Arial"/>
        </w:rPr>
        <w:t xml:space="preserve">In questo senso, la </w:t>
      </w:r>
      <w:r w:rsidR="00D45D21" w:rsidRPr="00D936E9">
        <w:rPr>
          <w:rFonts w:ascii="Garamond" w:hAnsi="Garamond"/>
        </w:rPr>
        <w:t>Proposta di direttiva UE</w:t>
      </w:r>
      <w:r w:rsidR="00D45D21" w:rsidRPr="00D936E9">
        <w:rPr>
          <w:rFonts w:ascii="Garamond" w:hAnsi="Garamond" w:cs="Arial"/>
        </w:rPr>
        <w:t xml:space="preserve"> </w:t>
      </w:r>
      <w:r w:rsidRPr="00D936E9">
        <w:rPr>
          <w:rFonts w:ascii="Garamond" w:hAnsi="Garamond" w:cs="Arial"/>
        </w:rPr>
        <w:t xml:space="preserve">sul lavoro tramite piattaforme digitali non ha pienamente risolto tali situazioni, oltre al fatto che diverse associazioni sindacali di molti Stati non sono autorizzate a negoziare contratti collettivi per lavoratori autonomi e a fissare livelli minimi retributivi a livello collettivo. </w:t>
      </w:r>
    </w:p>
    <w:p w14:paraId="04F39EAB" w14:textId="78B91B76" w:rsidR="00C474A3" w:rsidRPr="00D936E9" w:rsidRDefault="003769A2" w:rsidP="003769A2">
      <w:pPr>
        <w:spacing w:line="360" w:lineRule="auto"/>
        <w:jc w:val="both"/>
        <w:rPr>
          <w:rFonts w:ascii="Garamond" w:hAnsi="Garamond"/>
        </w:rPr>
      </w:pPr>
      <w:r w:rsidRPr="00D936E9">
        <w:rPr>
          <w:rFonts w:ascii="Garamond" w:hAnsi="Garamond" w:cs="Arial"/>
        </w:rPr>
        <w:t>Solo rafforzando la contrattazione collettiva è possibile favorire l’esercizio dei diritti di cui al Titolo III dello Statuto dei lavoratori anche nelle unità produttive digitali, che, in questo modo, acquisirebbero un più compiuto status giuridico nell’ambito della fabbrica digitale e del lavoro su piattaforma</w:t>
      </w:r>
      <w:r w:rsidR="00250EDE" w:rsidRPr="00D936E9">
        <w:rPr>
          <w:rStyle w:val="Rimandonotaapidipagina"/>
          <w:rFonts w:ascii="Garamond" w:hAnsi="Garamond" w:cs="Arial"/>
        </w:rPr>
        <w:footnoteReference w:id="68"/>
      </w:r>
      <w:r w:rsidRPr="00D936E9">
        <w:rPr>
          <w:rFonts w:ascii="Garamond" w:hAnsi="Garamond" w:cs="Arial"/>
        </w:rPr>
        <w:t>.</w:t>
      </w:r>
    </w:p>
    <w:p w14:paraId="321D57A7" w14:textId="77777777" w:rsidR="003769A2" w:rsidRPr="00D936E9" w:rsidRDefault="003769A2" w:rsidP="003E05B6">
      <w:pPr>
        <w:spacing w:line="360" w:lineRule="auto"/>
        <w:jc w:val="both"/>
        <w:rPr>
          <w:rFonts w:ascii="Garamond" w:hAnsi="Garamond"/>
        </w:rPr>
      </w:pPr>
    </w:p>
    <w:p w14:paraId="5CE0D192" w14:textId="202FEBB3" w:rsidR="0019667B" w:rsidRPr="00D936E9" w:rsidRDefault="00606C79" w:rsidP="0019667B">
      <w:pPr>
        <w:numPr>
          <w:ilvl w:val="0"/>
          <w:numId w:val="9"/>
        </w:numPr>
        <w:spacing w:line="360" w:lineRule="auto"/>
        <w:jc w:val="both"/>
        <w:rPr>
          <w:rFonts w:ascii="Garamond" w:hAnsi="Garamond"/>
          <w:b/>
          <w:bCs/>
        </w:rPr>
      </w:pPr>
      <w:r w:rsidRPr="00D936E9">
        <w:rPr>
          <w:rFonts w:ascii="Garamond" w:hAnsi="Garamond"/>
          <w:b/>
          <w:bCs/>
        </w:rPr>
        <w:t>Unità produttiva, rappresentanza sindacale e procedimentalizzazione dei poteri datoriali: cambiare, per tenerli uniti</w:t>
      </w:r>
      <w:r w:rsidR="00727B03" w:rsidRPr="00D936E9">
        <w:rPr>
          <w:rFonts w:ascii="Garamond" w:hAnsi="Garamond"/>
          <w:b/>
          <w:bCs/>
        </w:rPr>
        <w:t>.</w:t>
      </w:r>
      <w:r w:rsidR="002F0E82" w:rsidRPr="00D936E9">
        <w:rPr>
          <w:rFonts w:ascii="Garamond" w:hAnsi="Garamond"/>
          <w:b/>
          <w:bCs/>
        </w:rPr>
        <w:t xml:space="preserve"> </w:t>
      </w:r>
    </w:p>
    <w:p w14:paraId="3046B22E" w14:textId="3A60F730" w:rsidR="00A94ED9" w:rsidRPr="00D936E9" w:rsidRDefault="00A94ED9" w:rsidP="00A94ED9">
      <w:pPr>
        <w:pStyle w:val="NormaleWeb"/>
        <w:spacing w:before="0" w:beforeAutospacing="0" w:after="0" w:afterAutospacing="0" w:line="360" w:lineRule="auto"/>
        <w:jc w:val="both"/>
        <w:rPr>
          <w:rFonts w:ascii="Garamond" w:hAnsi="Garamond"/>
        </w:rPr>
      </w:pPr>
      <w:r w:rsidRPr="00D936E9">
        <w:rPr>
          <w:rFonts w:ascii="Garamond" w:hAnsi="Garamond"/>
        </w:rPr>
        <w:t>Si diceva in premessa che il giurista del lavoro non potesse fare altro che piegare la sua analisi alle tendenze che si innestano nella realtà dei rapporti giuridici ed economici. E ciò è ancora più evidente in relazione alle problematiche accennate nei capitoli precedenti.</w:t>
      </w:r>
      <w:r w:rsidR="0085055B" w:rsidRPr="00D936E9">
        <w:rPr>
          <w:rFonts w:ascii="Garamond" w:hAnsi="Garamond"/>
        </w:rPr>
        <w:t xml:space="preserve"> È (forse) super</w:t>
      </w:r>
      <w:r w:rsidR="00256623" w:rsidRPr="00D936E9">
        <w:rPr>
          <w:rFonts w:ascii="Garamond" w:hAnsi="Garamond"/>
        </w:rPr>
        <w:t xml:space="preserve">fluo continuare a discutere di lavoro subordinato e lavoro autonomo, di soglie dimensionali per l’applicazione della disciplina sui licenziamenti </w:t>
      </w:r>
      <w:r w:rsidR="00256623" w:rsidRPr="00D936E9">
        <w:rPr>
          <w:rFonts w:ascii="Garamond" w:hAnsi="Garamond"/>
        </w:rPr>
        <w:lastRenderedPageBreak/>
        <w:t xml:space="preserve">o delle norme in materia di rappresentanza, quando le tendenze in atto vertono su caratteristiche completamente diverse dei rapporti di lavoro. </w:t>
      </w:r>
    </w:p>
    <w:p w14:paraId="232E5512" w14:textId="302B6D2E" w:rsidR="00A94ED9" w:rsidRPr="00D936E9" w:rsidRDefault="00A94ED9" w:rsidP="00A94ED9">
      <w:pPr>
        <w:pStyle w:val="NormaleWeb"/>
        <w:spacing w:before="0" w:beforeAutospacing="0" w:after="0" w:afterAutospacing="0" w:line="360" w:lineRule="auto"/>
        <w:jc w:val="both"/>
        <w:rPr>
          <w:rFonts w:ascii="Garamond" w:hAnsi="Garamond" w:cs="Arial"/>
        </w:rPr>
      </w:pPr>
      <w:r w:rsidRPr="00D936E9">
        <w:rPr>
          <w:rFonts w:ascii="Garamond" w:hAnsi="Garamond"/>
        </w:rPr>
        <w:t>Occorre, dunque, ridefinire il concetto di unità produttiva, modificando l’art. 35, l. 20 maggio 1970, n. 300: tale articolo, infatti, non basta più a ricomprendere le nuove dimensioni spaziali di svolgimento della prestazione di lavoro, soprattutto di quello tramite piattaforma, e va pertanto chiarito che «</w:t>
      </w:r>
      <w:bookmarkStart w:id="9" w:name="art35"/>
      <w:r w:rsidRPr="00D936E9">
        <w:rPr>
          <w:rFonts w:ascii="Garamond" w:hAnsi="Garamond"/>
          <w:i/>
          <w:iCs/>
        </w:rPr>
        <w:t>ciascuna sede, stabilimento, filiale, ufficio o reparto autonomo che occupa più di quindici dipendenti</w:t>
      </w:r>
      <w:bookmarkEnd w:id="9"/>
      <w:r w:rsidRPr="00D936E9">
        <w:rPr>
          <w:rFonts w:ascii="Garamond" w:hAnsi="Garamond"/>
        </w:rPr>
        <w:t xml:space="preserve">» può essere fisica oppure digitale. Ciò non basta, però. È, altresì, </w:t>
      </w:r>
      <w:r w:rsidRPr="00D936E9">
        <w:rPr>
          <w:rFonts w:ascii="Garamond" w:hAnsi="Garamond" w:cs="Arial"/>
        </w:rPr>
        <w:t>essenziale imporre alle imprese di estendere la rappresentanza dei lavoratori anche nell’ambito di tali unità produttive digitali</w:t>
      </w:r>
      <w:r w:rsidR="00EE7D06" w:rsidRPr="00D936E9">
        <w:rPr>
          <w:rStyle w:val="Rimandonotaapidipagina"/>
          <w:rFonts w:ascii="Garamond" w:hAnsi="Garamond" w:cs="Arial"/>
        </w:rPr>
        <w:footnoteReference w:id="69"/>
      </w:r>
      <w:r w:rsidRPr="00D936E9">
        <w:rPr>
          <w:rFonts w:ascii="Garamond" w:hAnsi="Garamond" w:cs="Arial"/>
        </w:rPr>
        <w:t>, così da consentire l’esercizio dei diritti di cui al Titolo III</w:t>
      </w:r>
      <w:r w:rsidR="00C43D9C" w:rsidRPr="00D936E9">
        <w:rPr>
          <w:rFonts w:ascii="Garamond" w:hAnsi="Garamond" w:cs="Arial"/>
        </w:rPr>
        <w:t xml:space="preserve"> dello </w:t>
      </w:r>
      <w:r w:rsidRPr="00D936E9">
        <w:rPr>
          <w:rFonts w:ascii="Garamond" w:hAnsi="Garamond" w:cs="Arial"/>
        </w:rPr>
        <w:t>Stat</w:t>
      </w:r>
      <w:r w:rsidR="00C43D9C" w:rsidRPr="00D936E9">
        <w:rPr>
          <w:rFonts w:ascii="Garamond" w:hAnsi="Garamond" w:cs="Arial"/>
        </w:rPr>
        <w:t>uto dei</w:t>
      </w:r>
      <w:r w:rsidRPr="00D936E9">
        <w:rPr>
          <w:rFonts w:ascii="Garamond" w:hAnsi="Garamond" w:cs="Arial"/>
        </w:rPr>
        <w:t xml:space="preserve"> Lav</w:t>
      </w:r>
      <w:r w:rsidR="00C43D9C" w:rsidRPr="00D936E9">
        <w:rPr>
          <w:rFonts w:ascii="Garamond" w:hAnsi="Garamond" w:cs="Arial"/>
        </w:rPr>
        <w:t>oratori</w:t>
      </w:r>
      <w:r w:rsidRPr="00D936E9">
        <w:rPr>
          <w:rFonts w:ascii="Garamond" w:hAnsi="Garamond" w:cs="Arial"/>
        </w:rPr>
        <w:t>, avviando la contrattazione collettiva anche per conto dei lavoratori che operano nelle piattaforme di tipo 3 e 4, costituite spesso da lavoratori autonomi economicamente dipendenti e/o etero-organizzati.</w:t>
      </w:r>
    </w:p>
    <w:p w14:paraId="43825C85" w14:textId="77777777" w:rsidR="00A94ED9" w:rsidRPr="00D936E9" w:rsidRDefault="00A94ED9" w:rsidP="00A94ED9">
      <w:pPr>
        <w:spacing w:line="360" w:lineRule="auto"/>
        <w:jc w:val="both"/>
        <w:rPr>
          <w:rFonts w:ascii="Garamond" w:hAnsi="Garamond"/>
        </w:rPr>
      </w:pPr>
      <w:r w:rsidRPr="00D936E9">
        <w:rPr>
          <w:rFonts w:ascii="Garamond" w:hAnsi="Garamond"/>
        </w:rPr>
        <w:t xml:space="preserve">È un tema molto delicato, ed inevitabilmente connesso al problema della giurisdizione applicabile. </w:t>
      </w:r>
      <w:proofErr w:type="gramStart"/>
      <w:r w:rsidRPr="00D936E9">
        <w:rPr>
          <w:rFonts w:ascii="Garamond" w:hAnsi="Garamond"/>
        </w:rPr>
        <w:t>In precedenza</w:t>
      </w:r>
      <w:proofErr w:type="gramEnd"/>
      <w:r w:rsidRPr="00D936E9">
        <w:rPr>
          <w:rFonts w:ascii="Garamond" w:hAnsi="Garamond"/>
        </w:rPr>
        <w:t xml:space="preserve"> ci si è già posti il seguente quesito: se – estremizzando – si potesse considerare unità produttiva un lavoratore con un pc in un paese remoto collegato alla piattaforma digitale di lavoro che ha sede altrove, quale giurisdizione si applica? E quale tutela economica si appronta al lavoratore? </w:t>
      </w:r>
    </w:p>
    <w:p w14:paraId="7B243101" w14:textId="77777777" w:rsidR="00A94ED9" w:rsidRPr="00D936E9" w:rsidRDefault="00A94ED9" w:rsidP="00A94ED9">
      <w:pPr>
        <w:spacing w:line="360" w:lineRule="auto"/>
        <w:jc w:val="both"/>
        <w:rPr>
          <w:rFonts w:ascii="Garamond" w:hAnsi="Garamond"/>
        </w:rPr>
      </w:pPr>
      <w:r w:rsidRPr="00D936E9">
        <w:rPr>
          <w:rFonts w:ascii="Garamond" w:hAnsi="Garamond"/>
        </w:rPr>
        <w:t xml:space="preserve">La regolamentazione del lavoro tramite piattaforma digitale costituisce un compito assai impegnativo nell'attuale panorama </w:t>
      </w:r>
      <w:proofErr w:type="gramStart"/>
      <w:r w:rsidRPr="00D936E9">
        <w:rPr>
          <w:rFonts w:ascii="Garamond" w:hAnsi="Garamond"/>
        </w:rPr>
        <w:t>socio-economico</w:t>
      </w:r>
      <w:proofErr w:type="gramEnd"/>
      <w:r w:rsidRPr="00D936E9">
        <w:rPr>
          <w:rFonts w:ascii="Garamond" w:hAnsi="Garamond"/>
        </w:rPr>
        <w:t xml:space="preserve">. Date le caratteristiche di tale lavoro, compreso il fatto che le piattaforme sono situate in paesi diversi da dove l’operatore svolge effettivamente i suoi compiti, i legislatori hanno dimostrato di essere cauti nell'introdurre norme specifiche applicabili esclusivamente ai </w:t>
      </w:r>
      <w:proofErr w:type="spellStart"/>
      <w:r w:rsidRPr="00D936E9">
        <w:rPr>
          <w:rFonts w:ascii="Garamond" w:hAnsi="Garamond"/>
          <w:i/>
          <w:iCs/>
        </w:rPr>
        <w:t>platform</w:t>
      </w:r>
      <w:proofErr w:type="spellEnd"/>
      <w:r w:rsidRPr="00D936E9">
        <w:rPr>
          <w:rFonts w:ascii="Garamond" w:hAnsi="Garamond"/>
          <w:i/>
          <w:iCs/>
        </w:rPr>
        <w:t xml:space="preserve"> workers</w:t>
      </w:r>
      <w:r w:rsidRPr="00D936E9">
        <w:rPr>
          <w:rFonts w:ascii="Garamond" w:hAnsi="Garamond"/>
        </w:rPr>
        <w:t>. I sistemi giuridici nazionali, infatti, a seconda di quanto sia diffuso il lavoro di piattaforma e di quanto sia adattabile la regolamentazione del lavoro, hanno risposto principalmente e più efficacemente attraverso la giurisprudenza alle esigenze emergenti dal lavoro tramite piattaforma. Ma il nodo vero da sciogliere riguarda la giurisdizione – e, pertanto, la tutela – applicabile nell’ambito della transnazionalità dei rapporti. E ciò ha, ovviamente, riflessi per quanto riguarda i sistemi di sicurezza sociale, la rappresentanza sindacale e i livelli retributivi.</w:t>
      </w:r>
    </w:p>
    <w:p w14:paraId="3678F9A3" w14:textId="1FDC8388" w:rsidR="00A94ED9" w:rsidRPr="00D936E9" w:rsidRDefault="00A94ED9" w:rsidP="00A94ED9">
      <w:pPr>
        <w:spacing w:line="360" w:lineRule="auto"/>
        <w:jc w:val="both"/>
        <w:rPr>
          <w:rFonts w:ascii="Garamond" w:hAnsi="Garamond"/>
        </w:rPr>
      </w:pPr>
      <w:r w:rsidRPr="00D936E9">
        <w:rPr>
          <w:rFonts w:ascii="Garamond" w:hAnsi="Garamond"/>
        </w:rPr>
        <w:t xml:space="preserve">Per questi motivi, i servizi e gli accordi giuridici relativi al lavoro tramite piattaforme digitali </w:t>
      </w:r>
      <w:r w:rsidR="00D3193C" w:rsidRPr="00D936E9">
        <w:rPr>
          <w:rFonts w:ascii="Garamond" w:hAnsi="Garamond"/>
        </w:rPr>
        <w:t>potrebbero</w:t>
      </w:r>
      <w:r w:rsidRPr="00D936E9">
        <w:rPr>
          <w:rFonts w:ascii="Garamond" w:hAnsi="Garamond"/>
        </w:rPr>
        <w:t xml:space="preserve"> applicare la legislazione in conformità agli articoli 8 («</w:t>
      </w:r>
      <w:r w:rsidRPr="00D936E9">
        <w:rPr>
          <w:rFonts w:ascii="Garamond" w:hAnsi="Garamond"/>
          <w:i/>
          <w:iCs/>
        </w:rPr>
        <w:t>Contratti individuali di lavoro</w:t>
      </w:r>
      <w:r w:rsidRPr="00D936E9">
        <w:rPr>
          <w:rFonts w:ascii="Garamond" w:hAnsi="Garamond"/>
        </w:rPr>
        <w:t>») e 9 («</w:t>
      </w:r>
      <w:r w:rsidRPr="00D936E9">
        <w:rPr>
          <w:rFonts w:ascii="Garamond" w:hAnsi="Garamond"/>
          <w:i/>
          <w:iCs/>
        </w:rPr>
        <w:t>Norme di applicazione necessaria</w:t>
      </w:r>
      <w:r w:rsidRPr="00D936E9">
        <w:rPr>
          <w:rFonts w:ascii="Garamond" w:hAnsi="Garamond"/>
        </w:rPr>
        <w:t>») del regolamento (CE) n. 593/2008</w:t>
      </w:r>
      <w:r w:rsidRPr="00D936E9">
        <w:rPr>
          <w:rStyle w:val="Rimandonotaapidipagina"/>
          <w:rFonts w:ascii="Garamond" w:hAnsi="Garamond"/>
        </w:rPr>
        <w:footnoteReference w:id="70"/>
      </w:r>
      <w:r w:rsidRPr="00D936E9">
        <w:rPr>
          <w:rFonts w:ascii="Garamond" w:hAnsi="Garamond"/>
        </w:rPr>
        <w:t xml:space="preserve"> sulla legge applicabile alle obbligazioni contrattuali (Roma I) e, in ogni caso, i regimi giuridici nazionali derivanti dalla direttiva UE 2019/1152</w:t>
      </w:r>
      <w:r w:rsidRPr="00D936E9">
        <w:rPr>
          <w:rStyle w:val="Rimandonotaapidipagina"/>
          <w:rFonts w:ascii="Garamond" w:hAnsi="Garamond"/>
        </w:rPr>
        <w:footnoteReference w:id="71"/>
      </w:r>
      <w:r w:rsidRPr="00D936E9">
        <w:rPr>
          <w:rFonts w:ascii="Garamond" w:hAnsi="Garamond"/>
        </w:rPr>
        <w:t xml:space="preserve"> sulle condizioni di lavoro trasparenti e prevedibili nell'Unione europea. I termini e le condizioni del </w:t>
      </w:r>
      <w:r w:rsidRPr="00D936E9">
        <w:rPr>
          <w:rFonts w:ascii="Garamond" w:hAnsi="Garamond"/>
        </w:rPr>
        <w:lastRenderedPageBreak/>
        <w:t>servizio per chi opera su piattaforma e per i clienti/fornitori dovrebbero anche rendere esplicito il settore specifico a cui appartengono le attività svolte attraverso la piattaforma. Ciò faciliterebbe: (i) l'individuazione dei contratti collettivi nazionali di lavoro settoriali; (ii) l'individuazione delle normative nazionali relative a specifici settori professionali o regolamenti di organismi/associazioni professionali (ove presenti).</w:t>
      </w:r>
    </w:p>
    <w:p w14:paraId="5A0DA8DF" w14:textId="77777777" w:rsidR="00A94ED9" w:rsidRPr="00D936E9" w:rsidRDefault="00A94ED9" w:rsidP="00A94ED9">
      <w:pPr>
        <w:spacing w:line="360" w:lineRule="auto"/>
        <w:jc w:val="both"/>
        <w:rPr>
          <w:rFonts w:ascii="Garamond" w:hAnsi="Garamond"/>
        </w:rPr>
      </w:pPr>
      <w:r w:rsidRPr="00D936E9">
        <w:rPr>
          <w:rFonts w:ascii="Garamond" w:hAnsi="Garamond"/>
        </w:rPr>
        <w:t>Un tentativo degno di nota è l’accordo quadro sulla digitalizzazione («</w:t>
      </w:r>
      <w:proofErr w:type="spellStart"/>
      <w:r w:rsidRPr="00D936E9">
        <w:rPr>
          <w:rFonts w:ascii="Garamond" w:hAnsi="Garamond"/>
          <w:i/>
          <w:iCs/>
        </w:rPr>
        <w:t>European</w:t>
      </w:r>
      <w:proofErr w:type="spellEnd"/>
      <w:r w:rsidRPr="00D936E9">
        <w:rPr>
          <w:rFonts w:ascii="Garamond" w:hAnsi="Garamond"/>
          <w:i/>
          <w:iCs/>
        </w:rPr>
        <w:t xml:space="preserve"> Social Partners Framework Agreement on </w:t>
      </w:r>
      <w:proofErr w:type="spellStart"/>
      <w:r w:rsidRPr="00D936E9">
        <w:rPr>
          <w:rFonts w:ascii="Garamond" w:hAnsi="Garamond"/>
          <w:i/>
          <w:iCs/>
        </w:rPr>
        <w:t>Digitalisation</w:t>
      </w:r>
      <w:proofErr w:type="spellEnd"/>
      <w:r w:rsidRPr="00D936E9">
        <w:rPr>
          <w:rFonts w:ascii="Garamond" w:hAnsi="Garamond"/>
        </w:rPr>
        <w:t>») sottoscritto il 22 giugno 2020 tra l’ETUC (</w:t>
      </w:r>
      <w:proofErr w:type="spellStart"/>
      <w:r w:rsidRPr="00D936E9">
        <w:rPr>
          <w:rFonts w:ascii="Garamond" w:hAnsi="Garamond"/>
        </w:rPr>
        <w:t>European</w:t>
      </w:r>
      <w:proofErr w:type="spellEnd"/>
      <w:r w:rsidRPr="00D936E9">
        <w:rPr>
          <w:rFonts w:ascii="Garamond" w:hAnsi="Garamond"/>
        </w:rPr>
        <w:t xml:space="preserve"> Trade Union </w:t>
      </w:r>
      <w:proofErr w:type="spellStart"/>
      <w:r w:rsidRPr="00D936E9">
        <w:rPr>
          <w:rFonts w:ascii="Garamond" w:hAnsi="Garamond"/>
        </w:rPr>
        <w:t>Confederation</w:t>
      </w:r>
      <w:proofErr w:type="spellEnd"/>
      <w:r w:rsidRPr="00D936E9">
        <w:rPr>
          <w:rFonts w:ascii="Garamond" w:hAnsi="Garamond"/>
        </w:rPr>
        <w:t>) e le organizzazioni datoriali a livello europeo (</w:t>
      </w:r>
      <w:proofErr w:type="spellStart"/>
      <w:r w:rsidRPr="00D936E9">
        <w:rPr>
          <w:rFonts w:ascii="Garamond" w:hAnsi="Garamond"/>
        </w:rPr>
        <w:t>Businesseurope</w:t>
      </w:r>
      <w:proofErr w:type="spellEnd"/>
      <w:r w:rsidRPr="00D936E9">
        <w:rPr>
          <w:rFonts w:ascii="Garamond" w:hAnsi="Garamond"/>
        </w:rPr>
        <w:t xml:space="preserve">, </w:t>
      </w:r>
      <w:proofErr w:type="spellStart"/>
      <w:r w:rsidRPr="00D936E9">
        <w:rPr>
          <w:rFonts w:ascii="Garamond" w:hAnsi="Garamond"/>
        </w:rPr>
        <w:t>Ceep</w:t>
      </w:r>
      <w:proofErr w:type="spellEnd"/>
      <w:r w:rsidRPr="00D936E9">
        <w:rPr>
          <w:rFonts w:ascii="Garamond" w:hAnsi="Garamond"/>
        </w:rPr>
        <w:t>, Sme United). Le parti sociali europee hanno condiviso l’obiettivo di governare la transizione digitale del mondo del lavoro, intervenendo con uno strumento interessante, ossia procedimentalizzando i poteri del datore di lavoro, in modo da valorizzare al tempo stesso le iniziative e le pratiche di contrattazione collettiva esistenti</w:t>
      </w:r>
      <w:r w:rsidRPr="00D936E9">
        <w:rPr>
          <w:rFonts w:ascii="Garamond" w:hAnsi="Garamond"/>
          <w:vertAlign w:val="superscript"/>
        </w:rPr>
        <w:footnoteReference w:id="72"/>
      </w:r>
      <w:r w:rsidRPr="00D936E9">
        <w:rPr>
          <w:rFonts w:ascii="Garamond" w:hAnsi="Garamond"/>
        </w:rPr>
        <w:t>. Si prescrive, cioè, un approccio metodologico per comprendere degli effetti della digitalizzazione, che contempli la professionalità e la formazione dei lavoratori, la dimensione oraria, la conciliazione vita/lavoro, i controlli sulla prestazione e le relazioni di lavoro</w:t>
      </w:r>
      <w:r w:rsidRPr="00D936E9">
        <w:rPr>
          <w:rFonts w:ascii="Garamond" w:hAnsi="Garamond"/>
          <w:vertAlign w:val="superscript"/>
        </w:rPr>
        <w:footnoteReference w:id="73"/>
      </w:r>
      <w:r w:rsidRPr="00D936E9">
        <w:rPr>
          <w:rFonts w:ascii="Garamond" w:hAnsi="Garamond"/>
        </w:rPr>
        <w:t>.  In questo senso, il processo deve prevedere i seguenti step: (i) l’analisi congiunta sui rischi e sulle potenzialità della digitalizzazione, per comprenderne impatto e potenzialità per lavoratori e imprese («</w:t>
      </w:r>
      <w:r w:rsidRPr="00D936E9">
        <w:rPr>
          <w:rFonts w:ascii="Garamond" w:hAnsi="Garamond"/>
          <w:i/>
          <w:iCs/>
        </w:rPr>
        <w:t xml:space="preserve">Joint </w:t>
      </w:r>
      <w:proofErr w:type="spellStart"/>
      <w:r w:rsidRPr="00D936E9">
        <w:rPr>
          <w:rFonts w:ascii="Garamond" w:hAnsi="Garamond"/>
          <w:i/>
          <w:iCs/>
        </w:rPr>
        <w:t>exploration</w:t>
      </w:r>
      <w:proofErr w:type="spellEnd"/>
      <w:r w:rsidRPr="00D936E9">
        <w:rPr>
          <w:rFonts w:ascii="Garamond" w:hAnsi="Garamond"/>
          <w:i/>
          <w:iCs/>
        </w:rPr>
        <w:t>/</w:t>
      </w:r>
      <w:proofErr w:type="spellStart"/>
      <w:r w:rsidRPr="00D936E9">
        <w:rPr>
          <w:rFonts w:ascii="Garamond" w:hAnsi="Garamond"/>
          <w:i/>
          <w:iCs/>
        </w:rPr>
        <w:t>preparation</w:t>
      </w:r>
      <w:proofErr w:type="spellEnd"/>
      <w:r w:rsidRPr="00D936E9">
        <w:rPr>
          <w:rFonts w:ascii="Garamond" w:hAnsi="Garamond"/>
          <w:i/>
          <w:iCs/>
        </w:rPr>
        <w:t>/</w:t>
      </w:r>
      <w:proofErr w:type="spellStart"/>
      <w:r w:rsidRPr="00D936E9">
        <w:rPr>
          <w:rFonts w:ascii="Garamond" w:hAnsi="Garamond"/>
          <w:i/>
          <w:iCs/>
        </w:rPr>
        <w:t>underpinning</w:t>
      </w:r>
      <w:proofErr w:type="spellEnd"/>
      <w:r w:rsidRPr="00D936E9">
        <w:rPr>
          <w:rFonts w:ascii="Garamond" w:hAnsi="Garamond"/>
        </w:rPr>
        <w:t>»); (ii) mappatura delle opportunità e delle sfide della digitalizzazione («</w:t>
      </w:r>
      <w:r w:rsidRPr="00D936E9">
        <w:rPr>
          <w:rFonts w:ascii="Garamond" w:hAnsi="Garamond"/>
          <w:i/>
          <w:iCs/>
        </w:rPr>
        <w:t xml:space="preserve">Joint mapping/regular </w:t>
      </w:r>
      <w:proofErr w:type="spellStart"/>
      <w:r w:rsidRPr="00D936E9">
        <w:rPr>
          <w:rFonts w:ascii="Garamond" w:hAnsi="Garamond"/>
          <w:i/>
          <w:iCs/>
        </w:rPr>
        <w:t>assessment</w:t>
      </w:r>
      <w:proofErr w:type="spellEnd"/>
      <w:r w:rsidRPr="00D936E9">
        <w:rPr>
          <w:rFonts w:ascii="Garamond" w:hAnsi="Garamond"/>
          <w:i/>
          <w:iCs/>
        </w:rPr>
        <w:t>/</w:t>
      </w:r>
      <w:proofErr w:type="spellStart"/>
      <w:r w:rsidRPr="00D936E9">
        <w:rPr>
          <w:rFonts w:ascii="Garamond" w:hAnsi="Garamond"/>
          <w:i/>
          <w:iCs/>
        </w:rPr>
        <w:t>analysis</w:t>
      </w:r>
      <w:proofErr w:type="spellEnd"/>
      <w:r w:rsidRPr="00D936E9">
        <w:rPr>
          <w:rFonts w:ascii="Garamond" w:hAnsi="Garamond"/>
        </w:rPr>
        <w:t>»); (iii) adozione condivisa di strategie dirette a governare la transizione digitale («</w:t>
      </w:r>
      <w:r w:rsidRPr="00D936E9">
        <w:rPr>
          <w:rFonts w:ascii="Garamond" w:hAnsi="Garamond"/>
          <w:i/>
          <w:iCs/>
        </w:rPr>
        <w:t xml:space="preserve">Joint </w:t>
      </w:r>
      <w:proofErr w:type="spellStart"/>
      <w:r w:rsidRPr="00D936E9">
        <w:rPr>
          <w:rFonts w:ascii="Garamond" w:hAnsi="Garamond"/>
          <w:i/>
          <w:iCs/>
        </w:rPr>
        <w:t>overview</w:t>
      </w:r>
      <w:proofErr w:type="spellEnd"/>
      <w:r w:rsidRPr="00D936E9">
        <w:rPr>
          <w:rFonts w:ascii="Garamond" w:hAnsi="Garamond"/>
          <w:i/>
          <w:iCs/>
        </w:rPr>
        <w:t xml:space="preserve"> of situation and adoption of strategies for </w:t>
      </w:r>
      <w:proofErr w:type="spellStart"/>
      <w:r w:rsidRPr="00D936E9">
        <w:rPr>
          <w:rFonts w:ascii="Garamond" w:hAnsi="Garamond"/>
          <w:i/>
          <w:iCs/>
        </w:rPr>
        <w:t>digital</w:t>
      </w:r>
      <w:proofErr w:type="spellEnd"/>
      <w:r w:rsidRPr="00D936E9">
        <w:rPr>
          <w:rFonts w:ascii="Garamond" w:hAnsi="Garamond"/>
          <w:i/>
          <w:iCs/>
        </w:rPr>
        <w:t xml:space="preserve"> </w:t>
      </w:r>
      <w:proofErr w:type="spellStart"/>
      <w:r w:rsidRPr="00D936E9">
        <w:rPr>
          <w:rFonts w:ascii="Garamond" w:hAnsi="Garamond"/>
          <w:i/>
          <w:iCs/>
        </w:rPr>
        <w:t>transformation</w:t>
      </w:r>
      <w:proofErr w:type="spellEnd"/>
      <w:r w:rsidRPr="00D936E9">
        <w:rPr>
          <w:rFonts w:ascii="Garamond" w:hAnsi="Garamond"/>
        </w:rPr>
        <w:t>»); (iv) adozione di azioni concrete per verificare le soluzioni previste, definendo le priorità e le tempistiche di intervento, chiarendo ruoli e responsabilità, accompagnando e supportando le misure adottate («</w:t>
      </w:r>
      <w:r w:rsidRPr="00D936E9">
        <w:rPr>
          <w:rFonts w:ascii="Garamond" w:hAnsi="Garamond"/>
          <w:i/>
          <w:iCs/>
        </w:rPr>
        <w:t xml:space="preserve">Adoption of appropriate </w:t>
      </w:r>
      <w:proofErr w:type="spellStart"/>
      <w:r w:rsidRPr="00D936E9">
        <w:rPr>
          <w:rFonts w:ascii="Garamond" w:hAnsi="Garamond"/>
          <w:i/>
          <w:iCs/>
        </w:rPr>
        <w:t>measures</w:t>
      </w:r>
      <w:proofErr w:type="spellEnd"/>
      <w:r w:rsidRPr="00D936E9">
        <w:rPr>
          <w:rFonts w:ascii="Garamond" w:hAnsi="Garamond"/>
          <w:i/>
          <w:iCs/>
        </w:rPr>
        <w:t>/actions</w:t>
      </w:r>
      <w:r w:rsidRPr="00D936E9">
        <w:rPr>
          <w:rFonts w:ascii="Garamond" w:hAnsi="Garamond"/>
        </w:rPr>
        <w:t>»); (v) promozione di un monitoraggio e di un controllo costanti sulle misure messe in pratica («</w:t>
      </w:r>
      <w:r w:rsidRPr="00D936E9">
        <w:rPr>
          <w:rFonts w:ascii="Garamond" w:hAnsi="Garamond"/>
          <w:i/>
          <w:iCs/>
        </w:rPr>
        <w:t xml:space="preserve">Regular joint monitoring / follow-up, learning, </w:t>
      </w:r>
      <w:proofErr w:type="spellStart"/>
      <w:r w:rsidRPr="00D936E9">
        <w:rPr>
          <w:rFonts w:ascii="Garamond" w:hAnsi="Garamond"/>
          <w:i/>
          <w:iCs/>
        </w:rPr>
        <w:t>evaluation</w:t>
      </w:r>
      <w:proofErr w:type="spellEnd"/>
      <w:r w:rsidRPr="00D936E9">
        <w:rPr>
          <w:rFonts w:ascii="Garamond" w:hAnsi="Garamond"/>
        </w:rPr>
        <w:t>»).</w:t>
      </w:r>
    </w:p>
    <w:p w14:paraId="591457DD" w14:textId="708B9F4D" w:rsidR="00A94ED9" w:rsidRPr="00D936E9" w:rsidRDefault="00A94ED9" w:rsidP="00A94ED9">
      <w:pPr>
        <w:spacing w:line="360" w:lineRule="auto"/>
        <w:jc w:val="both"/>
        <w:rPr>
          <w:rFonts w:ascii="Garamond" w:hAnsi="Garamond"/>
        </w:rPr>
      </w:pPr>
      <w:r w:rsidRPr="00D936E9">
        <w:rPr>
          <w:rFonts w:ascii="Garamond" w:hAnsi="Garamond"/>
        </w:rPr>
        <w:t xml:space="preserve">L’accordo in questione, che si inserisce nell’ambito dell’art. 155 del Trattato sul funzionamento dell’Unione Europea (TFUE) sul dialogo sociale europeo, può, dunque, costituire una interessante base di partenza volta a promuovere l’approccio concertativo a tutti i livelli, per fronteggiare la sfida della digitalizzazione delle relazioni di lavoro. Ma non basta: serve una contrattazione collettiva aziendale che sia transnazionale, e che riguardi i lavoratori che operano in vari paesi e che sono, quindi, assoggettati a diversi ordinamenti giuridici, che preveda regole armonizzate e procedimenti concertati dalle parti sociali, per adeguarsi alle necessità nate dall’evoluzione dell’unità produttiva digitale. Tuttavia, la </w:t>
      </w:r>
      <w:r w:rsidR="00D45D21" w:rsidRPr="00D936E9">
        <w:rPr>
          <w:rFonts w:ascii="Garamond" w:hAnsi="Garamond"/>
        </w:rPr>
        <w:t>Proposta di direttiva UE</w:t>
      </w:r>
      <w:r w:rsidRPr="00D936E9">
        <w:rPr>
          <w:rFonts w:ascii="Garamond" w:hAnsi="Garamond"/>
        </w:rPr>
        <w:t xml:space="preserve"> non sembra esporsi efficacemente su questi aspetti. </w:t>
      </w:r>
    </w:p>
    <w:p w14:paraId="7C7BA5DA" w14:textId="4FF416B6" w:rsidR="00A94ED9" w:rsidRPr="00D936E9" w:rsidRDefault="00A94ED9" w:rsidP="00A94ED9">
      <w:pPr>
        <w:spacing w:line="360" w:lineRule="auto"/>
        <w:jc w:val="both"/>
        <w:rPr>
          <w:rFonts w:ascii="Garamond" w:hAnsi="Garamond"/>
        </w:rPr>
      </w:pPr>
      <w:r w:rsidRPr="00D936E9">
        <w:rPr>
          <w:rFonts w:ascii="Garamond" w:hAnsi="Garamond"/>
        </w:rPr>
        <w:lastRenderedPageBreak/>
        <w:t>Resta il fatto che la modifica dell’art. 35</w:t>
      </w:r>
      <w:r w:rsidR="00126359" w:rsidRPr="00D936E9">
        <w:rPr>
          <w:rFonts w:ascii="Garamond" w:hAnsi="Garamond"/>
        </w:rPr>
        <w:t xml:space="preserve"> dello </w:t>
      </w:r>
      <w:r w:rsidRPr="00D936E9">
        <w:rPr>
          <w:rFonts w:ascii="Garamond" w:hAnsi="Garamond"/>
        </w:rPr>
        <w:t>Stat</w:t>
      </w:r>
      <w:r w:rsidR="00126359" w:rsidRPr="00D936E9">
        <w:rPr>
          <w:rFonts w:ascii="Garamond" w:hAnsi="Garamond"/>
        </w:rPr>
        <w:t>uto dei</w:t>
      </w:r>
      <w:r w:rsidRPr="00D936E9">
        <w:rPr>
          <w:rFonts w:ascii="Garamond" w:hAnsi="Garamond"/>
        </w:rPr>
        <w:t xml:space="preserve"> </w:t>
      </w:r>
      <w:r w:rsidR="00126359" w:rsidRPr="00D936E9">
        <w:rPr>
          <w:rFonts w:ascii="Garamond" w:hAnsi="Garamond"/>
        </w:rPr>
        <w:t>lavoratori</w:t>
      </w:r>
      <w:r w:rsidRPr="00D936E9">
        <w:rPr>
          <w:rFonts w:ascii="Garamond" w:hAnsi="Garamond"/>
        </w:rPr>
        <w:t xml:space="preserve"> non dovrebbe limitarsi alla comprensione che l’unità produttiva può essere anche digitale, ma è probabile (e, forse, necessario) che imponga anche un ripensamento delle norme che attengono al concetto di unità produttiva.</w:t>
      </w:r>
    </w:p>
    <w:p w14:paraId="2E96A3F7" w14:textId="7245340B" w:rsidR="00A94ED9" w:rsidRPr="00D936E9" w:rsidRDefault="00A94ED9" w:rsidP="00A94ED9">
      <w:pPr>
        <w:spacing w:line="360" w:lineRule="auto"/>
        <w:jc w:val="both"/>
        <w:rPr>
          <w:rFonts w:ascii="Garamond" w:hAnsi="Garamond"/>
        </w:rPr>
      </w:pPr>
      <w:r w:rsidRPr="00D936E9">
        <w:rPr>
          <w:rFonts w:ascii="Garamond" w:hAnsi="Garamond"/>
        </w:rPr>
        <w:t xml:space="preserve">Torniamo al nostro esempio della piattaforma con lavoratori che, dislocati in vari paesi (differenti da quello della sede della piattaforma digitale), sono collegati e svolgono mansioni di </w:t>
      </w:r>
      <w:r w:rsidRPr="00D936E9">
        <w:rPr>
          <w:rFonts w:ascii="Garamond" w:hAnsi="Garamond"/>
          <w:i/>
          <w:iCs/>
        </w:rPr>
        <w:t xml:space="preserve">data entry </w:t>
      </w:r>
      <w:r w:rsidRPr="00D936E9">
        <w:rPr>
          <w:rFonts w:ascii="Garamond" w:hAnsi="Garamond"/>
        </w:rPr>
        <w:t xml:space="preserve">per contabilità ciascuno nella propria abitazione, alcuni di essi peraltro lavorando per diverse piattaforme. Vengono da porsi altri due quesiti: (i) la piattaforma datrice di lavoro potrebbe, in ipotesi, procedere a un licenziamento </w:t>
      </w:r>
      <w:r w:rsidRPr="00D936E9">
        <w:rPr>
          <w:rFonts w:ascii="Garamond" w:hAnsi="Garamond" w:cs="Arial"/>
        </w:rPr>
        <w:t xml:space="preserve">collettivo di sei di quei lavoratori, considerando quell’insieme di </w:t>
      </w:r>
      <w:r w:rsidR="00396D90" w:rsidRPr="00D936E9">
        <w:rPr>
          <w:rFonts w:ascii="Garamond" w:hAnsi="Garamond" w:cs="Arial"/>
        </w:rPr>
        <w:t>addetti</w:t>
      </w:r>
      <w:r w:rsidRPr="00D936E9">
        <w:rPr>
          <w:rFonts w:ascii="Garamond" w:hAnsi="Garamond" w:cs="Arial"/>
        </w:rPr>
        <w:t xml:space="preserve">, connessi a un medesimo </w:t>
      </w:r>
      <w:r w:rsidRPr="00D936E9">
        <w:rPr>
          <w:rFonts w:ascii="Garamond" w:hAnsi="Garamond" w:cs="Arial"/>
          <w:i/>
          <w:iCs/>
        </w:rPr>
        <w:t xml:space="preserve">server </w:t>
      </w:r>
      <w:r w:rsidRPr="00D936E9">
        <w:rPr>
          <w:rFonts w:ascii="Garamond" w:hAnsi="Garamond" w:cs="Arial"/>
        </w:rPr>
        <w:t>e gestiti tramite sistemi algoritmici, come unità produttiva autonoma e indipendente («</w:t>
      </w:r>
      <w:r w:rsidRPr="00D936E9">
        <w:rPr>
          <w:rFonts w:ascii="Garamond" w:hAnsi="Garamond" w:cs="Arial"/>
          <w:i/>
          <w:iCs/>
        </w:rPr>
        <w:t>sotto il profilo funzionale e finalistico</w:t>
      </w:r>
      <w:r w:rsidRPr="00D936E9">
        <w:rPr>
          <w:rStyle w:val="Rimandonotaapidipagina"/>
          <w:rFonts w:ascii="Garamond" w:hAnsi="Garamond" w:cs="Arial"/>
        </w:rPr>
        <w:footnoteReference w:id="74"/>
      </w:r>
      <w:r w:rsidRPr="00D936E9">
        <w:rPr>
          <w:rFonts w:ascii="Garamond" w:hAnsi="Garamond" w:cs="Arial"/>
        </w:rPr>
        <w:t>»</w:t>
      </w:r>
      <w:r w:rsidRPr="00D936E9">
        <w:rPr>
          <w:rFonts w:ascii="Garamond" w:hAnsi="Garamond" w:cs="Arial"/>
          <w:i/>
          <w:iCs/>
          <w:bdr w:val="none" w:sz="0" w:space="0" w:color="auto" w:frame="1"/>
          <w:shd w:val="clear" w:color="auto" w:fill="FFFFFF"/>
        </w:rPr>
        <w:t>)</w:t>
      </w:r>
      <w:r w:rsidRPr="00D936E9">
        <w:rPr>
          <w:rFonts w:ascii="Garamond" w:hAnsi="Garamond" w:cs="Arial"/>
        </w:rPr>
        <w:t>, e cioè non come un’articolazione strumentale «</w:t>
      </w:r>
      <w:r w:rsidRPr="00D936E9">
        <w:rPr>
          <w:rFonts w:ascii="Garamond" w:hAnsi="Garamond" w:cs="Arial"/>
          <w:i/>
          <w:iCs/>
        </w:rPr>
        <w:t>rispetto ai generali fini dell’impresa</w:t>
      </w:r>
      <w:r w:rsidRPr="00D936E9">
        <w:rPr>
          <w:rStyle w:val="Rimandonotaapidipagina"/>
          <w:rFonts w:ascii="Garamond" w:hAnsi="Garamond" w:cs="Arial"/>
        </w:rPr>
        <w:footnoteReference w:id="75"/>
      </w:r>
      <w:r w:rsidRPr="00D936E9">
        <w:rPr>
          <w:rFonts w:ascii="Garamond" w:hAnsi="Garamond" w:cs="Arial"/>
        </w:rPr>
        <w:t xml:space="preserve">»? (ii) </w:t>
      </w:r>
      <w:r w:rsidR="007C1FD2" w:rsidRPr="00D936E9">
        <w:rPr>
          <w:rFonts w:ascii="Garamond" w:hAnsi="Garamond" w:cs="Arial"/>
        </w:rPr>
        <w:t>S</w:t>
      </w:r>
      <w:r w:rsidRPr="00D936E9">
        <w:rPr>
          <w:rFonts w:ascii="Garamond" w:hAnsi="Garamond" w:cs="Arial"/>
        </w:rPr>
        <w:t xml:space="preserve">empre la medesima piattaforma potrebbe, in ipotesi, procedere a un trasferimento di quel business costituito da quei lavoratori che si occupano di </w:t>
      </w:r>
      <w:r w:rsidRPr="00D936E9">
        <w:rPr>
          <w:rFonts w:ascii="Garamond" w:hAnsi="Garamond" w:cs="Arial"/>
          <w:i/>
          <w:iCs/>
        </w:rPr>
        <w:t>data entry</w:t>
      </w:r>
      <w:r w:rsidRPr="00D936E9">
        <w:rPr>
          <w:rFonts w:ascii="Garamond" w:hAnsi="Garamond" w:cs="Arial"/>
        </w:rPr>
        <w:t xml:space="preserve">, considerando questo business alla stregua di un ramo d’azienda ex art. 2112 c.c., e, pertanto, come una </w:t>
      </w:r>
      <w:r w:rsidRPr="00D936E9">
        <w:rPr>
          <w:rFonts w:ascii="Garamond" w:hAnsi="Garamond"/>
        </w:rPr>
        <w:t>«</w:t>
      </w:r>
      <w:r w:rsidRPr="00D936E9">
        <w:rPr>
          <w:rFonts w:ascii="Garamond" w:hAnsi="Garamond"/>
          <w:i/>
          <w:iCs/>
        </w:rPr>
        <w:t>articolazione funzionalmente autonoma di un'attività economica organizzata, identificata come tale dal cedente e dal cessionario al momento del suo trasferimento</w:t>
      </w:r>
      <w:r w:rsidRPr="00D936E9">
        <w:rPr>
          <w:rFonts w:ascii="Garamond" w:hAnsi="Garamond"/>
        </w:rPr>
        <w:t>»?</w:t>
      </w:r>
    </w:p>
    <w:p w14:paraId="641D19AA" w14:textId="77777777" w:rsidR="00A94ED9" w:rsidRPr="00D936E9" w:rsidRDefault="00A94ED9" w:rsidP="00A94ED9">
      <w:pPr>
        <w:spacing w:line="360" w:lineRule="auto"/>
        <w:jc w:val="both"/>
        <w:rPr>
          <w:rFonts w:ascii="Garamond" w:hAnsi="Garamond"/>
        </w:rPr>
      </w:pPr>
      <w:r w:rsidRPr="00D936E9">
        <w:rPr>
          <w:rFonts w:ascii="Garamond" w:hAnsi="Garamond"/>
        </w:rPr>
        <w:t>Va detto che i consolidati orientamenti giurisprudenziali, nazionali e europei, individuano anche l’unità produttiva non necessariamente intrisa di materialità: è possibile, infatti, considerare una «</w:t>
      </w:r>
      <w:r w:rsidRPr="00D936E9">
        <w:rPr>
          <w:rFonts w:ascii="Garamond" w:hAnsi="Garamond"/>
          <w:i/>
          <w:iCs/>
        </w:rPr>
        <w:t>attività economica</w:t>
      </w:r>
      <w:r w:rsidRPr="00D936E9">
        <w:rPr>
          <w:rFonts w:ascii="Garamond" w:hAnsi="Garamond"/>
        </w:rPr>
        <w:t>» tale da poter essere oggetto di trasferimento d'azienda, «</w:t>
      </w:r>
      <w:r w:rsidRPr="00D936E9">
        <w:rPr>
          <w:rFonts w:ascii="Garamond" w:hAnsi="Garamond"/>
          <w:i/>
          <w:iCs/>
        </w:rPr>
        <w:t>anche i soli lavoratori, che per essere stati addetti ad un ramo dell'impresa e per avere acquisito un complesso di nozioni e di esperienze, siano capaci di svolgere autonomamente... le proprie funzioni anche presso il nuovo datore di lavoro</w:t>
      </w:r>
      <w:r w:rsidRPr="00D936E9">
        <w:rPr>
          <w:rStyle w:val="Rimandonotaapidipagina"/>
          <w:rFonts w:ascii="Garamond" w:hAnsi="Garamond"/>
        </w:rPr>
        <w:footnoteReference w:id="76"/>
      </w:r>
      <w:r w:rsidRPr="00D936E9">
        <w:rPr>
          <w:rFonts w:ascii="Garamond" w:hAnsi="Garamond"/>
        </w:rPr>
        <w:t>».</w:t>
      </w:r>
    </w:p>
    <w:p w14:paraId="4B6E6DEB" w14:textId="77777777" w:rsidR="00A94ED9" w:rsidRPr="00D936E9" w:rsidRDefault="00A94ED9" w:rsidP="00A94ED9">
      <w:pPr>
        <w:spacing w:line="360" w:lineRule="auto"/>
        <w:jc w:val="both"/>
        <w:rPr>
          <w:rFonts w:ascii="Garamond" w:hAnsi="Garamond"/>
        </w:rPr>
      </w:pPr>
      <w:r w:rsidRPr="00D936E9">
        <w:rPr>
          <w:rFonts w:ascii="Garamond" w:hAnsi="Garamond"/>
        </w:rPr>
        <w:t>Non mancano, tuttavia, visioni opposte, che insistono sul fatto che «</w:t>
      </w:r>
      <w:r w:rsidRPr="00D936E9">
        <w:rPr>
          <w:rFonts w:ascii="Garamond" w:hAnsi="Garamond"/>
          <w:i/>
          <w:iCs/>
        </w:rPr>
        <w:t>nella elaborazione giurisprudenziale la nozione di unità produttiva è stata individuata con una certa rigidità di requisiti. Si è infatti ritenuto che costituisca unità produttiva non una qualsiasi articolazione dell'impresa, ma solo quell'articolazione che sia munita di autonomia tanto di tipo strutturale... quanto di tipo finalistico e produttivo... In tal modo, si è arrivati a configurarla come articolazione idonea a esplicare l'attività dell'impresa o di una frazione ben distinta del processo produttivo: insomma, un'entità che di per sé potrebbe separatamente qualificarsi come impresa</w:t>
      </w:r>
      <w:r w:rsidRPr="00D936E9">
        <w:rPr>
          <w:rStyle w:val="Rimandonotaapidipagina"/>
          <w:rFonts w:ascii="Garamond" w:hAnsi="Garamond"/>
        </w:rPr>
        <w:footnoteReference w:id="77"/>
      </w:r>
      <w:r w:rsidRPr="00D936E9">
        <w:rPr>
          <w:rFonts w:ascii="Garamond" w:hAnsi="Garamond"/>
        </w:rPr>
        <w:t>». </w:t>
      </w:r>
    </w:p>
    <w:p w14:paraId="667B9E12" w14:textId="1D7D701B" w:rsidR="00A94ED9" w:rsidRPr="00D936E9" w:rsidRDefault="00A94ED9" w:rsidP="00A94ED9">
      <w:pPr>
        <w:spacing w:line="360" w:lineRule="auto"/>
        <w:jc w:val="both"/>
        <w:rPr>
          <w:rFonts w:ascii="Garamond" w:hAnsi="Garamond"/>
        </w:rPr>
      </w:pPr>
      <w:r w:rsidRPr="00D936E9">
        <w:rPr>
          <w:rFonts w:ascii="Garamond" w:hAnsi="Garamond"/>
        </w:rPr>
        <w:t xml:space="preserve">Ad ogni modo, se le risposte alle due domande di cui sopra possono essere entrambe affermative, allora a tali unità produttive (protagoniste di un licenziamento collettivo o di un trasferimento di ramo) dovranno applicarsi gli obblighi procedimentali (comunicazione alle rappresentanze sindacali/esame congiunto/eventuale accordo sindacale) che il legislatore impone al datore di lavoro nei casi di licenziamento collettivo (artt. 4-24, l. 23 luglio 1991, n. 223) e di trasferimento d’azienda o di parte di esse (art. 47, l. 29 dicembre 1990, n. 428). Con ciò avvalorando la tesi che non ci può essere unità produttiva, </w:t>
      </w:r>
      <w:r w:rsidRPr="00D936E9">
        <w:rPr>
          <w:rFonts w:ascii="Garamond" w:hAnsi="Garamond"/>
        </w:rPr>
        <w:lastRenderedPageBreak/>
        <w:t xml:space="preserve">anche digitale, senza possibilità di esercizio – individuale e/o collettivo – dei diritti sindacali (non solo quelli di cui al Titolo III </w:t>
      </w:r>
      <w:r w:rsidR="00C43D9C" w:rsidRPr="00D936E9">
        <w:rPr>
          <w:rFonts w:ascii="Garamond" w:hAnsi="Garamond" w:cs="Arial"/>
        </w:rPr>
        <w:t>dello Statuto dei Lavoratori</w:t>
      </w:r>
      <w:r w:rsidRPr="00D936E9">
        <w:rPr>
          <w:rFonts w:ascii="Garamond" w:hAnsi="Garamond"/>
        </w:rPr>
        <w:t xml:space="preserve">). I diritti sindacali sono immanenti al concetto di unità produttiva, da cui discendono, dunque, anche le garanzie procedimentali in caso di licenziamento collettivo/trasferimento d’azienda, al verificarsi ovviamente dei requisiti normativi e di </w:t>
      </w:r>
      <w:proofErr w:type="gramStart"/>
      <w:r w:rsidRPr="00D936E9">
        <w:rPr>
          <w:rFonts w:ascii="Garamond" w:hAnsi="Garamond"/>
        </w:rPr>
        <w:t>quelli frutto</w:t>
      </w:r>
      <w:proofErr w:type="gramEnd"/>
      <w:r w:rsidRPr="00D936E9">
        <w:rPr>
          <w:rFonts w:ascii="Garamond" w:hAnsi="Garamond"/>
        </w:rPr>
        <w:t xml:space="preserve"> dell'elaborazione giurisprudenziale in materia. </w:t>
      </w:r>
    </w:p>
    <w:p w14:paraId="53D31BC6" w14:textId="578C5DEF" w:rsidR="000229AD" w:rsidRPr="00D936E9" w:rsidRDefault="000229AD" w:rsidP="00A94ED9">
      <w:pPr>
        <w:spacing w:line="360" w:lineRule="auto"/>
        <w:jc w:val="both"/>
        <w:rPr>
          <w:rFonts w:ascii="Garamond" w:hAnsi="Garamond"/>
        </w:rPr>
      </w:pPr>
      <w:r w:rsidRPr="00D936E9">
        <w:rPr>
          <w:rFonts w:ascii="Garamond" w:hAnsi="Garamond"/>
        </w:rPr>
        <w:t xml:space="preserve">La medesima rilettura potrà riguardare, infine, anche il Testo Unico sulla Rappresentanza del 10 gennaio 2014, laddove contiene riferimenti che potrebbero limitare </w:t>
      </w:r>
      <w:r w:rsidR="008632C1" w:rsidRPr="00D936E9">
        <w:rPr>
          <w:rFonts w:ascii="Garamond" w:hAnsi="Garamond"/>
        </w:rPr>
        <w:t>i diritti sindacali nelle unità produttive digitali</w:t>
      </w:r>
      <w:r w:rsidRPr="00D936E9">
        <w:rPr>
          <w:rFonts w:ascii="Garamond" w:hAnsi="Garamond"/>
        </w:rPr>
        <w:t>, come la necessità che</w:t>
      </w:r>
      <w:r w:rsidR="008632C1" w:rsidRPr="00D936E9">
        <w:rPr>
          <w:rFonts w:ascii="Garamond" w:hAnsi="Garamond"/>
        </w:rPr>
        <w:t xml:space="preserve"> l’unità abbia «</w:t>
      </w:r>
      <w:r w:rsidR="008632C1" w:rsidRPr="00D936E9">
        <w:rPr>
          <w:rFonts w:ascii="Garamond" w:hAnsi="Garamond"/>
          <w:i/>
          <w:iCs/>
        </w:rPr>
        <w:t>più di quindici dipendenti</w:t>
      </w:r>
      <w:r w:rsidR="008632C1" w:rsidRPr="00D936E9">
        <w:rPr>
          <w:rStyle w:val="Rimandonotaapidipagina"/>
          <w:rFonts w:ascii="Garamond" w:hAnsi="Garamond"/>
        </w:rPr>
        <w:footnoteReference w:id="78"/>
      </w:r>
      <w:r w:rsidR="008632C1" w:rsidRPr="00D936E9">
        <w:rPr>
          <w:rFonts w:ascii="Garamond" w:hAnsi="Garamond"/>
        </w:rPr>
        <w:t>» per l’esercizio dei diritti collettivi (che escluderebbe, dunque, le i frammentati luoghi di lavoro nelle imprese digitali), o, ancora, i calcoli per computare i lavoratori «</w:t>
      </w:r>
      <w:r w:rsidR="008632C1" w:rsidRPr="00D936E9">
        <w:rPr>
          <w:rFonts w:ascii="Garamond" w:hAnsi="Garamond"/>
          <w:i/>
          <w:iCs/>
        </w:rPr>
        <w:t>con contratto di lavoro a part time</w:t>
      </w:r>
      <w:r w:rsidR="008632C1" w:rsidRPr="00D936E9">
        <w:rPr>
          <w:rFonts w:ascii="Garamond" w:hAnsi="Garamond"/>
        </w:rPr>
        <w:t>» o «</w:t>
      </w:r>
      <w:r w:rsidR="008632C1" w:rsidRPr="00D936E9">
        <w:rPr>
          <w:rFonts w:ascii="Garamond" w:hAnsi="Garamond"/>
          <w:i/>
          <w:iCs/>
        </w:rPr>
        <w:t>con contratto a tempo determinato</w:t>
      </w:r>
      <w:r w:rsidR="008632C1" w:rsidRPr="00D936E9">
        <w:rPr>
          <w:rFonts w:ascii="Garamond" w:hAnsi="Garamond"/>
        </w:rPr>
        <w:t>»</w:t>
      </w:r>
      <w:r w:rsidR="008632C1" w:rsidRPr="00D936E9">
        <w:rPr>
          <w:rStyle w:val="Rimandonotaapidipagina"/>
          <w:rFonts w:ascii="Garamond" w:hAnsi="Garamond"/>
        </w:rPr>
        <w:footnoteReference w:id="79"/>
      </w:r>
      <w:r w:rsidR="008632C1" w:rsidRPr="00D936E9">
        <w:rPr>
          <w:rFonts w:ascii="Garamond" w:hAnsi="Garamond"/>
        </w:rPr>
        <w:t>, forme contrattuali probabilmente troppo rigide per inquadrare i nuovi lavori tramite piattaforma.</w:t>
      </w:r>
    </w:p>
    <w:p w14:paraId="37F89A51" w14:textId="77777777" w:rsidR="00293316" w:rsidRPr="00D936E9" w:rsidRDefault="00293316" w:rsidP="00C769FD">
      <w:pPr>
        <w:spacing w:line="360" w:lineRule="auto"/>
        <w:jc w:val="both"/>
        <w:rPr>
          <w:rFonts w:ascii="Garamond" w:hAnsi="Garamond"/>
        </w:rPr>
      </w:pPr>
    </w:p>
    <w:p w14:paraId="3DB29516" w14:textId="77777777" w:rsidR="00972B3B" w:rsidRPr="00D936E9" w:rsidRDefault="00972B3B" w:rsidP="0019667B">
      <w:pPr>
        <w:spacing w:line="360" w:lineRule="auto"/>
        <w:jc w:val="both"/>
        <w:rPr>
          <w:rFonts w:ascii="Garamond" w:hAnsi="Garamond"/>
        </w:rPr>
      </w:pPr>
    </w:p>
    <w:sectPr w:rsidR="00972B3B" w:rsidRPr="00D936E9" w:rsidSect="00301253">
      <w:footerReference w:type="default" r:id="rId10"/>
      <w:pgSz w:w="11900" w:h="16840"/>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794455E" w14:textId="77777777" w:rsidR="00DD2163" w:rsidRDefault="00DD2163" w:rsidP="003361F1">
      <w:r>
        <w:separator/>
      </w:r>
    </w:p>
  </w:endnote>
  <w:endnote w:type="continuationSeparator" w:id="0">
    <w:p w14:paraId="516D50AD" w14:textId="77777777" w:rsidR="00DD2163" w:rsidRDefault="00DD2163" w:rsidP="003361F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BodoniOldFaceBE-RegularSC">
    <w:altName w:val="Cambria"/>
    <w:panose1 w:val="00000000000000000000"/>
    <w:charset w:val="00"/>
    <w:family w:val="roman"/>
    <w:notTrueType/>
    <w:pitch w:val="default"/>
    <w:sig w:usb0="00000003" w:usb1="00000000" w:usb2="00000000" w:usb3="00000000" w:csb0="00000001" w:csb1="00000000"/>
  </w:font>
  <w:font w:name="BodoniOldFaceBE-Regular">
    <w:altName w:val="Cambria"/>
    <w:panose1 w:val="00000000000000000000"/>
    <w:charset w:val="00"/>
    <w:family w:val="roman"/>
    <w:notTrueType/>
    <w:pitch w:val="default"/>
    <w:sig w:usb0="00000003" w:usb1="00000000" w:usb2="00000000" w:usb3="00000000" w:csb0="00000001" w:csb1="00000000"/>
  </w:font>
  <w:font w:name="BodoniOldFaceBE-Italic">
    <w:altName w:val="Calibri"/>
    <w:panose1 w:val="00000000000000000000"/>
    <w:charset w:val="00"/>
    <w:family w:val="swiss"/>
    <w:notTrueType/>
    <w:pitch w:val="default"/>
    <w:sig w:usb0="00000003" w:usb1="00000000" w:usb2="00000000" w:usb3="00000000" w:csb0="00000001" w:csb1="00000000"/>
  </w:font>
  <w:font w:name="Garamond-Italic">
    <w:altName w:val="Garamond"/>
    <w:panose1 w:val="00000000000000000000"/>
    <w:charset w:val="00"/>
    <w:family w:val="swiss"/>
    <w:notTrueType/>
    <w:pitch w:val="default"/>
    <w:sig w:usb0="00000003" w:usb1="00000000" w:usb2="00000000" w:usb3="00000000" w:csb0="00000001" w:csb1="00000000"/>
  </w:font>
  <w:font w:name="SimonciniGaramondStd">
    <w:altName w:val="Calibri"/>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595D84" w14:textId="77777777" w:rsidR="00204D24" w:rsidRDefault="00204D24">
    <w:pPr>
      <w:pStyle w:val="Pidipagina"/>
      <w:jc w:val="right"/>
    </w:pPr>
    <w:r>
      <w:fldChar w:fldCharType="begin"/>
    </w:r>
    <w:r>
      <w:instrText>PAGE   \* MERGEFORMAT</w:instrText>
    </w:r>
    <w:r>
      <w:fldChar w:fldCharType="separate"/>
    </w:r>
    <w:r>
      <w:t>2</w:t>
    </w:r>
    <w:r>
      <w:fldChar w:fldCharType="end"/>
    </w:r>
  </w:p>
  <w:p w14:paraId="21654BA0" w14:textId="77777777" w:rsidR="00204D24" w:rsidRDefault="00204D24">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DBC13A" w14:textId="77777777" w:rsidR="00DD2163" w:rsidRDefault="00DD2163" w:rsidP="003361F1">
      <w:r>
        <w:separator/>
      </w:r>
    </w:p>
  </w:footnote>
  <w:footnote w:type="continuationSeparator" w:id="0">
    <w:p w14:paraId="04E3683E" w14:textId="77777777" w:rsidR="00DD2163" w:rsidRDefault="00DD2163" w:rsidP="003361F1">
      <w:r>
        <w:continuationSeparator/>
      </w:r>
    </w:p>
  </w:footnote>
  <w:footnote w:id="1">
    <w:p w14:paraId="05A5B69F" w14:textId="6BE1096C" w:rsidR="00D147AC" w:rsidRPr="00D936E9" w:rsidRDefault="00D147AC" w:rsidP="00DF5CCF">
      <w:pPr>
        <w:pStyle w:val="Testonotaapidipagina"/>
        <w:jc w:val="both"/>
        <w:rPr>
          <w:rFonts w:ascii="Garamond" w:hAnsi="Garamond"/>
        </w:rPr>
      </w:pPr>
      <w:r w:rsidRPr="00D936E9">
        <w:rPr>
          <w:rStyle w:val="Rimandonotaapidipagina"/>
          <w:rFonts w:ascii="Garamond" w:hAnsi="Garamond"/>
        </w:rPr>
        <w:footnoteRef/>
      </w:r>
      <w:r w:rsidRPr="00D936E9">
        <w:rPr>
          <w:rFonts w:ascii="Garamond" w:hAnsi="Garamond"/>
        </w:rPr>
        <w:t xml:space="preserve"> L’intuizione nasce da M. FAIOLI, </w:t>
      </w:r>
      <w:r w:rsidRPr="00D936E9">
        <w:rPr>
          <w:rFonts w:ascii="Garamond" w:hAnsi="Garamond"/>
          <w:i/>
          <w:iCs/>
        </w:rPr>
        <w:t>Unità produttiva digitale. Perché riformare lo Statuto dei lavoratori</w:t>
      </w:r>
      <w:r w:rsidRPr="00D936E9">
        <w:rPr>
          <w:rFonts w:ascii="Garamond" w:hAnsi="Garamond"/>
        </w:rPr>
        <w:t xml:space="preserve">, in </w:t>
      </w:r>
      <w:proofErr w:type="spellStart"/>
      <w:r w:rsidRPr="00D936E9">
        <w:rPr>
          <w:rFonts w:ascii="Garamond" w:hAnsi="Garamond"/>
          <w:i/>
          <w:iCs/>
        </w:rPr>
        <w:t>Economia&amp;lavoro</w:t>
      </w:r>
      <w:proofErr w:type="spellEnd"/>
      <w:r w:rsidRPr="00D936E9">
        <w:rPr>
          <w:rFonts w:ascii="Garamond" w:hAnsi="Garamond"/>
        </w:rPr>
        <w:t>, 2021, 1.</w:t>
      </w:r>
    </w:p>
  </w:footnote>
  <w:footnote w:id="2">
    <w:p w14:paraId="70E94B2D" w14:textId="77777777" w:rsidR="00F43B40" w:rsidRPr="00D936E9" w:rsidRDefault="00F43B40" w:rsidP="00DF5CCF">
      <w:pPr>
        <w:pStyle w:val="Pidipagina"/>
        <w:jc w:val="both"/>
        <w:rPr>
          <w:rFonts w:ascii="Garamond" w:hAnsi="Garamond"/>
          <w:sz w:val="20"/>
          <w:szCs w:val="20"/>
        </w:rPr>
      </w:pPr>
      <w:r w:rsidRPr="00D936E9">
        <w:rPr>
          <w:rStyle w:val="Rimandonotaapidipagina"/>
          <w:rFonts w:ascii="Garamond" w:hAnsi="Garamond"/>
          <w:sz w:val="20"/>
          <w:szCs w:val="20"/>
        </w:rPr>
        <w:footnoteRef/>
      </w:r>
      <w:r w:rsidRPr="00D936E9">
        <w:rPr>
          <w:rStyle w:val="Rimandonotaapidipagina"/>
          <w:rFonts w:ascii="Garamond" w:hAnsi="Garamond"/>
          <w:sz w:val="20"/>
          <w:szCs w:val="20"/>
        </w:rPr>
        <w:t xml:space="preserve"> </w:t>
      </w:r>
      <w:r w:rsidRPr="00D936E9">
        <w:rPr>
          <w:rFonts w:ascii="Garamond" w:hAnsi="Garamond"/>
          <w:sz w:val="20"/>
          <w:szCs w:val="20"/>
        </w:rPr>
        <w:t xml:space="preserve">Si v. sul punto le osservazioni di G. VARDARO, </w:t>
      </w:r>
      <w:r w:rsidRPr="00D936E9">
        <w:rPr>
          <w:rFonts w:ascii="Garamond" w:hAnsi="Garamond"/>
          <w:i/>
          <w:iCs/>
          <w:sz w:val="20"/>
          <w:szCs w:val="20"/>
        </w:rPr>
        <w:t>Tecnica, tecnologia e ideologia della tecnica nel diritto del lavoro</w:t>
      </w:r>
      <w:r w:rsidRPr="00D936E9">
        <w:rPr>
          <w:rFonts w:ascii="Garamond" w:hAnsi="Garamond"/>
          <w:sz w:val="20"/>
          <w:szCs w:val="20"/>
        </w:rPr>
        <w:t xml:space="preserve">, in </w:t>
      </w:r>
      <w:r w:rsidRPr="00D936E9">
        <w:rPr>
          <w:rFonts w:ascii="Garamond" w:hAnsi="Garamond"/>
          <w:i/>
          <w:iCs/>
          <w:sz w:val="20"/>
          <w:szCs w:val="20"/>
        </w:rPr>
        <w:t>Politica del diritto</w:t>
      </w:r>
      <w:r w:rsidRPr="00D936E9">
        <w:rPr>
          <w:rFonts w:ascii="Garamond" w:hAnsi="Garamond"/>
          <w:sz w:val="20"/>
          <w:szCs w:val="20"/>
        </w:rPr>
        <w:t xml:space="preserve">, 1986, 1, pp. 75 ss. e di G. GIUGNI, </w:t>
      </w:r>
      <w:r w:rsidRPr="00D936E9">
        <w:rPr>
          <w:rFonts w:ascii="Garamond" w:hAnsi="Garamond"/>
          <w:i/>
          <w:iCs/>
          <w:sz w:val="20"/>
          <w:szCs w:val="20"/>
        </w:rPr>
        <w:t>Il processo tecnologico e la contrattazione collettiva</w:t>
      </w:r>
      <w:r w:rsidRPr="00D936E9">
        <w:rPr>
          <w:rFonts w:ascii="Garamond" w:hAnsi="Garamond"/>
          <w:sz w:val="20"/>
          <w:szCs w:val="20"/>
        </w:rPr>
        <w:t xml:space="preserve">, in F. MOMIGLIANO (a cura di), </w:t>
      </w:r>
      <w:r w:rsidRPr="00D936E9">
        <w:rPr>
          <w:rFonts w:ascii="Garamond" w:hAnsi="Garamond"/>
          <w:i/>
          <w:iCs/>
          <w:sz w:val="20"/>
          <w:szCs w:val="20"/>
        </w:rPr>
        <w:t>Lavoratori e sindacati di fronte alle trasformazioni del processo produttivo</w:t>
      </w:r>
      <w:r w:rsidRPr="00D936E9">
        <w:rPr>
          <w:rFonts w:ascii="Garamond" w:hAnsi="Garamond"/>
          <w:sz w:val="20"/>
          <w:szCs w:val="20"/>
        </w:rPr>
        <w:t>, Feltrinelli, Milano, 1962, pp. 293 ss.</w:t>
      </w:r>
    </w:p>
  </w:footnote>
  <w:footnote w:id="3">
    <w:p w14:paraId="40F5EB6B" w14:textId="77777777" w:rsidR="00F43B40" w:rsidRPr="00D936E9" w:rsidRDefault="00F43B40" w:rsidP="00DF5CCF">
      <w:pPr>
        <w:pStyle w:val="Pidipagina"/>
        <w:jc w:val="both"/>
        <w:rPr>
          <w:rFonts w:ascii="Garamond" w:hAnsi="Garamond"/>
          <w:sz w:val="20"/>
          <w:szCs w:val="20"/>
        </w:rPr>
      </w:pPr>
      <w:r w:rsidRPr="00D936E9">
        <w:rPr>
          <w:rStyle w:val="Rimandonotaapidipagina"/>
          <w:rFonts w:ascii="Garamond" w:hAnsi="Garamond"/>
          <w:sz w:val="20"/>
          <w:szCs w:val="20"/>
        </w:rPr>
        <w:footnoteRef/>
      </w:r>
      <w:r w:rsidRPr="00D936E9">
        <w:rPr>
          <w:rFonts w:ascii="Garamond" w:hAnsi="Garamond"/>
          <w:sz w:val="20"/>
          <w:szCs w:val="20"/>
        </w:rPr>
        <w:t xml:space="preserve"> In questo senso già G. VARDARO, </w:t>
      </w:r>
      <w:r w:rsidRPr="00D936E9">
        <w:rPr>
          <w:rFonts w:ascii="Garamond" w:hAnsi="Garamond"/>
          <w:i/>
          <w:iCs/>
          <w:sz w:val="20"/>
          <w:szCs w:val="20"/>
        </w:rPr>
        <w:t>Tecnica, tecnologia</w:t>
      </w:r>
      <w:r w:rsidRPr="00D936E9">
        <w:rPr>
          <w:rFonts w:ascii="Garamond" w:hAnsi="Garamond"/>
          <w:sz w:val="20"/>
          <w:szCs w:val="20"/>
        </w:rPr>
        <w:t xml:space="preserve"> …, cit., p. 77 ss.; ma si v. più recentemente, lo studio di L. NOGLER, </w:t>
      </w:r>
      <w:r w:rsidRPr="00D936E9">
        <w:rPr>
          <w:rFonts w:ascii="Garamond" w:hAnsi="Garamond"/>
          <w:i/>
          <w:iCs/>
          <w:sz w:val="20"/>
          <w:szCs w:val="20"/>
        </w:rPr>
        <w:t>Tecnica e subordinazione nel tempo di vita</w:t>
      </w:r>
      <w:r w:rsidRPr="00D936E9">
        <w:rPr>
          <w:rFonts w:ascii="Garamond" w:hAnsi="Garamond"/>
          <w:sz w:val="20"/>
          <w:szCs w:val="20"/>
        </w:rPr>
        <w:t xml:space="preserve">, in </w:t>
      </w:r>
      <w:r w:rsidRPr="00D936E9">
        <w:rPr>
          <w:rFonts w:ascii="Garamond" w:hAnsi="Garamond"/>
          <w:i/>
          <w:iCs/>
          <w:sz w:val="20"/>
          <w:szCs w:val="20"/>
        </w:rPr>
        <w:t>Giornale di diritto del lavoro e di relazioni industriali</w:t>
      </w:r>
      <w:r w:rsidRPr="00D936E9">
        <w:rPr>
          <w:rFonts w:ascii="Garamond" w:hAnsi="Garamond"/>
          <w:sz w:val="20"/>
          <w:szCs w:val="20"/>
        </w:rPr>
        <w:t>, 2015, 147, pp. 337 ss.</w:t>
      </w:r>
    </w:p>
  </w:footnote>
  <w:footnote w:id="4">
    <w:p w14:paraId="35553B44" w14:textId="77777777" w:rsidR="00F43B40" w:rsidRPr="00D936E9" w:rsidRDefault="00F43B40" w:rsidP="00DF5CCF">
      <w:pPr>
        <w:pStyle w:val="Pidipagina"/>
        <w:jc w:val="both"/>
        <w:rPr>
          <w:rFonts w:ascii="Garamond" w:hAnsi="Garamond"/>
          <w:i/>
          <w:iCs/>
          <w:sz w:val="20"/>
          <w:szCs w:val="20"/>
        </w:rPr>
      </w:pPr>
      <w:r w:rsidRPr="00D936E9">
        <w:rPr>
          <w:rStyle w:val="Rimandonotaapidipagina"/>
          <w:rFonts w:ascii="Garamond" w:hAnsi="Garamond"/>
          <w:sz w:val="20"/>
          <w:szCs w:val="20"/>
        </w:rPr>
        <w:footnoteRef/>
      </w:r>
      <w:r w:rsidRPr="00D936E9">
        <w:rPr>
          <w:rStyle w:val="Rimandonotaapidipagina"/>
          <w:rFonts w:ascii="Garamond" w:hAnsi="Garamond"/>
          <w:sz w:val="20"/>
          <w:szCs w:val="20"/>
        </w:rPr>
        <w:t xml:space="preserve"> </w:t>
      </w:r>
      <w:r w:rsidRPr="00D936E9">
        <w:rPr>
          <w:rFonts w:ascii="Garamond" w:hAnsi="Garamond"/>
          <w:sz w:val="20"/>
          <w:szCs w:val="20"/>
        </w:rPr>
        <w:t xml:space="preserve">Si v. M. FAIOLI, </w:t>
      </w:r>
      <w:r w:rsidRPr="00D936E9">
        <w:rPr>
          <w:rFonts w:ascii="Garamond" w:hAnsi="Garamond"/>
          <w:i/>
          <w:iCs/>
          <w:sz w:val="20"/>
          <w:szCs w:val="20"/>
        </w:rPr>
        <w:t>Mansioni e macchina intelligente</w:t>
      </w:r>
      <w:r w:rsidRPr="00D936E9">
        <w:rPr>
          <w:rFonts w:ascii="Garamond" w:hAnsi="Garamond"/>
          <w:sz w:val="20"/>
          <w:szCs w:val="20"/>
        </w:rPr>
        <w:t xml:space="preserve">, Giappichelli, Torino, 2018, p. 5, che riprende la definizione della ricerca del MIT TECHNOLOGY REVIEW, </w:t>
      </w:r>
      <w:r w:rsidRPr="00D936E9">
        <w:rPr>
          <w:rFonts w:ascii="Garamond" w:hAnsi="Garamond"/>
          <w:i/>
          <w:iCs/>
          <w:sz w:val="20"/>
          <w:szCs w:val="20"/>
        </w:rPr>
        <w:t>The Future of Work, Business Report</w:t>
      </w:r>
      <w:r w:rsidRPr="00D936E9">
        <w:rPr>
          <w:rFonts w:ascii="Garamond" w:hAnsi="Garamond"/>
          <w:sz w:val="20"/>
          <w:szCs w:val="20"/>
        </w:rPr>
        <w:t>, 2015.</w:t>
      </w:r>
    </w:p>
  </w:footnote>
  <w:footnote w:id="5">
    <w:p w14:paraId="21CF7FEA" w14:textId="77777777" w:rsidR="00F43B40" w:rsidRPr="00D936E9" w:rsidRDefault="00F43B40" w:rsidP="00DF5CCF">
      <w:pPr>
        <w:pStyle w:val="Pidipagina"/>
        <w:jc w:val="both"/>
        <w:rPr>
          <w:rFonts w:ascii="Garamond" w:hAnsi="Garamond"/>
          <w:sz w:val="20"/>
          <w:szCs w:val="20"/>
        </w:rPr>
      </w:pPr>
      <w:r w:rsidRPr="00D936E9">
        <w:rPr>
          <w:rStyle w:val="Rimandonotaapidipagina"/>
          <w:rFonts w:ascii="Garamond" w:hAnsi="Garamond"/>
          <w:sz w:val="20"/>
          <w:szCs w:val="20"/>
        </w:rPr>
        <w:footnoteRef/>
      </w:r>
      <w:r w:rsidRPr="00D936E9">
        <w:rPr>
          <w:rStyle w:val="Rimandonotaapidipagina"/>
          <w:rFonts w:ascii="Garamond" w:hAnsi="Garamond"/>
          <w:sz w:val="20"/>
          <w:szCs w:val="20"/>
        </w:rPr>
        <w:t xml:space="preserve"> </w:t>
      </w:r>
      <w:r w:rsidRPr="00D936E9">
        <w:rPr>
          <w:rFonts w:ascii="Garamond" w:hAnsi="Garamond"/>
          <w:sz w:val="20"/>
          <w:szCs w:val="20"/>
        </w:rPr>
        <w:t>M. MAGNANI, Organizzazione del lavoro e professionalità tra rapporti e mercato del lavoro, in Giornale di diritto del lavoro e di relazioni industriali, 2004, 101, pp. 165 ss.</w:t>
      </w:r>
    </w:p>
  </w:footnote>
  <w:footnote w:id="6">
    <w:p w14:paraId="104DD1FD" w14:textId="77D841D0" w:rsidR="00744E49" w:rsidRPr="00D936E9" w:rsidRDefault="00744E49">
      <w:pPr>
        <w:pStyle w:val="Testonotaapidipagina"/>
        <w:rPr>
          <w:rFonts w:ascii="Garamond" w:hAnsi="Garamond"/>
        </w:rPr>
      </w:pPr>
      <w:r w:rsidRPr="00D936E9">
        <w:rPr>
          <w:rStyle w:val="Rimandonotaapidipagina"/>
          <w:rFonts w:ascii="Garamond" w:hAnsi="Garamond"/>
        </w:rPr>
        <w:footnoteRef/>
      </w:r>
      <w:r w:rsidRPr="00D936E9">
        <w:rPr>
          <w:rFonts w:ascii="Garamond" w:hAnsi="Garamond"/>
        </w:rPr>
        <w:t xml:space="preserve"> F. MARTELLONI, </w:t>
      </w:r>
      <w:r w:rsidRPr="00D936E9">
        <w:rPr>
          <w:rFonts w:ascii="Garamond" w:hAnsi="Garamond"/>
          <w:i/>
          <w:iCs/>
        </w:rPr>
        <w:t>Individuale e collettivo: quando i diritti dei lavoratori digitali corrono su due ruote</w:t>
      </w:r>
      <w:r w:rsidRPr="00D936E9">
        <w:rPr>
          <w:rFonts w:ascii="Garamond" w:hAnsi="Garamond"/>
        </w:rPr>
        <w:t xml:space="preserve">, in </w:t>
      </w:r>
      <w:proofErr w:type="spellStart"/>
      <w:r w:rsidRPr="00D936E9">
        <w:rPr>
          <w:rFonts w:ascii="Garamond" w:hAnsi="Garamond"/>
          <w:i/>
          <w:iCs/>
        </w:rPr>
        <w:t>Labour&amp;Law</w:t>
      </w:r>
      <w:proofErr w:type="spellEnd"/>
      <w:r w:rsidRPr="00D936E9">
        <w:rPr>
          <w:rFonts w:ascii="Garamond" w:hAnsi="Garamond"/>
          <w:i/>
          <w:iCs/>
        </w:rPr>
        <w:t xml:space="preserve"> Issues</w:t>
      </w:r>
      <w:r w:rsidRPr="00D936E9">
        <w:rPr>
          <w:rFonts w:ascii="Garamond" w:hAnsi="Garamond"/>
        </w:rPr>
        <w:t>, 2018, 4, 1, pp. 19 ss.</w:t>
      </w:r>
    </w:p>
  </w:footnote>
  <w:footnote w:id="7">
    <w:p w14:paraId="52A6E65B" w14:textId="77777777" w:rsidR="00C47C3C" w:rsidRPr="00D936E9" w:rsidRDefault="00C47C3C" w:rsidP="00C47C3C">
      <w:pPr>
        <w:pStyle w:val="Testonotaapidipagina"/>
        <w:jc w:val="both"/>
        <w:rPr>
          <w:rFonts w:ascii="Garamond" w:hAnsi="Garamond"/>
        </w:rPr>
      </w:pPr>
      <w:r w:rsidRPr="00D936E9">
        <w:rPr>
          <w:rStyle w:val="Rimandonotaapidipagina"/>
          <w:rFonts w:ascii="Garamond" w:hAnsi="Garamond"/>
        </w:rPr>
        <w:footnoteRef/>
      </w:r>
      <w:r w:rsidRPr="00D936E9">
        <w:rPr>
          <w:rFonts w:ascii="Garamond" w:hAnsi="Garamond"/>
        </w:rPr>
        <w:t xml:space="preserve"> Nell’ultima versione del 7 giugno 2023.</w:t>
      </w:r>
    </w:p>
  </w:footnote>
  <w:footnote w:id="8">
    <w:p w14:paraId="6016D48C" w14:textId="64FE9A1F" w:rsidR="00F43B40" w:rsidRPr="00D936E9" w:rsidRDefault="00F43B40" w:rsidP="00DF5CCF">
      <w:pPr>
        <w:pStyle w:val="Pidipagina"/>
        <w:jc w:val="both"/>
        <w:rPr>
          <w:rFonts w:ascii="Garamond" w:hAnsi="Garamond"/>
          <w:sz w:val="20"/>
          <w:szCs w:val="20"/>
          <w:lang w:val="en-US"/>
        </w:rPr>
      </w:pPr>
      <w:r w:rsidRPr="00D936E9">
        <w:rPr>
          <w:rStyle w:val="Rimandonotaapidipagina"/>
          <w:rFonts w:ascii="Garamond" w:hAnsi="Garamond"/>
          <w:sz w:val="20"/>
          <w:szCs w:val="20"/>
        </w:rPr>
        <w:footnoteRef/>
      </w:r>
      <w:r w:rsidRPr="00D936E9">
        <w:rPr>
          <w:rFonts w:ascii="Garamond" w:hAnsi="Garamond"/>
          <w:sz w:val="20"/>
          <w:szCs w:val="20"/>
          <w:lang w:val="en-US"/>
        </w:rPr>
        <w:t xml:space="preserve"> </w:t>
      </w:r>
      <w:r w:rsidR="00520795" w:rsidRPr="00D936E9">
        <w:rPr>
          <w:rFonts w:ascii="Garamond" w:hAnsi="Garamond"/>
          <w:sz w:val="20"/>
          <w:szCs w:val="20"/>
          <w:lang w:val="en-US"/>
        </w:rPr>
        <w:t xml:space="preserve">Si v. Don’t GIG Up, </w:t>
      </w:r>
      <w:proofErr w:type="gramStart"/>
      <w:r w:rsidR="00520795" w:rsidRPr="00D936E9">
        <w:rPr>
          <w:rFonts w:ascii="Garamond" w:hAnsi="Garamond"/>
          <w:sz w:val="20"/>
          <w:szCs w:val="20"/>
          <w:lang w:val="en-US"/>
        </w:rPr>
        <w:t>Never</w:t>
      </w:r>
      <w:proofErr w:type="gramEnd"/>
      <w:r w:rsidR="00520795" w:rsidRPr="00D936E9">
        <w:rPr>
          <w:rFonts w:ascii="Garamond" w:hAnsi="Garamond"/>
          <w:sz w:val="20"/>
          <w:szCs w:val="20"/>
          <w:lang w:val="en-US"/>
        </w:rPr>
        <w:t>! Project, Country update – Italy, in http://www.dontgigup.eu/wp-content/uploads/2023/01/Country-Update_Italy.pdf, 4/2022</w:t>
      </w:r>
    </w:p>
  </w:footnote>
  <w:footnote w:id="9">
    <w:p w14:paraId="1B792A75" w14:textId="7A5C67B7" w:rsidR="00D147AC" w:rsidRPr="00D936E9" w:rsidRDefault="00D147AC" w:rsidP="00DF5CCF">
      <w:pPr>
        <w:pStyle w:val="Testonotaapidipagina"/>
        <w:jc w:val="both"/>
        <w:rPr>
          <w:rFonts w:ascii="Garamond" w:hAnsi="Garamond"/>
        </w:rPr>
      </w:pPr>
      <w:r w:rsidRPr="00D936E9">
        <w:rPr>
          <w:rStyle w:val="Rimandonotaapidipagina"/>
          <w:rFonts w:ascii="Garamond" w:hAnsi="Garamond"/>
        </w:rPr>
        <w:footnoteRef/>
      </w:r>
      <w:r w:rsidRPr="00D936E9">
        <w:rPr>
          <w:rFonts w:ascii="Garamond" w:hAnsi="Garamond"/>
        </w:rPr>
        <w:t xml:space="preserve"> In questo senso non si condivide l’analisi di A. BELLAVISTA, </w:t>
      </w:r>
      <w:r w:rsidRPr="00D936E9">
        <w:rPr>
          <w:rFonts w:ascii="Garamond" w:hAnsi="Garamond"/>
          <w:i/>
          <w:iCs/>
        </w:rPr>
        <w:t>L’unità produttiva digitale</w:t>
      </w:r>
      <w:r w:rsidRPr="00D936E9">
        <w:rPr>
          <w:rFonts w:ascii="Garamond" w:hAnsi="Garamond"/>
        </w:rPr>
        <w:t xml:space="preserve">, in </w:t>
      </w:r>
      <w:proofErr w:type="spellStart"/>
      <w:r w:rsidRPr="00D936E9">
        <w:rPr>
          <w:rFonts w:ascii="Garamond" w:hAnsi="Garamond"/>
          <w:i/>
          <w:iCs/>
        </w:rPr>
        <w:t>LaBoUR&amp;Law</w:t>
      </w:r>
      <w:proofErr w:type="spellEnd"/>
      <w:r w:rsidRPr="00D936E9">
        <w:rPr>
          <w:rFonts w:ascii="Garamond" w:hAnsi="Garamond"/>
          <w:i/>
          <w:iCs/>
        </w:rPr>
        <w:t xml:space="preserve"> Issues</w:t>
      </w:r>
      <w:r w:rsidRPr="00D936E9">
        <w:rPr>
          <w:rFonts w:ascii="Garamond" w:hAnsi="Garamond"/>
        </w:rPr>
        <w:t>, 2023, 9, 1, p. 97 che descrive un mondo del lavoro digitalizzato esclusivamente sbilanciato a favore delle piattaforme di lavoro, dove «</w:t>
      </w:r>
      <w:r w:rsidRPr="00D936E9">
        <w:rPr>
          <w:rFonts w:ascii="Garamond" w:hAnsi="Garamond"/>
          <w:i/>
          <w:iCs/>
        </w:rPr>
        <w:t>incombe sempre lo spettro dello sfruttamento</w:t>
      </w:r>
      <w:r w:rsidRPr="00D936E9">
        <w:rPr>
          <w:rFonts w:ascii="Garamond" w:hAnsi="Garamond"/>
        </w:rPr>
        <w:t>».</w:t>
      </w:r>
    </w:p>
  </w:footnote>
  <w:footnote w:id="10">
    <w:p w14:paraId="30172110" w14:textId="01043650" w:rsidR="00550567" w:rsidRPr="00D936E9" w:rsidRDefault="00550567" w:rsidP="00DF5CCF">
      <w:pPr>
        <w:pStyle w:val="Testonotaapidipagina"/>
        <w:jc w:val="both"/>
        <w:rPr>
          <w:rFonts w:ascii="Garamond" w:hAnsi="Garamond"/>
        </w:rPr>
      </w:pPr>
      <w:r w:rsidRPr="00D936E9">
        <w:rPr>
          <w:rStyle w:val="Rimandonotaapidipagina"/>
          <w:rFonts w:ascii="Garamond" w:hAnsi="Garamond"/>
        </w:rPr>
        <w:footnoteRef/>
      </w:r>
      <w:r w:rsidRPr="00D936E9">
        <w:rPr>
          <w:rFonts w:ascii="Garamond" w:hAnsi="Garamond"/>
        </w:rPr>
        <w:t xml:space="preserve"> O. BONARDI, </w:t>
      </w:r>
      <w:r w:rsidRPr="00D936E9">
        <w:rPr>
          <w:rFonts w:ascii="Garamond" w:hAnsi="Garamond"/>
          <w:i/>
          <w:iCs/>
        </w:rPr>
        <w:t>Sintesi del dibattito</w:t>
      </w:r>
      <w:r w:rsidRPr="00D936E9">
        <w:rPr>
          <w:rFonts w:ascii="Garamond" w:hAnsi="Garamond"/>
        </w:rPr>
        <w:t xml:space="preserve">, in </w:t>
      </w:r>
      <w:r w:rsidRPr="00D936E9">
        <w:rPr>
          <w:rFonts w:ascii="Garamond" w:hAnsi="Garamond"/>
          <w:i/>
          <w:iCs/>
        </w:rPr>
        <w:t>Rivista Giuridica del Lavoro e della Previdenza Sociale</w:t>
      </w:r>
      <w:r w:rsidRPr="00D936E9">
        <w:rPr>
          <w:rFonts w:ascii="Garamond" w:hAnsi="Garamond"/>
        </w:rPr>
        <w:t xml:space="preserve">, 2017, 2, p. 144 e </w:t>
      </w:r>
      <w:proofErr w:type="spellStart"/>
      <w:r w:rsidRPr="00D936E9">
        <w:rPr>
          <w:rFonts w:ascii="Garamond" w:hAnsi="Garamond"/>
        </w:rPr>
        <w:t>ss</w:t>
      </w:r>
      <w:proofErr w:type="spellEnd"/>
    </w:p>
  </w:footnote>
  <w:footnote w:id="11">
    <w:p w14:paraId="7D93B53A" w14:textId="77777777" w:rsidR="003769A2" w:rsidRPr="00D936E9" w:rsidRDefault="003769A2" w:rsidP="00DF5CCF">
      <w:pPr>
        <w:pStyle w:val="Pidipagina"/>
        <w:jc w:val="both"/>
        <w:rPr>
          <w:rFonts w:ascii="Garamond" w:hAnsi="Garamond"/>
          <w:sz w:val="20"/>
          <w:szCs w:val="20"/>
        </w:rPr>
      </w:pPr>
      <w:r w:rsidRPr="00D936E9">
        <w:rPr>
          <w:rStyle w:val="Rimandonotaapidipagina"/>
          <w:rFonts w:ascii="Garamond" w:hAnsi="Garamond"/>
          <w:sz w:val="20"/>
          <w:szCs w:val="20"/>
        </w:rPr>
        <w:footnoteRef/>
      </w:r>
      <w:r w:rsidRPr="00D936E9">
        <w:rPr>
          <w:rStyle w:val="Rimandonotaapidipagina"/>
          <w:rFonts w:ascii="Garamond" w:hAnsi="Garamond"/>
          <w:sz w:val="20"/>
          <w:szCs w:val="20"/>
        </w:rPr>
        <w:t xml:space="preserve"> </w:t>
      </w:r>
      <w:r w:rsidRPr="00D936E9">
        <w:rPr>
          <w:rFonts w:ascii="Garamond" w:hAnsi="Garamond"/>
          <w:sz w:val="20"/>
          <w:szCs w:val="20"/>
        </w:rPr>
        <w:t xml:space="preserve">Su tale metodo di analisi si rinvia agli studi di A. L. MCINTYRE, </w:t>
      </w:r>
      <w:r w:rsidRPr="00D936E9">
        <w:rPr>
          <w:rFonts w:ascii="Garamond" w:hAnsi="Garamond"/>
          <w:i/>
          <w:iCs/>
          <w:sz w:val="20"/>
          <w:szCs w:val="20"/>
        </w:rPr>
        <w:t>Post-verità</w:t>
      </w:r>
      <w:r w:rsidRPr="00D936E9">
        <w:rPr>
          <w:rFonts w:ascii="Garamond" w:hAnsi="Garamond"/>
          <w:sz w:val="20"/>
          <w:szCs w:val="20"/>
        </w:rPr>
        <w:t xml:space="preserve">, Utet, Torino, 2019. </w:t>
      </w:r>
      <w:r w:rsidRPr="00D936E9">
        <w:rPr>
          <w:rFonts w:ascii="Garamond" w:hAnsi="Garamond"/>
          <w:sz w:val="20"/>
          <w:szCs w:val="20"/>
          <w:lang w:val="en-US"/>
        </w:rPr>
        <w:t xml:space="preserve">Si </w:t>
      </w:r>
      <w:proofErr w:type="spellStart"/>
      <w:r w:rsidRPr="00D936E9">
        <w:rPr>
          <w:rFonts w:ascii="Garamond" w:hAnsi="Garamond"/>
          <w:sz w:val="20"/>
          <w:szCs w:val="20"/>
          <w:lang w:val="en-US"/>
        </w:rPr>
        <w:t>rinvia</w:t>
      </w:r>
      <w:proofErr w:type="spellEnd"/>
      <w:r w:rsidRPr="00D936E9">
        <w:rPr>
          <w:rFonts w:ascii="Garamond" w:hAnsi="Garamond"/>
          <w:sz w:val="20"/>
          <w:szCs w:val="20"/>
          <w:lang w:val="en-US"/>
        </w:rPr>
        <w:t xml:space="preserve">, </w:t>
      </w:r>
      <w:proofErr w:type="spellStart"/>
      <w:r w:rsidRPr="00D936E9">
        <w:rPr>
          <w:rFonts w:ascii="Garamond" w:hAnsi="Garamond"/>
          <w:sz w:val="20"/>
          <w:szCs w:val="20"/>
          <w:lang w:val="en-US"/>
        </w:rPr>
        <w:t>altresì</w:t>
      </w:r>
      <w:proofErr w:type="spellEnd"/>
      <w:r w:rsidRPr="00D936E9">
        <w:rPr>
          <w:rFonts w:ascii="Garamond" w:hAnsi="Garamond"/>
          <w:sz w:val="20"/>
          <w:szCs w:val="20"/>
          <w:lang w:val="en-US"/>
        </w:rPr>
        <w:t xml:space="preserve">, </w:t>
      </w:r>
      <w:proofErr w:type="spellStart"/>
      <w:r w:rsidRPr="00D936E9">
        <w:rPr>
          <w:rFonts w:ascii="Garamond" w:hAnsi="Garamond"/>
          <w:sz w:val="20"/>
          <w:szCs w:val="20"/>
          <w:lang w:val="en-US"/>
        </w:rPr>
        <w:t>all’impostazione</w:t>
      </w:r>
      <w:proofErr w:type="spellEnd"/>
      <w:r w:rsidRPr="00D936E9">
        <w:rPr>
          <w:rFonts w:ascii="Garamond" w:hAnsi="Garamond"/>
          <w:sz w:val="20"/>
          <w:szCs w:val="20"/>
          <w:lang w:val="en-US"/>
        </w:rPr>
        <w:t xml:space="preserve"> di S. DEAKIN, </w:t>
      </w:r>
      <w:r w:rsidRPr="00D936E9">
        <w:rPr>
          <w:rFonts w:ascii="Garamond" w:hAnsi="Garamond"/>
          <w:i/>
          <w:iCs/>
          <w:sz w:val="20"/>
          <w:szCs w:val="20"/>
          <w:lang w:val="en-US"/>
        </w:rPr>
        <w:t>The Economic Significance of Laws Relating to Employment Protection and Different Forms of Employment</w:t>
      </w:r>
      <w:r w:rsidRPr="00D936E9">
        <w:rPr>
          <w:rFonts w:ascii="Garamond" w:hAnsi="Garamond"/>
          <w:sz w:val="20"/>
          <w:szCs w:val="20"/>
          <w:lang w:val="en-US"/>
        </w:rPr>
        <w:t xml:space="preserve">, in </w:t>
      </w:r>
      <w:hyperlink r:id="rId1" w:history="1">
        <w:r w:rsidRPr="00D936E9">
          <w:rPr>
            <w:rFonts w:ascii="Garamond" w:hAnsi="Garamond"/>
            <w:i/>
            <w:iCs/>
            <w:sz w:val="20"/>
            <w:szCs w:val="20"/>
            <w:lang w:val="en-US"/>
          </w:rPr>
          <w:t>https://acelg.uva.nl/content/news/2019/08/simon-deakin-on-how-to-build-adataset-of-labour-laws-with-global-reach.html?cb</w:t>
        </w:r>
      </w:hyperlink>
      <w:r w:rsidRPr="00D936E9">
        <w:rPr>
          <w:rFonts w:ascii="Garamond" w:hAnsi="Garamond"/>
          <w:i/>
          <w:iCs/>
          <w:sz w:val="20"/>
          <w:szCs w:val="20"/>
          <w:lang w:val="en-US"/>
        </w:rPr>
        <w:t>)</w:t>
      </w:r>
      <w:r w:rsidRPr="00D936E9">
        <w:rPr>
          <w:rFonts w:ascii="Garamond" w:hAnsi="Garamond"/>
          <w:sz w:val="20"/>
          <w:szCs w:val="20"/>
          <w:lang w:val="en-US"/>
        </w:rPr>
        <w:t xml:space="preserve">, 2019. </w:t>
      </w:r>
      <w:r w:rsidRPr="00D936E9">
        <w:rPr>
          <w:rFonts w:ascii="Garamond" w:hAnsi="Garamond"/>
          <w:sz w:val="20"/>
          <w:szCs w:val="20"/>
        </w:rPr>
        <w:t xml:space="preserve">Si veda anche M. FAIOLI, </w:t>
      </w:r>
      <w:r w:rsidRPr="00D936E9">
        <w:rPr>
          <w:rFonts w:ascii="Garamond" w:hAnsi="Garamond"/>
          <w:i/>
          <w:iCs/>
          <w:sz w:val="20"/>
          <w:szCs w:val="20"/>
        </w:rPr>
        <w:t>Il contratto di espansione nell’ambito del piano NGEU e delle relazioni industriali italiane</w:t>
      </w:r>
      <w:r w:rsidRPr="00D936E9">
        <w:rPr>
          <w:rFonts w:ascii="Garamond" w:hAnsi="Garamond"/>
          <w:sz w:val="20"/>
          <w:szCs w:val="20"/>
        </w:rPr>
        <w:t xml:space="preserve">, in </w:t>
      </w:r>
      <w:r w:rsidRPr="00D936E9">
        <w:rPr>
          <w:rFonts w:ascii="Garamond" w:hAnsi="Garamond"/>
          <w:i/>
          <w:iCs/>
          <w:sz w:val="20"/>
          <w:szCs w:val="20"/>
        </w:rPr>
        <w:t>Federalismi.it</w:t>
      </w:r>
      <w:r w:rsidRPr="00D936E9">
        <w:rPr>
          <w:rFonts w:ascii="Garamond" w:hAnsi="Garamond"/>
          <w:sz w:val="20"/>
          <w:szCs w:val="20"/>
        </w:rPr>
        <w:t>, 13, 2021.</w:t>
      </w:r>
    </w:p>
  </w:footnote>
  <w:footnote w:id="12">
    <w:p w14:paraId="4CEE919B" w14:textId="2F95A603" w:rsidR="008948A9" w:rsidRPr="00D936E9" w:rsidRDefault="008948A9" w:rsidP="00DF5CCF">
      <w:pPr>
        <w:pStyle w:val="Testonotaapidipagina"/>
        <w:jc w:val="both"/>
        <w:rPr>
          <w:rFonts w:ascii="Garamond" w:hAnsi="Garamond"/>
        </w:rPr>
      </w:pPr>
      <w:r w:rsidRPr="00D936E9">
        <w:rPr>
          <w:rStyle w:val="Rimandonotaapidipagina"/>
          <w:rFonts w:ascii="Garamond" w:hAnsi="Garamond"/>
        </w:rPr>
        <w:footnoteRef/>
      </w:r>
      <w:r w:rsidRPr="00D936E9">
        <w:rPr>
          <w:rFonts w:ascii="Garamond" w:hAnsi="Garamond"/>
        </w:rPr>
        <w:t xml:space="preserve"> </w:t>
      </w:r>
      <w:r w:rsidR="00E7758E" w:rsidRPr="00D936E9">
        <w:rPr>
          <w:rFonts w:ascii="Garamond" w:hAnsi="Garamond"/>
        </w:rPr>
        <w:t xml:space="preserve">U. ROMAGNOLI, </w:t>
      </w:r>
      <w:r w:rsidRPr="00D936E9">
        <w:rPr>
          <w:rFonts w:ascii="Garamond" w:hAnsi="Garamond"/>
          <w:i/>
          <w:iCs/>
        </w:rPr>
        <w:t>«Ragionevoli utopie» cultura giuridica del lavoro e cittadinanza sociale. Intervista a Umberto Romagnoli di Giovanni Cazzetta</w:t>
      </w:r>
      <w:r w:rsidRPr="00D936E9">
        <w:rPr>
          <w:rFonts w:ascii="Garamond" w:hAnsi="Garamond"/>
        </w:rPr>
        <w:t xml:space="preserve">, in Quaderni fiorentini, </w:t>
      </w:r>
      <w:r w:rsidR="00E7758E" w:rsidRPr="00D936E9">
        <w:rPr>
          <w:rFonts w:ascii="Garamond" w:hAnsi="Garamond"/>
        </w:rPr>
        <w:t xml:space="preserve">2017, </w:t>
      </w:r>
      <w:r w:rsidRPr="00D936E9">
        <w:rPr>
          <w:rFonts w:ascii="Garamond" w:hAnsi="Garamond"/>
        </w:rPr>
        <w:t xml:space="preserve">XLVI, 761 </w:t>
      </w:r>
      <w:proofErr w:type="gramStart"/>
      <w:r w:rsidRPr="00D936E9">
        <w:rPr>
          <w:rFonts w:ascii="Garamond" w:hAnsi="Garamond"/>
        </w:rPr>
        <w:t>ss.</w:t>
      </w:r>
      <w:r w:rsidR="00550567" w:rsidRPr="00D936E9">
        <w:rPr>
          <w:rFonts w:ascii="Garamond" w:hAnsi="Garamond"/>
        </w:rPr>
        <w:t>.</w:t>
      </w:r>
      <w:proofErr w:type="gramEnd"/>
      <w:r w:rsidR="00550567" w:rsidRPr="00D936E9">
        <w:rPr>
          <w:rFonts w:ascii="Garamond" w:hAnsi="Garamond"/>
        </w:rPr>
        <w:t xml:space="preserve"> </w:t>
      </w:r>
      <w:r w:rsidR="00550567" w:rsidRPr="00D936E9">
        <w:rPr>
          <w:rFonts w:ascii="Garamond" w:hAnsi="Garamond"/>
          <w:spacing w:val="3"/>
        </w:rPr>
        <w:t>Tale pensiero è stato efficacemente trasposto in una lettera che Giugni inviò ad Adriano Olivetti il 23 novembre 1954</w:t>
      </w:r>
      <w:r w:rsidR="00550567" w:rsidRPr="00D936E9">
        <w:rPr>
          <w:rStyle w:val="Rimandonotaapidipagina"/>
          <w:rFonts w:ascii="Garamond" w:hAnsi="Garamond"/>
          <w:spacing w:val="3"/>
        </w:rPr>
        <w:footnoteRef/>
      </w:r>
      <w:r w:rsidR="00550567" w:rsidRPr="00D936E9">
        <w:rPr>
          <w:rFonts w:ascii="Garamond" w:hAnsi="Garamond"/>
          <w:spacing w:val="3"/>
        </w:rPr>
        <w:t>, al fine di pubblicare uno studio sul «</w:t>
      </w:r>
      <w:r w:rsidR="00550567" w:rsidRPr="00D936E9">
        <w:rPr>
          <w:rFonts w:ascii="Garamond" w:hAnsi="Garamond"/>
          <w:i/>
          <w:iCs/>
          <w:spacing w:val="3"/>
        </w:rPr>
        <w:t>diritto dei contratti collettivi in Italia</w:t>
      </w:r>
      <w:r w:rsidR="00550567" w:rsidRPr="00D936E9">
        <w:rPr>
          <w:rFonts w:ascii="Garamond" w:hAnsi="Garamond"/>
          <w:spacing w:val="3"/>
        </w:rPr>
        <w:t>»: «</w:t>
      </w:r>
      <w:r w:rsidR="00550567" w:rsidRPr="00D936E9">
        <w:rPr>
          <w:rFonts w:ascii="Garamond" w:hAnsi="Garamond"/>
          <w:i/>
          <w:iCs/>
          <w:spacing w:val="3"/>
        </w:rPr>
        <w:t xml:space="preserve">Il diritto del lavoro [...] è praticamente arenato in una formalistica considerazione delle norme codificate dal </w:t>
      </w:r>
      <w:proofErr w:type="gramStart"/>
      <w:r w:rsidR="00550567" w:rsidRPr="00D936E9">
        <w:rPr>
          <w:rFonts w:ascii="Garamond" w:hAnsi="Garamond"/>
          <w:i/>
          <w:iCs/>
          <w:spacing w:val="3"/>
        </w:rPr>
        <w:t>Codice Civile</w:t>
      </w:r>
      <w:proofErr w:type="gramEnd"/>
      <w:r w:rsidR="00550567" w:rsidRPr="00D936E9">
        <w:rPr>
          <w:rFonts w:ascii="Garamond" w:hAnsi="Garamond"/>
          <w:i/>
          <w:iCs/>
          <w:spacing w:val="3"/>
        </w:rPr>
        <w:t>, che per larga parte sono superate e integrate dalla contrattazione collettiva (basti pensare alla disciplina dei licenziamenti nell’industria). I più giovani studiosi della materia – che per verità sono pochi – sono generalmente convinti che occorre ripensare l’intero sistema in termini nuovi, e far leva sugli istituti che provengono dall’autonomia delle parti. Fatto è, però, che nessun tentativo è stato fatto in questo senso, e l’attività scientifica in questo settore si fossilizza sempre più nel formalismo dottrinale e nel contorto concettualismo che affligge la nostra dottrina giuridica</w:t>
      </w:r>
      <w:r w:rsidR="00550567" w:rsidRPr="00D936E9">
        <w:rPr>
          <w:rFonts w:ascii="Garamond" w:hAnsi="Garamond"/>
          <w:spacing w:val="3"/>
        </w:rPr>
        <w:t>».</w:t>
      </w:r>
    </w:p>
  </w:footnote>
  <w:footnote w:id="13">
    <w:p w14:paraId="269C72A6" w14:textId="555FD917" w:rsidR="003769A2" w:rsidRPr="00D936E9" w:rsidRDefault="003769A2" w:rsidP="00DF5CCF">
      <w:pPr>
        <w:pStyle w:val="Titolo3"/>
        <w:shd w:val="clear" w:color="auto" w:fill="FFFFFF"/>
        <w:spacing w:before="0"/>
        <w:jc w:val="both"/>
        <w:rPr>
          <w:rFonts w:ascii="Garamond" w:hAnsi="Garamond"/>
          <w:color w:val="auto"/>
          <w:sz w:val="20"/>
          <w:szCs w:val="20"/>
        </w:rPr>
      </w:pPr>
      <w:r w:rsidRPr="00D936E9">
        <w:rPr>
          <w:rStyle w:val="Rimandonotaapidipagina"/>
          <w:rFonts w:ascii="Garamond" w:hAnsi="Garamond"/>
          <w:color w:val="auto"/>
          <w:sz w:val="20"/>
          <w:szCs w:val="20"/>
        </w:rPr>
        <w:footnoteRef/>
      </w:r>
      <w:r w:rsidRPr="00D936E9">
        <w:rPr>
          <w:rStyle w:val="Rimandonotaapidipagina"/>
          <w:rFonts w:ascii="Garamond" w:hAnsi="Garamond"/>
          <w:color w:val="auto"/>
          <w:sz w:val="20"/>
          <w:szCs w:val="20"/>
        </w:rPr>
        <w:t xml:space="preserve"> </w:t>
      </w:r>
      <w:r w:rsidRPr="00D936E9">
        <w:rPr>
          <w:rFonts w:ascii="Garamond" w:hAnsi="Garamond"/>
          <w:color w:val="auto"/>
          <w:sz w:val="20"/>
          <w:szCs w:val="20"/>
        </w:rPr>
        <w:t xml:space="preserve">Sul punto, M. FAIOLI, </w:t>
      </w:r>
      <w:r w:rsidRPr="00D936E9">
        <w:rPr>
          <w:rFonts w:ascii="Garamond" w:hAnsi="Garamond"/>
          <w:i/>
          <w:iCs/>
          <w:color w:val="auto"/>
          <w:sz w:val="20"/>
          <w:szCs w:val="20"/>
        </w:rPr>
        <w:t xml:space="preserve">Il lavoro nella </w:t>
      </w:r>
      <w:proofErr w:type="spellStart"/>
      <w:r w:rsidRPr="00D936E9">
        <w:rPr>
          <w:rFonts w:ascii="Garamond" w:hAnsi="Garamond"/>
          <w:i/>
          <w:iCs/>
          <w:color w:val="auto"/>
          <w:sz w:val="20"/>
          <w:szCs w:val="20"/>
        </w:rPr>
        <w:t>gig</w:t>
      </w:r>
      <w:proofErr w:type="spellEnd"/>
      <w:r w:rsidRPr="00D936E9">
        <w:rPr>
          <w:rFonts w:ascii="Garamond" w:hAnsi="Garamond"/>
          <w:i/>
          <w:iCs/>
          <w:color w:val="auto"/>
          <w:sz w:val="20"/>
          <w:szCs w:val="20"/>
        </w:rPr>
        <w:t>-economy</w:t>
      </w:r>
      <w:r w:rsidRPr="00D936E9">
        <w:rPr>
          <w:rFonts w:ascii="Garamond" w:hAnsi="Garamond"/>
          <w:color w:val="auto"/>
          <w:sz w:val="20"/>
          <w:szCs w:val="20"/>
        </w:rPr>
        <w:t xml:space="preserve">, in </w:t>
      </w:r>
      <w:r w:rsidRPr="00D936E9">
        <w:rPr>
          <w:rFonts w:ascii="Garamond" w:hAnsi="Garamond"/>
          <w:i/>
          <w:iCs/>
          <w:color w:val="auto"/>
          <w:sz w:val="20"/>
          <w:szCs w:val="20"/>
        </w:rPr>
        <w:t>Treccani Diritto</w:t>
      </w:r>
      <w:r w:rsidRPr="00D936E9">
        <w:rPr>
          <w:rFonts w:ascii="Garamond" w:hAnsi="Garamond"/>
          <w:color w:val="auto"/>
          <w:sz w:val="20"/>
          <w:szCs w:val="20"/>
        </w:rPr>
        <w:t>, 2.1.3, Milano, 2018, p. 305</w:t>
      </w:r>
      <w:r w:rsidR="001F3C83" w:rsidRPr="00D936E9">
        <w:rPr>
          <w:rFonts w:ascii="Garamond" w:hAnsi="Garamond"/>
          <w:color w:val="auto"/>
          <w:sz w:val="20"/>
          <w:szCs w:val="20"/>
        </w:rPr>
        <w:t xml:space="preserve">. Si v. anche </w:t>
      </w:r>
      <w:proofErr w:type="spellStart"/>
      <w:r w:rsidR="001F3C83" w:rsidRPr="00D936E9">
        <w:rPr>
          <w:rFonts w:ascii="Garamond" w:hAnsi="Garamond"/>
          <w:color w:val="auto"/>
          <w:sz w:val="20"/>
          <w:szCs w:val="20"/>
        </w:rPr>
        <w:t>Don’t</w:t>
      </w:r>
      <w:proofErr w:type="spellEnd"/>
      <w:r w:rsidR="001F3C83" w:rsidRPr="00D936E9">
        <w:rPr>
          <w:rFonts w:ascii="Garamond" w:hAnsi="Garamond"/>
          <w:color w:val="auto"/>
          <w:sz w:val="20"/>
          <w:szCs w:val="20"/>
        </w:rPr>
        <w:t xml:space="preserve"> GIG Up</w:t>
      </w:r>
      <w:r w:rsidR="004A5D95" w:rsidRPr="00D936E9">
        <w:rPr>
          <w:rFonts w:ascii="Garamond" w:hAnsi="Garamond"/>
          <w:color w:val="auto"/>
          <w:sz w:val="20"/>
          <w:szCs w:val="20"/>
        </w:rPr>
        <w:t>!</w:t>
      </w:r>
      <w:r w:rsidR="001F3C83" w:rsidRPr="00D936E9">
        <w:rPr>
          <w:rFonts w:ascii="Garamond" w:hAnsi="Garamond"/>
          <w:color w:val="auto"/>
          <w:sz w:val="20"/>
          <w:szCs w:val="20"/>
        </w:rPr>
        <w:t xml:space="preserve"> Project</w:t>
      </w:r>
      <w:r w:rsidR="004A5D95" w:rsidRPr="00D936E9">
        <w:rPr>
          <w:rFonts w:ascii="Garamond" w:hAnsi="Garamond"/>
          <w:color w:val="auto"/>
          <w:sz w:val="20"/>
          <w:szCs w:val="20"/>
        </w:rPr>
        <w:t xml:space="preserve">, </w:t>
      </w:r>
      <w:r w:rsidR="004A5D95" w:rsidRPr="00D936E9">
        <w:rPr>
          <w:rFonts w:ascii="Garamond" w:hAnsi="Garamond"/>
          <w:i/>
          <w:iCs/>
          <w:color w:val="auto"/>
          <w:sz w:val="20"/>
          <w:szCs w:val="20"/>
        </w:rPr>
        <w:t>State of the Art Report</w:t>
      </w:r>
      <w:r w:rsidR="004A5D95" w:rsidRPr="00D936E9">
        <w:rPr>
          <w:rFonts w:ascii="Garamond" w:hAnsi="Garamond"/>
          <w:color w:val="auto"/>
          <w:sz w:val="20"/>
          <w:szCs w:val="20"/>
        </w:rPr>
        <w:t xml:space="preserve">, in </w:t>
      </w:r>
      <w:hyperlink r:id="rId2" w:history="1">
        <w:r w:rsidR="004A5D95" w:rsidRPr="00D936E9">
          <w:rPr>
            <w:rStyle w:val="Collegamentoipertestuale"/>
            <w:rFonts w:ascii="Garamond" w:hAnsi="Garamond"/>
            <w:color w:val="auto"/>
            <w:sz w:val="20"/>
            <w:szCs w:val="20"/>
          </w:rPr>
          <w:t>http://www.dontgigup.eu/wp-content/uploads/2020/05/State_of_the_Art_Report.pdf</w:t>
        </w:r>
      </w:hyperlink>
      <w:r w:rsidR="004A5D95" w:rsidRPr="00D936E9">
        <w:rPr>
          <w:rFonts w:ascii="Garamond" w:hAnsi="Garamond"/>
          <w:color w:val="auto"/>
          <w:sz w:val="20"/>
          <w:szCs w:val="20"/>
        </w:rPr>
        <w:t>, 2/2019,</w:t>
      </w:r>
      <w:r w:rsidRPr="00D936E9">
        <w:rPr>
          <w:rFonts w:ascii="Garamond" w:hAnsi="Garamond"/>
          <w:color w:val="auto"/>
          <w:sz w:val="20"/>
          <w:szCs w:val="20"/>
        </w:rPr>
        <w:t xml:space="preserve"> e </w:t>
      </w:r>
      <w:r w:rsidR="001F3C83" w:rsidRPr="00D936E9">
        <w:rPr>
          <w:rFonts w:ascii="Garamond" w:hAnsi="Garamond"/>
          <w:color w:val="auto"/>
          <w:sz w:val="20"/>
          <w:szCs w:val="20"/>
        </w:rPr>
        <w:t xml:space="preserve">PAIS. I., </w:t>
      </w:r>
      <w:r w:rsidR="001F3C83" w:rsidRPr="00D936E9">
        <w:rPr>
          <w:rFonts w:ascii="Garamond" w:hAnsi="Garamond"/>
          <w:i/>
          <w:iCs/>
          <w:color w:val="auto"/>
          <w:sz w:val="20"/>
          <w:szCs w:val="20"/>
        </w:rPr>
        <w:t>Management algoritmico nell'economia delle piattaforme</w:t>
      </w:r>
      <w:r w:rsidR="001F3C83" w:rsidRPr="00D936E9">
        <w:rPr>
          <w:rFonts w:ascii="Garamond" w:hAnsi="Garamond"/>
          <w:color w:val="auto"/>
          <w:sz w:val="20"/>
          <w:szCs w:val="20"/>
        </w:rPr>
        <w:t xml:space="preserve">, in </w:t>
      </w:r>
      <w:r w:rsidR="001F3C83" w:rsidRPr="00D936E9">
        <w:rPr>
          <w:rFonts w:ascii="Garamond" w:hAnsi="Garamond"/>
          <w:i/>
          <w:iCs/>
          <w:color w:val="auto"/>
          <w:sz w:val="20"/>
          <w:szCs w:val="20"/>
        </w:rPr>
        <w:t>Economia &amp; lavoro</w:t>
      </w:r>
      <w:r w:rsidR="001F3C83" w:rsidRPr="00D936E9">
        <w:rPr>
          <w:rFonts w:ascii="Garamond" w:hAnsi="Garamond"/>
          <w:color w:val="auto"/>
          <w:sz w:val="20"/>
          <w:szCs w:val="20"/>
        </w:rPr>
        <w:t xml:space="preserve">, </w:t>
      </w:r>
      <w:r w:rsidR="00473434" w:rsidRPr="00D936E9">
        <w:rPr>
          <w:rFonts w:ascii="Garamond" w:hAnsi="Garamond"/>
          <w:color w:val="auto"/>
          <w:sz w:val="20"/>
          <w:szCs w:val="20"/>
        </w:rPr>
        <w:t>2022, 3, p. 57-80.</w:t>
      </w:r>
    </w:p>
  </w:footnote>
  <w:footnote w:id="14">
    <w:p w14:paraId="3F82A206" w14:textId="587FD354" w:rsidR="00C43D9C" w:rsidRPr="00D936E9" w:rsidRDefault="00C43D9C" w:rsidP="00DF5CCF">
      <w:pPr>
        <w:pStyle w:val="Testonotaapidipagina"/>
        <w:jc w:val="both"/>
        <w:rPr>
          <w:rFonts w:ascii="Garamond" w:hAnsi="Garamond"/>
        </w:rPr>
      </w:pPr>
      <w:r w:rsidRPr="00D936E9">
        <w:rPr>
          <w:rStyle w:val="Rimandonotaapidipagina"/>
          <w:rFonts w:ascii="Garamond" w:hAnsi="Garamond"/>
        </w:rPr>
        <w:footnoteRef/>
      </w:r>
      <w:r w:rsidRPr="00D936E9">
        <w:rPr>
          <w:rFonts w:ascii="Garamond" w:hAnsi="Garamond"/>
        </w:rPr>
        <w:t xml:space="preserve"> Concetto su cui si tornerà nelle pagine successive.</w:t>
      </w:r>
    </w:p>
  </w:footnote>
  <w:footnote w:id="15">
    <w:p w14:paraId="34EBF8C4" w14:textId="7E5190C1" w:rsidR="003769A2" w:rsidRPr="00D936E9" w:rsidRDefault="003769A2" w:rsidP="00DF5CCF">
      <w:pPr>
        <w:pStyle w:val="Pidipagina"/>
        <w:jc w:val="both"/>
        <w:rPr>
          <w:rFonts w:ascii="Garamond" w:hAnsi="Garamond"/>
          <w:sz w:val="20"/>
          <w:szCs w:val="20"/>
        </w:rPr>
      </w:pPr>
      <w:r w:rsidRPr="00D936E9">
        <w:rPr>
          <w:rStyle w:val="Rimandonotaapidipagina"/>
          <w:rFonts w:ascii="Garamond" w:hAnsi="Garamond"/>
          <w:sz w:val="20"/>
          <w:szCs w:val="20"/>
        </w:rPr>
        <w:footnoteRef/>
      </w:r>
      <w:r w:rsidRPr="00D936E9">
        <w:rPr>
          <w:rStyle w:val="Rimandonotaapidipagina"/>
          <w:rFonts w:ascii="Garamond" w:hAnsi="Garamond"/>
          <w:sz w:val="20"/>
          <w:szCs w:val="20"/>
        </w:rPr>
        <w:t xml:space="preserve"> </w:t>
      </w:r>
      <w:r w:rsidRPr="00D936E9">
        <w:rPr>
          <w:rFonts w:ascii="Garamond" w:hAnsi="Garamond"/>
          <w:sz w:val="20"/>
          <w:szCs w:val="20"/>
        </w:rPr>
        <w:t>Cfr. art. 2</w:t>
      </w:r>
      <w:r w:rsidR="00C22CDA" w:rsidRPr="00D936E9">
        <w:rPr>
          <w:rFonts w:ascii="Garamond" w:hAnsi="Garamond"/>
          <w:sz w:val="20"/>
          <w:szCs w:val="20"/>
        </w:rPr>
        <w:t>, co. 1,</w:t>
      </w:r>
      <w:r w:rsidRPr="00D936E9">
        <w:rPr>
          <w:rFonts w:ascii="Garamond" w:hAnsi="Garamond"/>
          <w:sz w:val="20"/>
          <w:szCs w:val="20"/>
        </w:rPr>
        <w:t xml:space="preserve"> della Proposta di direttiva</w:t>
      </w:r>
      <w:r w:rsidR="00D45D21" w:rsidRPr="00D936E9">
        <w:rPr>
          <w:rFonts w:ascii="Garamond" w:hAnsi="Garamond"/>
          <w:sz w:val="20"/>
          <w:szCs w:val="20"/>
        </w:rPr>
        <w:t xml:space="preserve"> UE</w:t>
      </w:r>
      <w:r w:rsidRPr="00D936E9">
        <w:rPr>
          <w:rFonts w:ascii="Garamond" w:hAnsi="Garamond"/>
          <w:sz w:val="20"/>
          <w:szCs w:val="20"/>
        </w:rPr>
        <w:t>.</w:t>
      </w:r>
    </w:p>
  </w:footnote>
  <w:footnote w:id="16">
    <w:p w14:paraId="5BB35636" w14:textId="77777777" w:rsidR="003769A2" w:rsidRPr="00D936E9" w:rsidRDefault="003769A2" w:rsidP="00DF5CCF">
      <w:pPr>
        <w:pStyle w:val="Pidipagina"/>
        <w:jc w:val="both"/>
        <w:rPr>
          <w:rFonts w:ascii="Garamond" w:hAnsi="Garamond"/>
          <w:sz w:val="20"/>
          <w:szCs w:val="20"/>
        </w:rPr>
      </w:pPr>
      <w:r w:rsidRPr="00D936E9">
        <w:rPr>
          <w:rStyle w:val="Rimandonotaapidipagina"/>
          <w:rFonts w:ascii="Garamond" w:hAnsi="Garamond"/>
          <w:sz w:val="20"/>
          <w:szCs w:val="20"/>
        </w:rPr>
        <w:footnoteRef/>
      </w:r>
      <w:r w:rsidRPr="00D936E9">
        <w:rPr>
          <w:rStyle w:val="Rimandonotaapidipagina"/>
          <w:rFonts w:ascii="Garamond" w:hAnsi="Garamond"/>
          <w:sz w:val="20"/>
          <w:szCs w:val="20"/>
        </w:rPr>
        <w:t xml:space="preserve"> </w:t>
      </w:r>
      <w:r w:rsidRPr="00D936E9">
        <w:rPr>
          <w:rFonts w:ascii="Garamond" w:hAnsi="Garamond"/>
          <w:sz w:val="20"/>
          <w:szCs w:val="20"/>
        </w:rPr>
        <w:t xml:space="preserve">Articolo introdotto dall’art. 1, lett. c), del </w:t>
      </w:r>
      <w:proofErr w:type="spellStart"/>
      <w:r w:rsidRPr="00D936E9">
        <w:rPr>
          <w:rFonts w:ascii="Garamond" w:hAnsi="Garamond"/>
          <w:sz w:val="20"/>
          <w:szCs w:val="20"/>
        </w:rPr>
        <w:t>d.l.</w:t>
      </w:r>
      <w:proofErr w:type="spellEnd"/>
      <w:r w:rsidRPr="00D936E9">
        <w:rPr>
          <w:rFonts w:ascii="Garamond" w:hAnsi="Garamond"/>
          <w:sz w:val="20"/>
          <w:szCs w:val="20"/>
        </w:rPr>
        <w:t xml:space="preserve"> 3 settembre 2019, n. 101, </w:t>
      </w:r>
      <w:proofErr w:type="spellStart"/>
      <w:r w:rsidRPr="00D936E9">
        <w:rPr>
          <w:rFonts w:ascii="Garamond" w:hAnsi="Garamond"/>
          <w:sz w:val="20"/>
          <w:szCs w:val="20"/>
        </w:rPr>
        <w:t>conv</w:t>
      </w:r>
      <w:proofErr w:type="spellEnd"/>
      <w:r w:rsidRPr="00D936E9">
        <w:rPr>
          <w:rFonts w:ascii="Garamond" w:hAnsi="Garamond"/>
          <w:sz w:val="20"/>
          <w:szCs w:val="20"/>
        </w:rPr>
        <w:t>. in l. 2 novembre 2019, n. 128.</w:t>
      </w:r>
    </w:p>
  </w:footnote>
  <w:footnote w:id="17">
    <w:p w14:paraId="09FF3BC0" w14:textId="79ADE520" w:rsidR="003769A2" w:rsidRPr="00D936E9" w:rsidRDefault="003769A2" w:rsidP="00DF5CCF">
      <w:pPr>
        <w:pStyle w:val="Pidipagina"/>
        <w:jc w:val="both"/>
        <w:rPr>
          <w:rFonts w:ascii="Garamond" w:hAnsi="Garamond"/>
          <w:sz w:val="20"/>
          <w:szCs w:val="20"/>
        </w:rPr>
      </w:pPr>
      <w:r w:rsidRPr="00D936E9">
        <w:rPr>
          <w:rStyle w:val="Rimandonotaapidipagina"/>
          <w:rFonts w:ascii="Garamond" w:hAnsi="Garamond"/>
          <w:sz w:val="20"/>
          <w:szCs w:val="20"/>
        </w:rPr>
        <w:footnoteRef/>
      </w:r>
      <w:r w:rsidRPr="00D936E9">
        <w:rPr>
          <w:rStyle w:val="Rimandonotaapidipagina"/>
          <w:rFonts w:ascii="Garamond" w:hAnsi="Garamond"/>
          <w:sz w:val="20"/>
          <w:szCs w:val="20"/>
        </w:rPr>
        <w:t xml:space="preserve"> </w:t>
      </w:r>
      <w:r w:rsidRPr="00D936E9">
        <w:rPr>
          <w:rFonts w:ascii="Garamond" w:hAnsi="Garamond"/>
          <w:sz w:val="20"/>
          <w:szCs w:val="20"/>
        </w:rPr>
        <w:t xml:space="preserve">Sul tema, </w:t>
      </w:r>
      <w:r w:rsidR="00C22CDA" w:rsidRPr="00D936E9">
        <w:rPr>
          <w:rFonts w:ascii="Garamond" w:hAnsi="Garamond"/>
          <w:sz w:val="20"/>
          <w:szCs w:val="20"/>
        </w:rPr>
        <w:t>rinvio al mio saggio</w:t>
      </w:r>
      <w:r w:rsidRPr="00D936E9">
        <w:rPr>
          <w:rFonts w:ascii="Garamond" w:hAnsi="Garamond"/>
          <w:sz w:val="20"/>
          <w:szCs w:val="20"/>
        </w:rPr>
        <w:t xml:space="preserve">, </w:t>
      </w:r>
      <w:r w:rsidRPr="00D936E9">
        <w:rPr>
          <w:rFonts w:ascii="Garamond" w:hAnsi="Garamond"/>
          <w:i/>
          <w:iCs/>
          <w:sz w:val="20"/>
          <w:szCs w:val="20"/>
        </w:rPr>
        <w:t xml:space="preserve">Il Tribunale di Milano alla prova della proposta di direttiva sui </w:t>
      </w:r>
      <w:proofErr w:type="spellStart"/>
      <w:r w:rsidRPr="00D936E9">
        <w:rPr>
          <w:rFonts w:ascii="Garamond" w:hAnsi="Garamond"/>
          <w:i/>
          <w:iCs/>
          <w:sz w:val="20"/>
          <w:szCs w:val="20"/>
        </w:rPr>
        <w:t>platform</w:t>
      </w:r>
      <w:proofErr w:type="spellEnd"/>
      <w:r w:rsidRPr="00D936E9">
        <w:rPr>
          <w:rFonts w:ascii="Garamond" w:hAnsi="Garamond"/>
          <w:i/>
          <w:iCs/>
          <w:sz w:val="20"/>
          <w:szCs w:val="20"/>
        </w:rPr>
        <w:t xml:space="preserve"> workers</w:t>
      </w:r>
      <w:r w:rsidRPr="00D936E9">
        <w:rPr>
          <w:rFonts w:ascii="Garamond" w:hAnsi="Garamond"/>
          <w:sz w:val="20"/>
          <w:szCs w:val="20"/>
        </w:rPr>
        <w:t xml:space="preserve">, in </w:t>
      </w:r>
      <w:r w:rsidRPr="00D936E9">
        <w:rPr>
          <w:rFonts w:ascii="Garamond" w:hAnsi="Garamond"/>
          <w:i/>
          <w:iCs/>
          <w:sz w:val="20"/>
          <w:szCs w:val="20"/>
        </w:rPr>
        <w:t>Federalismi. Lavoro persona tecnologia</w:t>
      </w:r>
      <w:r w:rsidRPr="00D936E9">
        <w:rPr>
          <w:rFonts w:ascii="Garamond" w:hAnsi="Garamond"/>
          <w:sz w:val="20"/>
          <w:szCs w:val="20"/>
        </w:rPr>
        <w:t>, 29 giugno 2022.</w:t>
      </w:r>
    </w:p>
  </w:footnote>
  <w:footnote w:id="18">
    <w:p w14:paraId="6B7F88A5" w14:textId="0BFC9795" w:rsidR="00357D24" w:rsidRPr="00D936E9" w:rsidRDefault="00F53437" w:rsidP="00DF5CCF">
      <w:pPr>
        <w:pStyle w:val="Pidipagina"/>
        <w:jc w:val="both"/>
        <w:rPr>
          <w:rFonts w:ascii="Garamond" w:hAnsi="Garamond"/>
          <w:sz w:val="20"/>
          <w:szCs w:val="20"/>
        </w:rPr>
      </w:pPr>
      <w:r w:rsidRPr="00D936E9">
        <w:rPr>
          <w:rStyle w:val="Rimandonotaapidipagina"/>
          <w:rFonts w:ascii="Garamond" w:hAnsi="Garamond"/>
          <w:sz w:val="20"/>
          <w:szCs w:val="20"/>
        </w:rPr>
        <w:footnoteRef/>
      </w:r>
      <w:r w:rsidRPr="00D936E9">
        <w:rPr>
          <w:rFonts w:ascii="Garamond" w:hAnsi="Garamond"/>
          <w:sz w:val="20"/>
          <w:szCs w:val="20"/>
        </w:rPr>
        <w:t xml:space="preserve"> </w:t>
      </w:r>
      <w:r w:rsidR="00357D24" w:rsidRPr="00D936E9">
        <w:rPr>
          <w:rFonts w:ascii="Garamond" w:hAnsi="Garamond"/>
          <w:sz w:val="20"/>
          <w:szCs w:val="20"/>
        </w:rPr>
        <w:t>In materia di unità produttiva, s</w:t>
      </w:r>
      <w:r w:rsidRPr="00D936E9">
        <w:rPr>
          <w:rFonts w:ascii="Garamond" w:hAnsi="Garamond"/>
          <w:sz w:val="20"/>
          <w:szCs w:val="20"/>
        </w:rPr>
        <w:t xml:space="preserve">i v. </w:t>
      </w:r>
      <w:r w:rsidR="00357D24" w:rsidRPr="00D936E9">
        <w:rPr>
          <w:rFonts w:ascii="Garamond" w:hAnsi="Garamond"/>
          <w:sz w:val="20"/>
          <w:szCs w:val="20"/>
        </w:rPr>
        <w:t xml:space="preserve">A. FRENI, G. GIUGNI, </w:t>
      </w:r>
      <w:r w:rsidR="00357D24" w:rsidRPr="00D936E9">
        <w:rPr>
          <w:rFonts w:ascii="Garamond" w:hAnsi="Garamond"/>
          <w:i/>
          <w:iCs/>
          <w:sz w:val="20"/>
          <w:szCs w:val="20"/>
        </w:rPr>
        <w:t>Lo Statuto dei lavoratori</w:t>
      </w:r>
      <w:r w:rsidR="00357D24" w:rsidRPr="00D936E9">
        <w:rPr>
          <w:rFonts w:ascii="Garamond" w:hAnsi="Garamond"/>
          <w:sz w:val="20"/>
          <w:szCs w:val="20"/>
        </w:rPr>
        <w:t xml:space="preserve">, Milano, 1971, p. 147 e ss.; C. ASSANTI, </w:t>
      </w:r>
      <w:r w:rsidR="00357D24" w:rsidRPr="00D936E9">
        <w:rPr>
          <w:rFonts w:ascii="Garamond" w:hAnsi="Garamond"/>
          <w:i/>
          <w:iCs/>
          <w:sz w:val="20"/>
          <w:szCs w:val="20"/>
        </w:rPr>
        <w:t>Commento allo Statuto dei diritti dei lavoratori</w:t>
      </w:r>
      <w:r w:rsidR="00357D24" w:rsidRPr="00D936E9">
        <w:rPr>
          <w:rFonts w:ascii="Garamond" w:hAnsi="Garamond"/>
          <w:sz w:val="20"/>
          <w:szCs w:val="20"/>
        </w:rPr>
        <w:t xml:space="preserve">, Padova, 1972, p. 407 e ss.; G. PERA, </w:t>
      </w:r>
      <w:r w:rsidR="00357D24" w:rsidRPr="00D936E9">
        <w:rPr>
          <w:rFonts w:ascii="Garamond" w:hAnsi="Garamond"/>
          <w:i/>
          <w:iCs/>
          <w:sz w:val="20"/>
          <w:szCs w:val="20"/>
        </w:rPr>
        <w:t>Sulle unità di lavoro soggette alla legislazione limitativa dei licenziamenti</w:t>
      </w:r>
      <w:r w:rsidR="00357D24" w:rsidRPr="00D936E9">
        <w:rPr>
          <w:rFonts w:ascii="Garamond" w:hAnsi="Garamond"/>
          <w:sz w:val="20"/>
          <w:szCs w:val="20"/>
        </w:rPr>
        <w:t xml:space="preserve">, in </w:t>
      </w:r>
      <w:r w:rsidR="00357D24" w:rsidRPr="00D936E9">
        <w:rPr>
          <w:rFonts w:ascii="Garamond" w:hAnsi="Garamond"/>
          <w:i/>
          <w:iCs/>
          <w:sz w:val="20"/>
          <w:szCs w:val="20"/>
        </w:rPr>
        <w:t>Rivista di diritto agrario</w:t>
      </w:r>
      <w:r w:rsidR="00357D24" w:rsidRPr="00D936E9">
        <w:rPr>
          <w:rFonts w:ascii="Garamond" w:hAnsi="Garamond"/>
          <w:sz w:val="20"/>
          <w:szCs w:val="20"/>
        </w:rPr>
        <w:t xml:space="preserve">, 1972, p. 705 e ss.; C. CESTER, </w:t>
      </w:r>
      <w:r w:rsidR="00357D24" w:rsidRPr="00D936E9">
        <w:rPr>
          <w:rFonts w:ascii="Garamond" w:hAnsi="Garamond"/>
          <w:i/>
          <w:iCs/>
          <w:sz w:val="20"/>
          <w:szCs w:val="20"/>
        </w:rPr>
        <w:t>Unità produttiva e rapporti di lavoro</w:t>
      </w:r>
      <w:r w:rsidR="00357D24" w:rsidRPr="00D936E9">
        <w:rPr>
          <w:rFonts w:ascii="Garamond" w:hAnsi="Garamond"/>
          <w:sz w:val="20"/>
          <w:szCs w:val="20"/>
        </w:rPr>
        <w:t xml:space="preserve">, Padova, 1983; L. SILVAGNA, </w:t>
      </w:r>
      <w:r w:rsidR="00357D24" w:rsidRPr="00D936E9">
        <w:rPr>
          <w:rFonts w:ascii="Garamond" w:hAnsi="Garamond"/>
          <w:i/>
          <w:iCs/>
          <w:sz w:val="20"/>
          <w:szCs w:val="20"/>
        </w:rPr>
        <w:t>L’unità produttiva nel profilo delle vicende circolatorie</w:t>
      </w:r>
      <w:r w:rsidR="00357D24" w:rsidRPr="00D936E9">
        <w:rPr>
          <w:rFonts w:ascii="Garamond" w:hAnsi="Garamond"/>
          <w:sz w:val="20"/>
          <w:szCs w:val="20"/>
        </w:rPr>
        <w:t xml:space="preserve">, Milano, 1982, p. 53 e ss.; G. SUPPIEJ, </w:t>
      </w:r>
      <w:r w:rsidR="00357D24" w:rsidRPr="00D936E9">
        <w:rPr>
          <w:rFonts w:ascii="Garamond" w:hAnsi="Garamond"/>
          <w:i/>
          <w:iCs/>
          <w:sz w:val="20"/>
          <w:szCs w:val="20"/>
        </w:rPr>
        <w:t>Impresa, unità produttiva e numero dei dipendenti nelle norme sui licenziamenti individuali</w:t>
      </w:r>
      <w:r w:rsidR="00357D24" w:rsidRPr="00D936E9">
        <w:rPr>
          <w:rFonts w:ascii="Garamond" w:hAnsi="Garamond"/>
          <w:sz w:val="20"/>
          <w:szCs w:val="20"/>
        </w:rPr>
        <w:t xml:space="preserve">, in </w:t>
      </w:r>
      <w:r w:rsidR="00357D24" w:rsidRPr="00D936E9">
        <w:rPr>
          <w:rFonts w:ascii="Garamond" w:hAnsi="Garamond"/>
          <w:i/>
          <w:iCs/>
          <w:sz w:val="20"/>
          <w:szCs w:val="20"/>
        </w:rPr>
        <w:t>Massimario giurisprudenza del lavoro</w:t>
      </w:r>
      <w:r w:rsidR="00357D24" w:rsidRPr="00D936E9">
        <w:rPr>
          <w:rFonts w:ascii="Garamond" w:hAnsi="Garamond"/>
          <w:sz w:val="20"/>
          <w:szCs w:val="20"/>
        </w:rPr>
        <w:t xml:space="preserve">, 1977, p. 294 e ss.; G.F. MANCINI, </w:t>
      </w:r>
      <w:r w:rsidR="00357D24" w:rsidRPr="00D936E9">
        <w:rPr>
          <w:rFonts w:ascii="Garamond" w:hAnsi="Garamond"/>
          <w:i/>
          <w:iCs/>
          <w:sz w:val="20"/>
          <w:szCs w:val="20"/>
        </w:rPr>
        <w:t>Commento sub art. 35</w:t>
      </w:r>
      <w:r w:rsidR="00357D24" w:rsidRPr="00D936E9">
        <w:rPr>
          <w:rFonts w:ascii="Garamond" w:hAnsi="Garamond"/>
          <w:sz w:val="20"/>
          <w:szCs w:val="20"/>
        </w:rPr>
        <w:t xml:space="preserve">, in A. Scialoja, G. Branca (a cura di), </w:t>
      </w:r>
      <w:r w:rsidR="00357D24" w:rsidRPr="00D936E9">
        <w:rPr>
          <w:rFonts w:ascii="Garamond" w:hAnsi="Garamond"/>
          <w:i/>
          <w:iCs/>
          <w:sz w:val="20"/>
          <w:szCs w:val="20"/>
        </w:rPr>
        <w:t xml:space="preserve">Statuto dei diritti dei lavoratori. Commentario del </w:t>
      </w:r>
      <w:proofErr w:type="gramStart"/>
      <w:r w:rsidR="00357D24" w:rsidRPr="00D936E9">
        <w:rPr>
          <w:rFonts w:ascii="Garamond" w:hAnsi="Garamond"/>
          <w:i/>
          <w:iCs/>
          <w:sz w:val="20"/>
          <w:szCs w:val="20"/>
        </w:rPr>
        <w:t>codice civile</w:t>
      </w:r>
      <w:proofErr w:type="gramEnd"/>
      <w:r w:rsidR="00357D24" w:rsidRPr="00D936E9">
        <w:rPr>
          <w:rFonts w:ascii="Garamond" w:hAnsi="Garamond"/>
          <w:sz w:val="20"/>
          <w:szCs w:val="20"/>
        </w:rPr>
        <w:t xml:space="preserve">, Bologna-Roma, 1972, p. 531 e ss.; </w:t>
      </w:r>
      <w:r w:rsidRPr="00D936E9">
        <w:rPr>
          <w:rFonts w:ascii="Garamond" w:hAnsi="Garamond"/>
          <w:sz w:val="20"/>
          <w:szCs w:val="20"/>
        </w:rPr>
        <w:t xml:space="preserve">G. </w:t>
      </w:r>
      <w:r w:rsidR="00A74F17" w:rsidRPr="00D936E9">
        <w:rPr>
          <w:rFonts w:ascii="Garamond" w:hAnsi="Garamond"/>
          <w:sz w:val="20"/>
          <w:szCs w:val="20"/>
        </w:rPr>
        <w:t>FERRARO</w:t>
      </w:r>
      <w:r w:rsidRPr="00D936E9">
        <w:rPr>
          <w:rFonts w:ascii="Garamond" w:hAnsi="Garamond"/>
          <w:sz w:val="20"/>
          <w:szCs w:val="20"/>
        </w:rPr>
        <w:t xml:space="preserve">, </w:t>
      </w:r>
      <w:r w:rsidRPr="00D936E9">
        <w:rPr>
          <w:rFonts w:ascii="Garamond" w:hAnsi="Garamond"/>
          <w:i/>
          <w:iCs/>
          <w:sz w:val="20"/>
          <w:szCs w:val="20"/>
        </w:rPr>
        <w:t>Rilievi sul concetto di unità produttiva</w:t>
      </w:r>
      <w:r w:rsidRPr="00D936E9">
        <w:rPr>
          <w:rFonts w:ascii="Garamond" w:hAnsi="Garamond"/>
          <w:sz w:val="20"/>
          <w:szCs w:val="20"/>
        </w:rPr>
        <w:t>,</w:t>
      </w:r>
      <w:r w:rsidR="00A74F17" w:rsidRPr="00D936E9">
        <w:rPr>
          <w:rFonts w:ascii="Garamond" w:hAnsi="Garamond"/>
          <w:sz w:val="20"/>
          <w:szCs w:val="20"/>
        </w:rPr>
        <w:t xml:space="preserve"> </w:t>
      </w:r>
      <w:r w:rsidRPr="00D936E9">
        <w:rPr>
          <w:rFonts w:ascii="Garamond" w:hAnsi="Garamond"/>
          <w:sz w:val="20"/>
          <w:szCs w:val="20"/>
        </w:rPr>
        <w:t xml:space="preserve">in </w:t>
      </w:r>
      <w:r w:rsidR="00357D24" w:rsidRPr="00D936E9">
        <w:rPr>
          <w:rFonts w:ascii="Garamond" w:hAnsi="Garamond"/>
          <w:i/>
          <w:iCs/>
          <w:sz w:val="20"/>
          <w:szCs w:val="20"/>
        </w:rPr>
        <w:t>Rivista giuridica del lavoro</w:t>
      </w:r>
      <w:r w:rsidRPr="00D936E9">
        <w:rPr>
          <w:rFonts w:ascii="Garamond" w:hAnsi="Garamond"/>
          <w:sz w:val="20"/>
          <w:szCs w:val="20"/>
        </w:rPr>
        <w:t>, 1972, I, p. 61 e</w:t>
      </w:r>
      <w:r w:rsidR="00357D24" w:rsidRPr="00D936E9">
        <w:rPr>
          <w:rFonts w:ascii="Garamond" w:hAnsi="Garamond"/>
          <w:sz w:val="20"/>
          <w:szCs w:val="20"/>
        </w:rPr>
        <w:t xml:space="preserve"> ss</w:t>
      </w:r>
      <w:r w:rsidRPr="00D936E9">
        <w:rPr>
          <w:rFonts w:ascii="Garamond" w:hAnsi="Garamond"/>
          <w:sz w:val="20"/>
          <w:szCs w:val="20"/>
        </w:rPr>
        <w:t xml:space="preserve">.; </w:t>
      </w:r>
      <w:r w:rsidR="00357D24" w:rsidRPr="00D936E9">
        <w:rPr>
          <w:rFonts w:ascii="Garamond" w:hAnsi="Garamond"/>
          <w:sz w:val="20"/>
          <w:szCs w:val="20"/>
        </w:rPr>
        <w:t xml:space="preserve">M. BIAGI, </w:t>
      </w:r>
      <w:r w:rsidR="00357D24" w:rsidRPr="00D936E9">
        <w:rPr>
          <w:rFonts w:ascii="Garamond" w:hAnsi="Garamond"/>
          <w:i/>
          <w:iCs/>
          <w:sz w:val="20"/>
          <w:szCs w:val="20"/>
        </w:rPr>
        <w:t>La dimensione dell’impresa nel diritto del lavoro</w:t>
      </w:r>
      <w:r w:rsidR="00357D24" w:rsidRPr="00D936E9">
        <w:rPr>
          <w:rFonts w:ascii="Garamond" w:hAnsi="Garamond"/>
          <w:sz w:val="20"/>
          <w:szCs w:val="20"/>
        </w:rPr>
        <w:t>, Milano, 1978, p. 135 e ss.;</w:t>
      </w:r>
      <w:r w:rsidR="001D202B" w:rsidRPr="00D936E9">
        <w:rPr>
          <w:rFonts w:ascii="Garamond" w:hAnsi="Garamond"/>
          <w:sz w:val="20"/>
          <w:szCs w:val="20"/>
        </w:rPr>
        <w:t xml:space="preserve"> R. DE LUCA TAMAJO, </w:t>
      </w:r>
      <w:r w:rsidR="001D202B" w:rsidRPr="00D936E9">
        <w:rPr>
          <w:rFonts w:ascii="Garamond" w:hAnsi="Garamond"/>
          <w:i/>
          <w:iCs/>
          <w:sz w:val="20"/>
          <w:szCs w:val="20"/>
        </w:rPr>
        <w:t>Commento sub art. 35</w:t>
      </w:r>
      <w:r w:rsidR="001D202B" w:rsidRPr="00D936E9">
        <w:rPr>
          <w:rFonts w:ascii="Garamond" w:hAnsi="Garamond"/>
          <w:sz w:val="20"/>
          <w:szCs w:val="20"/>
        </w:rPr>
        <w:t xml:space="preserve">, in G. Giugni (diretto da), </w:t>
      </w:r>
      <w:r w:rsidR="001D202B" w:rsidRPr="00D936E9">
        <w:rPr>
          <w:rFonts w:ascii="Garamond" w:hAnsi="Garamond"/>
          <w:i/>
          <w:iCs/>
          <w:sz w:val="20"/>
          <w:szCs w:val="20"/>
        </w:rPr>
        <w:t>Lo Statuto dei lavoratori. Commentario</w:t>
      </w:r>
      <w:r w:rsidR="001D202B" w:rsidRPr="00D936E9">
        <w:rPr>
          <w:rFonts w:ascii="Garamond" w:hAnsi="Garamond"/>
          <w:sz w:val="20"/>
          <w:szCs w:val="20"/>
        </w:rPr>
        <w:t xml:space="preserve">, Milano, 1979, p. 611 e ss.; A. VALLEBONA, </w:t>
      </w:r>
      <w:r w:rsidR="001D202B" w:rsidRPr="00D936E9">
        <w:rPr>
          <w:rFonts w:ascii="Garamond" w:hAnsi="Garamond"/>
          <w:i/>
          <w:iCs/>
          <w:sz w:val="20"/>
          <w:szCs w:val="20"/>
        </w:rPr>
        <w:t>L’unità produttiva</w:t>
      </w:r>
      <w:r w:rsidR="001D202B" w:rsidRPr="00D936E9">
        <w:rPr>
          <w:rFonts w:ascii="Garamond" w:hAnsi="Garamond"/>
          <w:sz w:val="20"/>
          <w:szCs w:val="20"/>
        </w:rPr>
        <w:t xml:space="preserve">, in </w:t>
      </w:r>
      <w:r w:rsidR="001D202B" w:rsidRPr="00D936E9">
        <w:rPr>
          <w:rFonts w:ascii="Garamond" w:hAnsi="Garamond"/>
          <w:i/>
          <w:iCs/>
          <w:sz w:val="20"/>
          <w:szCs w:val="20"/>
        </w:rPr>
        <w:t>Rivista italiana di diritto del lavoro.</w:t>
      </w:r>
      <w:r w:rsidR="001D202B" w:rsidRPr="00D936E9">
        <w:rPr>
          <w:rFonts w:ascii="Garamond" w:hAnsi="Garamond"/>
          <w:sz w:val="20"/>
          <w:szCs w:val="20"/>
        </w:rPr>
        <w:t xml:space="preserve">, 1979, I, p. 270 e ss.; P. ALLEVA, </w:t>
      </w:r>
      <w:r w:rsidR="001D202B" w:rsidRPr="00D936E9">
        <w:rPr>
          <w:rFonts w:ascii="Garamond" w:hAnsi="Garamond"/>
          <w:i/>
          <w:iCs/>
          <w:sz w:val="20"/>
          <w:szCs w:val="20"/>
        </w:rPr>
        <w:t>Il campo di applicazione dello Statuto dei lavoratori</w:t>
      </w:r>
      <w:r w:rsidR="001D202B" w:rsidRPr="00D936E9">
        <w:rPr>
          <w:rFonts w:ascii="Garamond" w:hAnsi="Garamond"/>
          <w:sz w:val="20"/>
          <w:szCs w:val="20"/>
        </w:rPr>
        <w:t>, Milano, 1980;</w:t>
      </w:r>
    </w:p>
    <w:p w14:paraId="41ACF1CF" w14:textId="18DB3DC0" w:rsidR="00F53437" w:rsidRPr="00D936E9" w:rsidRDefault="001D202B" w:rsidP="00DF5CCF">
      <w:pPr>
        <w:pStyle w:val="Pidipagina"/>
        <w:jc w:val="both"/>
        <w:rPr>
          <w:rFonts w:ascii="Garamond" w:hAnsi="Garamond"/>
          <w:sz w:val="20"/>
          <w:szCs w:val="20"/>
          <w:highlight w:val="yellow"/>
        </w:rPr>
      </w:pPr>
      <w:r w:rsidRPr="00D936E9">
        <w:rPr>
          <w:rFonts w:ascii="Garamond" w:hAnsi="Garamond"/>
          <w:sz w:val="20"/>
          <w:szCs w:val="20"/>
        </w:rPr>
        <w:t xml:space="preserve">G. SANTORO PASSARELLI, </w:t>
      </w:r>
      <w:r w:rsidRPr="00D936E9">
        <w:rPr>
          <w:rFonts w:ascii="Garamond" w:hAnsi="Garamond"/>
          <w:i/>
          <w:iCs/>
          <w:sz w:val="20"/>
          <w:szCs w:val="20"/>
        </w:rPr>
        <w:t>Diritto dei lavori</w:t>
      </w:r>
      <w:r w:rsidRPr="00D936E9">
        <w:rPr>
          <w:rFonts w:ascii="Garamond" w:hAnsi="Garamond"/>
          <w:sz w:val="20"/>
          <w:szCs w:val="20"/>
        </w:rPr>
        <w:t xml:space="preserve">, Torino, 2015; M.G. GAROFALO, </w:t>
      </w:r>
      <w:r w:rsidRPr="00D936E9">
        <w:rPr>
          <w:rFonts w:ascii="Garamond" w:hAnsi="Garamond"/>
          <w:i/>
          <w:iCs/>
          <w:sz w:val="20"/>
          <w:szCs w:val="20"/>
        </w:rPr>
        <w:t>Sulla nozione di unità produttiva nello Statuto dei lavoratori</w:t>
      </w:r>
      <w:r w:rsidRPr="00D936E9">
        <w:rPr>
          <w:rFonts w:ascii="Garamond" w:hAnsi="Garamond"/>
          <w:sz w:val="20"/>
          <w:szCs w:val="20"/>
        </w:rPr>
        <w:t xml:space="preserve">, in </w:t>
      </w:r>
      <w:r w:rsidRPr="00D936E9">
        <w:rPr>
          <w:rFonts w:ascii="Garamond" w:hAnsi="Garamond"/>
          <w:i/>
          <w:iCs/>
          <w:sz w:val="20"/>
          <w:szCs w:val="20"/>
        </w:rPr>
        <w:t>Rivista giuridica del lavoro</w:t>
      </w:r>
      <w:r w:rsidRPr="00D936E9">
        <w:rPr>
          <w:rFonts w:ascii="Garamond" w:hAnsi="Garamond"/>
          <w:sz w:val="20"/>
          <w:szCs w:val="20"/>
        </w:rPr>
        <w:t xml:space="preserve">, 1992, p. 609 e ss.; </w:t>
      </w:r>
      <w:r w:rsidR="00F53437" w:rsidRPr="00D936E9">
        <w:rPr>
          <w:rFonts w:ascii="Garamond" w:hAnsi="Garamond"/>
          <w:sz w:val="20"/>
          <w:szCs w:val="20"/>
        </w:rPr>
        <w:t xml:space="preserve">R. </w:t>
      </w:r>
      <w:r w:rsidR="00A74F17" w:rsidRPr="00D936E9">
        <w:rPr>
          <w:rFonts w:ascii="Garamond" w:hAnsi="Garamond"/>
          <w:sz w:val="20"/>
          <w:szCs w:val="20"/>
        </w:rPr>
        <w:t>FLAMMIA</w:t>
      </w:r>
      <w:r w:rsidR="00F53437" w:rsidRPr="00D936E9">
        <w:rPr>
          <w:rFonts w:ascii="Garamond" w:hAnsi="Garamond"/>
          <w:sz w:val="20"/>
          <w:szCs w:val="20"/>
        </w:rPr>
        <w:t xml:space="preserve">, </w:t>
      </w:r>
      <w:r w:rsidR="00F53437" w:rsidRPr="00D936E9">
        <w:rPr>
          <w:rFonts w:ascii="Garamond" w:hAnsi="Garamond"/>
          <w:i/>
          <w:iCs/>
          <w:sz w:val="20"/>
          <w:szCs w:val="20"/>
        </w:rPr>
        <w:t>L’unità produttiva dell’impresa e lo Statuto dei lavoratori</w:t>
      </w:r>
      <w:r w:rsidR="00F53437" w:rsidRPr="00D936E9">
        <w:rPr>
          <w:rFonts w:ascii="Garamond" w:hAnsi="Garamond"/>
          <w:sz w:val="20"/>
          <w:szCs w:val="20"/>
        </w:rPr>
        <w:t>, in Foro It</w:t>
      </w:r>
      <w:r w:rsidRPr="00D936E9">
        <w:rPr>
          <w:rFonts w:ascii="Garamond" w:hAnsi="Garamond"/>
          <w:sz w:val="20"/>
          <w:szCs w:val="20"/>
        </w:rPr>
        <w:t>aliano</w:t>
      </w:r>
      <w:r w:rsidR="00F53437" w:rsidRPr="00D936E9">
        <w:rPr>
          <w:rFonts w:ascii="Garamond" w:hAnsi="Garamond"/>
          <w:sz w:val="20"/>
          <w:szCs w:val="20"/>
        </w:rPr>
        <w:t>, 1975, V,</w:t>
      </w:r>
      <w:r w:rsidR="00A74F17" w:rsidRPr="00D936E9">
        <w:rPr>
          <w:rFonts w:ascii="Garamond" w:hAnsi="Garamond"/>
          <w:sz w:val="20"/>
          <w:szCs w:val="20"/>
        </w:rPr>
        <w:t xml:space="preserve"> </w:t>
      </w:r>
      <w:r w:rsidR="00F53437" w:rsidRPr="00D936E9">
        <w:rPr>
          <w:rFonts w:ascii="Garamond" w:hAnsi="Garamond"/>
          <w:sz w:val="20"/>
          <w:szCs w:val="20"/>
        </w:rPr>
        <w:t xml:space="preserve">col. 46; A. </w:t>
      </w:r>
      <w:r w:rsidR="00A74F17" w:rsidRPr="00D936E9">
        <w:rPr>
          <w:rFonts w:ascii="Garamond" w:hAnsi="Garamond"/>
          <w:sz w:val="20"/>
          <w:szCs w:val="20"/>
        </w:rPr>
        <w:t>TURSI</w:t>
      </w:r>
      <w:r w:rsidR="00F53437" w:rsidRPr="00D936E9">
        <w:rPr>
          <w:rFonts w:ascii="Garamond" w:hAnsi="Garamond"/>
          <w:sz w:val="20"/>
          <w:szCs w:val="20"/>
        </w:rPr>
        <w:t xml:space="preserve">, </w:t>
      </w:r>
      <w:r w:rsidRPr="00D936E9">
        <w:rPr>
          <w:rFonts w:ascii="Garamond" w:hAnsi="Garamond"/>
          <w:i/>
          <w:iCs/>
          <w:sz w:val="20"/>
          <w:szCs w:val="20"/>
        </w:rPr>
        <w:t>v</w:t>
      </w:r>
      <w:r w:rsidR="00F53437" w:rsidRPr="00D936E9">
        <w:rPr>
          <w:rFonts w:ascii="Garamond" w:hAnsi="Garamond"/>
          <w:i/>
          <w:iCs/>
          <w:sz w:val="20"/>
          <w:szCs w:val="20"/>
        </w:rPr>
        <w:t>oce Unità produttiva</w:t>
      </w:r>
      <w:r w:rsidR="00F53437" w:rsidRPr="00D936E9">
        <w:rPr>
          <w:rFonts w:ascii="Garamond" w:hAnsi="Garamond"/>
          <w:sz w:val="20"/>
          <w:szCs w:val="20"/>
        </w:rPr>
        <w:t xml:space="preserve">, in </w:t>
      </w:r>
      <w:r w:rsidRPr="00D936E9">
        <w:rPr>
          <w:rFonts w:ascii="Garamond" w:hAnsi="Garamond"/>
          <w:i/>
          <w:iCs/>
          <w:sz w:val="20"/>
          <w:szCs w:val="20"/>
        </w:rPr>
        <w:t>Digesto delle discipline privatistiche sezione commerciale</w:t>
      </w:r>
      <w:r w:rsidR="00F53437" w:rsidRPr="00D936E9">
        <w:rPr>
          <w:rFonts w:ascii="Garamond" w:hAnsi="Garamond"/>
          <w:sz w:val="20"/>
          <w:szCs w:val="20"/>
        </w:rPr>
        <w:t>, Torino, 1999, XVI, p. 294 e s</w:t>
      </w:r>
      <w:r w:rsidRPr="00D936E9">
        <w:rPr>
          <w:rFonts w:ascii="Garamond" w:hAnsi="Garamond"/>
          <w:sz w:val="20"/>
          <w:szCs w:val="20"/>
        </w:rPr>
        <w:t>s</w:t>
      </w:r>
      <w:r w:rsidR="00F53437" w:rsidRPr="00D936E9">
        <w:rPr>
          <w:rFonts w:ascii="Garamond" w:hAnsi="Garamond"/>
          <w:sz w:val="20"/>
          <w:szCs w:val="20"/>
        </w:rPr>
        <w:t xml:space="preserve">.; F. </w:t>
      </w:r>
      <w:r w:rsidR="00A74F17" w:rsidRPr="00D936E9">
        <w:rPr>
          <w:rFonts w:ascii="Garamond" w:hAnsi="Garamond"/>
          <w:sz w:val="20"/>
          <w:szCs w:val="20"/>
        </w:rPr>
        <w:t>SANTONI</w:t>
      </w:r>
      <w:r w:rsidR="00F53437" w:rsidRPr="00D936E9">
        <w:rPr>
          <w:rFonts w:ascii="Garamond" w:hAnsi="Garamond"/>
          <w:sz w:val="20"/>
          <w:szCs w:val="20"/>
        </w:rPr>
        <w:t xml:space="preserve">, </w:t>
      </w:r>
      <w:r w:rsidR="00F53437" w:rsidRPr="00D936E9">
        <w:rPr>
          <w:rFonts w:ascii="Garamond" w:hAnsi="Garamond"/>
          <w:i/>
          <w:iCs/>
          <w:sz w:val="20"/>
          <w:szCs w:val="20"/>
        </w:rPr>
        <w:t>Lezioni di diritto del lavoro</w:t>
      </w:r>
      <w:r w:rsidR="00F53437" w:rsidRPr="00D936E9">
        <w:rPr>
          <w:rFonts w:ascii="Garamond" w:hAnsi="Garamond"/>
          <w:sz w:val="20"/>
          <w:szCs w:val="20"/>
        </w:rPr>
        <w:t>, Napoli,</w:t>
      </w:r>
      <w:r w:rsidR="00A74F17" w:rsidRPr="00D936E9">
        <w:rPr>
          <w:rFonts w:ascii="Garamond" w:hAnsi="Garamond"/>
          <w:sz w:val="20"/>
          <w:szCs w:val="20"/>
        </w:rPr>
        <w:t xml:space="preserve"> </w:t>
      </w:r>
      <w:r w:rsidR="00F53437" w:rsidRPr="00D936E9">
        <w:rPr>
          <w:rFonts w:ascii="Garamond" w:hAnsi="Garamond"/>
          <w:sz w:val="20"/>
          <w:szCs w:val="20"/>
        </w:rPr>
        <w:t>2008, II</w:t>
      </w:r>
      <w:r w:rsidR="00A74F17" w:rsidRPr="00D936E9">
        <w:rPr>
          <w:rFonts w:ascii="Garamond" w:hAnsi="Garamond"/>
          <w:sz w:val="20"/>
          <w:szCs w:val="20"/>
        </w:rPr>
        <w:t>.</w:t>
      </w:r>
    </w:p>
  </w:footnote>
  <w:footnote w:id="19">
    <w:p w14:paraId="034005B6" w14:textId="5BAED914" w:rsidR="00F53437" w:rsidRPr="00D936E9" w:rsidRDefault="00F53437" w:rsidP="00DF5CCF">
      <w:pPr>
        <w:pStyle w:val="Pidipagina"/>
        <w:jc w:val="both"/>
        <w:rPr>
          <w:rFonts w:ascii="Garamond" w:hAnsi="Garamond"/>
          <w:sz w:val="20"/>
          <w:szCs w:val="20"/>
        </w:rPr>
      </w:pPr>
      <w:r w:rsidRPr="00D936E9">
        <w:rPr>
          <w:rStyle w:val="Rimandonotaapidipagina"/>
          <w:rFonts w:ascii="Garamond" w:hAnsi="Garamond"/>
          <w:sz w:val="20"/>
          <w:szCs w:val="20"/>
        </w:rPr>
        <w:footnoteRef/>
      </w:r>
      <w:r w:rsidRPr="00D936E9">
        <w:rPr>
          <w:rFonts w:ascii="Garamond" w:hAnsi="Garamond"/>
          <w:sz w:val="20"/>
          <w:szCs w:val="20"/>
        </w:rPr>
        <w:t xml:space="preserve"> F. </w:t>
      </w:r>
      <w:r w:rsidR="00A74F17" w:rsidRPr="00D936E9">
        <w:rPr>
          <w:rFonts w:ascii="Garamond" w:hAnsi="Garamond"/>
          <w:sz w:val="20"/>
          <w:szCs w:val="20"/>
        </w:rPr>
        <w:t>SANTORO PASSARELLI</w:t>
      </w:r>
      <w:r w:rsidRPr="00D936E9">
        <w:rPr>
          <w:rFonts w:ascii="Garamond" w:hAnsi="Garamond"/>
          <w:sz w:val="20"/>
          <w:szCs w:val="20"/>
        </w:rPr>
        <w:t xml:space="preserve">, </w:t>
      </w:r>
      <w:r w:rsidRPr="00D936E9">
        <w:rPr>
          <w:rFonts w:ascii="Garamond" w:hAnsi="Garamond"/>
          <w:i/>
          <w:iCs/>
          <w:sz w:val="20"/>
          <w:szCs w:val="20"/>
        </w:rPr>
        <w:t>Il lavoro nell’impresa</w:t>
      </w:r>
      <w:r w:rsidRPr="00D936E9">
        <w:rPr>
          <w:rFonts w:ascii="Garamond" w:hAnsi="Garamond"/>
          <w:sz w:val="20"/>
          <w:szCs w:val="20"/>
        </w:rPr>
        <w:t xml:space="preserve">, in </w:t>
      </w:r>
      <w:r w:rsidRPr="00D936E9">
        <w:rPr>
          <w:rFonts w:ascii="Garamond" w:hAnsi="Garamond"/>
          <w:i/>
          <w:iCs/>
          <w:sz w:val="20"/>
          <w:szCs w:val="20"/>
        </w:rPr>
        <w:t>Studi in onore di A. Asquini</w:t>
      </w:r>
      <w:r w:rsidRPr="00D936E9">
        <w:rPr>
          <w:rFonts w:ascii="Garamond" w:hAnsi="Garamond"/>
          <w:sz w:val="20"/>
          <w:szCs w:val="20"/>
        </w:rPr>
        <w:t>, Padova,</w:t>
      </w:r>
      <w:r w:rsidR="00A74F17" w:rsidRPr="00D936E9">
        <w:rPr>
          <w:rFonts w:ascii="Garamond" w:hAnsi="Garamond"/>
          <w:sz w:val="20"/>
          <w:szCs w:val="20"/>
        </w:rPr>
        <w:t xml:space="preserve"> </w:t>
      </w:r>
      <w:r w:rsidRPr="00D936E9">
        <w:rPr>
          <w:rFonts w:ascii="Garamond" w:hAnsi="Garamond"/>
          <w:sz w:val="20"/>
          <w:szCs w:val="20"/>
        </w:rPr>
        <w:t xml:space="preserve">1965, IV, p. 1775. </w:t>
      </w:r>
      <w:r w:rsidR="00A74F17" w:rsidRPr="00D936E9">
        <w:rPr>
          <w:rFonts w:ascii="Garamond" w:hAnsi="Garamond"/>
          <w:sz w:val="20"/>
          <w:szCs w:val="20"/>
        </w:rPr>
        <w:t xml:space="preserve">Si </w:t>
      </w:r>
      <w:r w:rsidRPr="00D936E9">
        <w:rPr>
          <w:rFonts w:ascii="Garamond" w:hAnsi="Garamond"/>
          <w:sz w:val="20"/>
          <w:szCs w:val="20"/>
        </w:rPr>
        <w:t xml:space="preserve">v. </w:t>
      </w:r>
      <w:r w:rsidR="00A74F17" w:rsidRPr="00D936E9">
        <w:rPr>
          <w:rFonts w:ascii="Garamond" w:hAnsi="Garamond"/>
          <w:sz w:val="20"/>
          <w:szCs w:val="20"/>
        </w:rPr>
        <w:t xml:space="preserve">anche </w:t>
      </w:r>
      <w:r w:rsidRPr="00D936E9">
        <w:rPr>
          <w:rFonts w:ascii="Garamond" w:hAnsi="Garamond"/>
          <w:sz w:val="20"/>
          <w:szCs w:val="20"/>
        </w:rPr>
        <w:t xml:space="preserve">L. </w:t>
      </w:r>
      <w:r w:rsidR="00A74F17" w:rsidRPr="00D936E9">
        <w:rPr>
          <w:rFonts w:ascii="Garamond" w:hAnsi="Garamond"/>
          <w:sz w:val="20"/>
          <w:szCs w:val="20"/>
        </w:rPr>
        <w:t>MENGONI</w:t>
      </w:r>
      <w:r w:rsidRPr="00D936E9">
        <w:rPr>
          <w:rFonts w:ascii="Garamond" w:hAnsi="Garamond"/>
          <w:sz w:val="20"/>
          <w:szCs w:val="20"/>
        </w:rPr>
        <w:t xml:space="preserve">, </w:t>
      </w:r>
      <w:r w:rsidRPr="00D936E9">
        <w:rPr>
          <w:rFonts w:ascii="Garamond" w:hAnsi="Garamond"/>
          <w:i/>
          <w:iCs/>
          <w:sz w:val="20"/>
          <w:szCs w:val="20"/>
        </w:rPr>
        <w:t>Recenti mutamenti nella</w:t>
      </w:r>
      <w:r w:rsidR="00A74F17" w:rsidRPr="00D936E9">
        <w:rPr>
          <w:rFonts w:ascii="Garamond" w:hAnsi="Garamond"/>
          <w:i/>
          <w:iCs/>
          <w:sz w:val="20"/>
          <w:szCs w:val="20"/>
        </w:rPr>
        <w:t xml:space="preserve"> </w:t>
      </w:r>
      <w:r w:rsidRPr="00D936E9">
        <w:rPr>
          <w:rFonts w:ascii="Garamond" w:hAnsi="Garamond"/>
          <w:i/>
          <w:iCs/>
          <w:sz w:val="20"/>
          <w:szCs w:val="20"/>
        </w:rPr>
        <w:t>struttura e nella gerarchia dell’impresa</w:t>
      </w:r>
      <w:r w:rsidRPr="00D936E9">
        <w:rPr>
          <w:rFonts w:ascii="Garamond" w:hAnsi="Garamond"/>
          <w:sz w:val="20"/>
          <w:szCs w:val="20"/>
        </w:rPr>
        <w:t xml:space="preserve">, in </w:t>
      </w:r>
      <w:r w:rsidRPr="00D936E9">
        <w:rPr>
          <w:rFonts w:ascii="Garamond" w:hAnsi="Garamond"/>
          <w:i/>
          <w:iCs/>
          <w:sz w:val="20"/>
          <w:szCs w:val="20"/>
        </w:rPr>
        <w:t xml:space="preserve">Riv. </w:t>
      </w:r>
      <w:proofErr w:type="spellStart"/>
      <w:r w:rsidRPr="00D936E9">
        <w:rPr>
          <w:rFonts w:ascii="Garamond" w:hAnsi="Garamond"/>
          <w:i/>
          <w:iCs/>
          <w:sz w:val="20"/>
          <w:szCs w:val="20"/>
        </w:rPr>
        <w:t>Soc</w:t>
      </w:r>
      <w:proofErr w:type="spellEnd"/>
      <w:r w:rsidRPr="00D936E9">
        <w:rPr>
          <w:rFonts w:ascii="Garamond" w:hAnsi="Garamond"/>
          <w:sz w:val="20"/>
          <w:szCs w:val="20"/>
        </w:rPr>
        <w:t xml:space="preserve">., 1958, p. 689 e </w:t>
      </w:r>
      <w:r w:rsidR="00A74F17" w:rsidRPr="00D936E9">
        <w:rPr>
          <w:rFonts w:ascii="Garamond" w:hAnsi="Garamond"/>
          <w:sz w:val="20"/>
          <w:szCs w:val="20"/>
        </w:rPr>
        <w:t>ss.</w:t>
      </w:r>
    </w:p>
  </w:footnote>
  <w:footnote w:id="20">
    <w:p w14:paraId="4E3A2934" w14:textId="14396A23" w:rsidR="00F21D62" w:rsidRPr="00D936E9" w:rsidRDefault="00F21D62" w:rsidP="00DF5CCF">
      <w:pPr>
        <w:pStyle w:val="Pidipagina"/>
        <w:jc w:val="both"/>
        <w:rPr>
          <w:rFonts w:ascii="Garamond" w:hAnsi="Garamond"/>
          <w:sz w:val="20"/>
          <w:szCs w:val="20"/>
        </w:rPr>
      </w:pPr>
      <w:r w:rsidRPr="00D936E9">
        <w:rPr>
          <w:rStyle w:val="Rimandonotaapidipagina"/>
          <w:rFonts w:ascii="Garamond" w:hAnsi="Garamond"/>
          <w:sz w:val="20"/>
          <w:szCs w:val="20"/>
        </w:rPr>
        <w:footnoteRef/>
      </w:r>
      <w:r w:rsidRPr="00D936E9">
        <w:rPr>
          <w:rFonts w:ascii="Garamond" w:hAnsi="Garamond"/>
          <w:sz w:val="20"/>
          <w:szCs w:val="20"/>
        </w:rPr>
        <w:t xml:space="preserve"> F.V. PONTE, </w:t>
      </w:r>
      <w:r w:rsidR="00B8581A" w:rsidRPr="00D936E9">
        <w:rPr>
          <w:rFonts w:ascii="Garamond" w:hAnsi="Garamond"/>
          <w:i/>
          <w:iCs/>
          <w:sz w:val="20"/>
          <w:szCs w:val="20"/>
        </w:rPr>
        <w:t>B</w:t>
      </w:r>
      <w:r w:rsidR="00A74F17" w:rsidRPr="00D936E9">
        <w:rPr>
          <w:rFonts w:ascii="Garamond" w:hAnsi="Garamond"/>
          <w:i/>
          <w:iCs/>
          <w:sz w:val="20"/>
          <w:szCs w:val="20"/>
        </w:rPr>
        <w:t>revi riflessioni intorno alla nozione</w:t>
      </w:r>
      <w:r w:rsidR="00B8581A" w:rsidRPr="00D936E9">
        <w:rPr>
          <w:rFonts w:ascii="Garamond" w:hAnsi="Garamond"/>
          <w:i/>
          <w:iCs/>
          <w:sz w:val="20"/>
          <w:szCs w:val="20"/>
        </w:rPr>
        <w:t xml:space="preserve"> </w:t>
      </w:r>
      <w:r w:rsidR="00A74F17" w:rsidRPr="00D936E9">
        <w:rPr>
          <w:rFonts w:ascii="Garamond" w:hAnsi="Garamond"/>
          <w:i/>
          <w:iCs/>
          <w:sz w:val="20"/>
          <w:szCs w:val="20"/>
        </w:rPr>
        <w:t>di unità produttiva, tra la distribuzione</w:t>
      </w:r>
      <w:r w:rsidR="00B8581A" w:rsidRPr="00D936E9">
        <w:rPr>
          <w:rFonts w:ascii="Garamond" w:hAnsi="Garamond"/>
          <w:i/>
          <w:iCs/>
          <w:sz w:val="20"/>
          <w:szCs w:val="20"/>
        </w:rPr>
        <w:t xml:space="preserve"> </w:t>
      </w:r>
      <w:r w:rsidR="00A74F17" w:rsidRPr="00D936E9">
        <w:rPr>
          <w:rFonts w:ascii="Garamond" w:hAnsi="Garamond"/>
          <w:i/>
          <w:iCs/>
          <w:sz w:val="20"/>
          <w:szCs w:val="20"/>
        </w:rPr>
        <w:t>delle tutele e il limite all’applicazione</w:t>
      </w:r>
      <w:r w:rsidR="00B8581A" w:rsidRPr="00D936E9">
        <w:rPr>
          <w:rFonts w:ascii="Garamond" w:hAnsi="Garamond"/>
          <w:i/>
          <w:iCs/>
          <w:sz w:val="20"/>
          <w:szCs w:val="20"/>
        </w:rPr>
        <w:t xml:space="preserve"> </w:t>
      </w:r>
      <w:r w:rsidR="00A74F17" w:rsidRPr="00D936E9">
        <w:rPr>
          <w:rFonts w:ascii="Garamond" w:hAnsi="Garamond"/>
          <w:i/>
          <w:iCs/>
          <w:sz w:val="20"/>
          <w:szCs w:val="20"/>
        </w:rPr>
        <w:t xml:space="preserve">dello </w:t>
      </w:r>
      <w:r w:rsidR="00B8581A" w:rsidRPr="00D936E9">
        <w:rPr>
          <w:rFonts w:ascii="Garamond" w:hAnsi="Garamond"/>
          <w:i/>
          <w:iCs/>
          <w:sz w:val="20"/>
          <w:szCs w:val="20"/>
        </w:rPr>
        <w:t>S</w:t>
      </w:r>
      <w:r w:rsidR="00A74F17" w:rsidRPr="00D936E9">
        <w:rPr>
          <w:rFonts w:ascii="Garamond" w:hAnsi="Garamond"/>
          <w:i/>
          <w:iCs/>
          <w:sz w:val="20"/>
          <w:szCs w:val="20"/>
        </w:rPr>
        <w:t>tatuto dei lavoratori</w:t>
      </w:r>
      <w:r w:rsidR="00A74F17" w:rsidRPr="00D936E9">
        <w:rPr>
          <w:rFonts w:ascii="Garamond" w:hAnsi="Garamond"/>
          <w:sz w:val="20"/>
          <w:szCs w:val="20"/>
        </w:rPr>
        <w:t xml:space="preserve">, </w:t>
      </w:r>
      <w:r w:rsidR="00B8581A" w:rsidRPr="00D936E9">
        <w:rPr>
          <w:rFonts w:ascii="Garamond" w:hAnsi="Garamond"/>
          <w:sz w:val="20"/>
          <w:szCs w:val="20"/>
        </w:rPr>
        <w:t xml:space="preserve">in </w:t>
      </w:r>
      <w:r w:rsidR="00B8581A" w:rsidRPr="00D936E9">
        <w:rPr>
          <w:rFonts w:ascii="Garamond" w:hAnsi="Garamond"/>
          <w:i/>
          <w:iCs/>
          <w:sz w:val="20"/>
          <w:szCs w:val="20"/>
        </w:rPr>
        <w:t xml:space="preserve">Argomenti di diritto del </w:t>
      </w:r>
      <w:r w:rsidR="00B8581A" w:rsidRPr="00D936E9">
        <w:rPr>
          <w:rFonts w:ascii="Garamond" w:hAnsi="Garamond"/>
          <w:sz w:val="20"/>
          <w:szCs w:val="20"/>
        </w:rPr>
        <w:t xml:space="preserve">lavoro, 2015, 6, </w:t>
      </w:r>
      <w:r w:rsidR="00A74F17" w:rsidRPr="00D936E9">
        <w:rPr>
          <w:rFonts w:ascii="Garamond" w:hAnsi="Garamond"/>
          <w:sz w:val="20"/>
          <w:szCs w:val="20"/>
        </w:rPr>
        <w:t>p. 1396</w:t>
      </w:r>
      <w:r w:rsidR="00B8581A" w:rsidRPr="00D936E9">
        <w:rPr>
          <w:rFonts w:ascii="Garamond" w:hAnsi="Garamond"/>
          <w:sz w:val="20"/>
          <w:szCs w:val="20"/>
        </w:rPr>
        <w:t>.</w:t>
      </w:r>
    </w:p>
  </w:footnote>
  <w:footnote w:id="21">
    <w:p w14:paraId="2546F04E" w14:textId="5719274C" w:rsidR="00F21D62" w:rsidRPr="00D936E9" w:rsidRDefault="00F21D62" w:rsidP="00DF5CCF">
      <w:pPr>
        <w:pStyle w:val="Pidipagina"/>
        <w:jc w:val="both"/>
        <w:rPr>
          <w:rFonts w:ascii="Garamond" w:hAnsi="Garamond"/>
          <w:sz w:val="20"/>
          <w:szCs w:val="20"/>
        </w:rPr>
      </w:pPr>
      <w:r w:rsidRPr="00D936E9">
        <w:rPr>
          <w:rStyle w:val="Rimandonotaapidipagina"/>
          <w:rFonts w:ascii="Garamond" w:hAnsi="Garamond"/>
          <w:sz w:val="20"/>
          <w:szCs w:val="20"/>
        </w:rPr>
        <w:footnoteRef/>
      </w:r>
      <w:r w:rsidRPr="00D936E9">
        <w:rPr>
          <w:rFonts w:ascii="Garamond" w:hAnsi="Garamond"/>
          <w:sz w:val="20"/>
          <w:szCs w:val="20"/>
        </w:rPr>
        <w:t xml:space="preserve"> D. </w:t>
      </w:r>
      <w:r w:rsidR="00BC2840" w:rsidRPr="00D936E9">
        <w:rPr>
          <w:rFonts w:ascii="Garamond" w:hAnsi="Garamond"/>
          <w:sz w:val="20"/>
          <w:szCs w:val="20"/>
        </w:rPr>
        <w:t>NAPOLETANO</w:t>
      </w:r>
      <w:r w:rsidRPr="00D936E9">
        <w:rPr>
          <w:rFonts w:ascii="Garamond" w:hAnsi="Garamond"/>
          <w:sz w:val="20"/>
          <w:szCs w:val="20"/>
        </w:rPr>
        <w:t xml:space="preserve">, </w:t>
      </w:r>
      <w:r w:rsidRPr="00D936E9">
        <w:rPr>
          <w:rFonts w:ascii="Garamond" w:hAnsi="Garamond"/>
          <w:i/>
          <w:iCs/>
          <w:sz w:val="20"/>
          <w:szCs w:val="20"/>
        </w:rPr>
        <w:t>Lo statuto dei lavoratori. Corso di lezioni</w:t>
      </w:r>
      <w:r w:rsidRPr="00D936E9">
        <w:rPr>
          <w:rFonts w:ascii="Garamond" w:hAnsi="Garamond"/>
          <w:sz w:val="20"/>
          <w:szCs w:val="20"/>
        </w:rPr>
        <w:t xml:space="preserve">, Napoli, 1975, p. 75, </w:t>
      </w:r>
      <w:r w:rsidR="00BC2840" w:rsidRPr="00D936E9">
        <w:rPr>
          <w:rFonts w:ascii="Garamond" w:hAnsi="Garamond"/>
          <w:sz w:val="20"/>
          <w:szCs w:val="20"/>
        </w:rPr>
        <w:t xml:space="preserve">che riteneva improprio parlare di unità produttiva in materia di licenziamenti, preferendo i concetti di azienda e </w:t>
      </w:r>
      <w:r w:rsidRPr="00D936E9">
        <w:rPr>
          <w:rFonts w:ascii="Garamond" w:hAnsi="Garamond"/>
          <w:sz w:val="20"/>
          <w:szCs w:val="20"/>
        </w:rPr>
        <w:t xml:space="preserve">datore di lavoro. </w:t>
      </w:r>
      <w:r w:rsidR="00BC2840" w:rsidRPr="00D936E9">
        <w:rPr>
          <w:rFonts w:ascii="Garamond" w:hAnsi="Garamond"/>
          <w:sz w:val="20"/>
          <w:szCs w:val="20"/>
        </w:rPr>
        <w:t xml:space="preserve">Nello stesso senso, </w:t>
      </w:r>
      <w:r w:rsidRPr="00D936E9">
        <w:rPr>
          <w:rFonts w:ascii="Garamond" w:hAnsi="Garamond"/>
          <w:sz w:val="20"/>
          <w:szCs w:val="20"/>
        </w:rPr>
        <w:t xml:space="preserve">C. </w:t>
      </w:r>
      <w:r w:rsidR="00BC2840" w:rsidRPr="00D936E9">
        <w:rPr>
          <w:rFonts w:ascii="Garamond" w:hAnsi="Garamond"/>
          <w:sz w:val="20"/>
          <w:szCs w:val="20"/>
        </w:rPr>
        <w:t>ASSANTI</w:t>
      </w:r>
      <w:r w:rsidRPr="00D936E9">
        <w:rPr>
          <w:rFonts w:ascii="Garamond" w:hAnsi="Garamond"/>
          <w:sz w:val="20"/>
          <w:szCs w:val="20"/>
        </w:rPr>
        <w:t xml:space="preserve">, </w:t>
      </w:r>
      <w:r w:rsidRPr="00D936E9">
        <w:rPr>
          <w:rFonts w:ascii="Garamond" w:hAnsi="Garamond"/>
          <w:i/>
          <w:iCs/>
          <w:sz w:val="20"/>
          <w:szCs w:val="20"/>
        </w:rPr>
        <w:t>Commento allo Statuto</w:t>
      </w:r>
      <w:r w:rsidR="00BC2840" w:rsidRPr="00D936E9">
        <w:rPr>
          <w:rFonts w:ascii="Garamond" w:hAnsi="Garamond"/>
          <w:i/>
          <w:iCs/>
          <w:sz w:val="20"/>
          <w:szCs w:val="20"/>
        </w:rPr>
        <w:t>…</w:t>
      </w:r>
      <w:r w:rsidRPr="00D936E9">
        <w:rPr>
          <w:rFonts w:ascii="Garamond" w:hAnsi="Garamond"/>
          <w:sz w:val="20"/>
          <w:szCs w:val="20"/>
        </w:rPr>
        <w:t>,</w:t>
      </w:r>
      <w:r w:rsidR="00BC2840" w:rsidRPr="00D936E9">
        <w:rPr>
          <w:rFonts w:ascii="Garamond" w:hAnsi="Garamond"/>
          <w:sz w:val="20"/>
          <w:szCs w:val="20"/>
        </w:rPr>
        <w:t xml:space="preserve"> </w:t>
      </w:r>
      <w:r w:rsidRPr="00D936E9">
        <w:rPr>
          <w:rFonts w:ascii="Garamond" w:hAnsi="Garamond"/>
          <w:sz w:val="20"/>
          <w:szCs w:val="20"/>
        </w:rPr>
        <w:t>cit.</w:t>
      </w:r>
    </w:p>
    <w:p w14:paraId="3A941353" w14:textId="2D7DB801" w:rsidR="00F21D62" w:rsidRPr="00D936E9" w:rsidRDefault="00F21D62" w:rsidP="00DF5CCF">
      <w:pPr>
        <w:pStyle w:val="Testonotaapidipagina"/>
        <w:jc w:val="both"/>
        <w:rPr>
          <w:rFonts w:ascii="Garamond" w:hAnsi="Garamond"/>
        </w:rPr>
      </w:pPr>
    </w:p>
  </w:footnote>
  <w:footnote w:id="22">
    <w:p w14:paraId="57C6AEFF" w14:textId="51230915" w:rsidR="002102BC" w:rsidRPr="00D936E9" w:rsidRDefault="002102BC" w:rsidP="00DF5CCF">
      <w:pPr>
        <w:pStyle w:val="Testonotaapidipagina"/>
        <w:jc w:val="both"/>
        <w:rPr>
          <w:rFonts w:ascii="Garamond" w:hAnsi="Garamond"/>
        </w:rPr>
      </w:pPr>
      <w:r w:rsidRPr="00D936E9">
        <w:rPr>
          <w:rStyle w:val="Rimandonotaapidipagina"/>
          <w:rFonts w:ascii="Garamond" w:hAnsi="Garamond"/>
        </w:rPr>
        <w:footnoteRef/>
      </w:r>
      <w:r w:rsidRPr="00D936E9">
        <w:rPr>
          <w:rFonts w:ascii="Garamond" w:hAnsi="Garamond"/>
        </w:rPr>
        <w:t xml:space="preserve"> </w:t>
      </w:r>
      <w:r w:rsidRPr="00D936E9">
        <w:rPr>
          <w:rFonts w:ascii="Garamond" w:hAnsi="Garamond" w:cs="BodoniOldFaceBE-RegularSC"/>
          <w:lang w:eastAsia="it-IT"/>
        </w:rPr>
        <w:t>A. TURSI</w:t>
      </w:r>
      <w:r w:rsidRPr="00D936E9">
        <w:rPr>
          <w:rFonts w:ascii="Garamond" w:hAnsi="Garamond" w:cs="BodoniOldFaceBE-Regular"/>
          <w:lang w:eastAsia="it-IT"/>
        </w:rPr>
        <w:t xml:space="preserve">, voce </w:t>
      </w:r>
      <w:r w:rsidRPr="00D936E9">
        <w:rPr>
          <w:rFonts w:ascii="Garamond" w:hAnsi="Garamond" w:cs="BodoniOldFaceBE-Italic"/>
          <w:i/>
          <w:iCs/>
          <w:lang w:eastAsia="it-IT"/>
        </w:rPr>
        <w:t>Unità …</w:t>
      </w:r>
      <w:r w:rsidRPr="00D936E9">
        <w:rPr>
          <w:rFonts w:ascii="Garamond" w:hAnsi="Garamond" w:cs="BodoniOldFaceBE-Regular"/>
          <w:lang w:eastAsia="it-IT"/>
        </w:rPr>
        <w:t>, cit., p. 296.</w:t>
      </w:r>
    </w:p>
  </w:footnote>
  <w:footnote w:id="23">
    <w:p w14:paraId="7EC99445" w14:textId="30A812D3" w:rsidR="004F766C" w:rsidRPr="00D936E9" w:rsidRDefault="004F766C" w:rsidP="00DF5CCF">
      <w:pPr>
        <w:pStyle w:val="Testonotaapidipagina"/>
        <w:jc w:val="both"/>
        <w:rPr>
          <w:rFonts w:ascii="Garamond" w:hAnsi="Garamond"/>
        </w:rPr>
      </w:pPr>
      <w:r w:rsidRPr="00D936E9">
        <w:rPr>
          <w:rStyle w:val="Rimandonotaapidipagina"/>
          <w:rFonts w:ascii="Garamond" w:hAnsi="Garamond"/>
        </w:rPr>
        <w:footnoteRef/>
      </w:r>
      <w:r w:rsidRPr="00D936E9">
        <w:rPr>
          <w:rFonts w:ascii="Garamond" w:hAnsi="Garamond"/>
        </w:rPr>
        <w:t xml:space="preserve"> A. VALLEBONA, </w:t>
      </w:r>
      <w:r w:rsidRPr="00D936E9">
        <w:rPr>
          <w:rFonts w:ascii="Garamond" w:hAnsi="Garamond"/>
          <w:i/>
          <w:iCs/>
        </w:rPr>
        <w:t>L’unità</w:t>
      </w:r>
      <w:r w:rsidRPr="00D936E9">
        <w:rPr>
          <w:rFonts w:ascii="Garamond" w:hAnsi="Garamond"/>
        </w:rPr>
        <w:t xml:space="preserve"> …, cit., p. 273.</w:t>
      </w:r>
    </w:p>
  </w:footnote>
  <w:footnote w:id="24">
    <w:p w14:paraId="57B0D67C" w14:textId="03D21E02" w:rsidR="002564BA" w:rsidRPr="00D936E9" w:rsidRDefault="002564BA" w:rsidP="00E825EC">
      <w:pPr>
        <w:pStyle w:val="Testonotaapidipagina"/>
        <w:jc w:val="both"/>
        <w:rPr>
          <w:rFonts w:ascii="Garamond" w:hAnsi="Garamond"/>
        </w:rPr>
      </w:pPr>
      <w:r w:rsidRPr="00D936E9">
        <w:rPr>
          <w:rStyle w:val="Rimandonotaapidipagina"/>
          <w:rFonts w:ascii="Garamond" w:hAnsi="Garamond"/>
        </w:rPr>
        <w:footnoteRef/>
      </w:r>
      <w:r w:rsidRPr="00D936E9">
        <w:rPr>
          <w:rFonts w:ascii="Garamond" w:hAnsi="Garamond"/>
        </w:rPr>
        <w:t xml:space="preserve"> C. </w:t>
      </w:r>
      <w:r w:rsidR="004F766C" w:rsidRPr="00D936E9">
        <w:rPr>
          <w:rFonts w:ascii="Garamond" w:hAnsi="Garamond"/>
        </w:rPr>
        <w:t>C</w:t>
      </w:r>
      <w:r w:rsidRPr="00D936E9">
        <w:rPr>
          <w:rFonts w:ascii="Garamond" w:hAnsi="Garamond"/>
        </w:rPr>
        <w:t>ost. 8 luglio 1975, n. 189 che dichiara infondata la questione di legittimità costituzionale nei confronti dell’art. 35, che individua una soglia quantitativa per l’applicazione della disciplina sui licenziamenti.</w:t>
      </w:r>
    </w:p>
  </w:footnote>
  <w:footnote w:id="25">
    <w:p w14:paraId="0D8DE4CD" w14:textId="5C90CBE9" w:rsidR="004F766C" w:rsidRPr="00D936E9" w:rsidRDefault="004F766C" w:rsidP="00E825EC">
      <w:pPr>
        <w:pStyle w:val="Testonotaapidipagina"/>
        <w:jc w:val="both"/>
        <w:rPr>
          <w:rFonts w:ascii="Garamond" w:hAnsi="Garamond"/>
        </w:rPr>
      </w:pPr>
      <w:r w:rsidRPr="00D936E9">
        <w:rPr>
          <w:rStyle w:val="Rimandonotaapidipagina"/>
          <w:rFonts w:ascii="Garamond" w:hAnsi="Garamond"/>
        </w:rPr>
        <w:footnoteRef/>
      </w:r>
      <w:r w:rsidRPr="00D936E9">
        <w:rPr>
          <w:rFonts w:ascii="Garamond" w:hAnsi="Garamond"/>
        </w:rPr>
        <w:t xml:space="preserve"> C. Cost. 17 dicembre 1975, n. 241.</w:t>
      </w:r>
    </w:p>
  </w:footnote>
  <w:footnote w:id="26">
    <w:p w14:paraId="376A8DCE" w14:textId="58EAC83C" w:rsidR="00E825EC" w:rsidRPr="00D936E9" w:rsidRDefault="00E825EC" w:rsidP="00E825EC">
      <w:pPr>
        <w:pStyle w:val="Testonotaapidipagina"/>
        <w:jc w:val="both"/>
        <w:rPr>
          <w:rFonts w:ascii="Garamond" w:hAnsi="Garamond"/>
        </w:rPr>
      </w:pPr>
      <w:r w:rsidRPr="00D936E9">
        <w:rPr>
          <w:rStyle w:val="Rimandonotaapidipagina"/>
          <w:rFonts w:ascii="Garamond" w:hAnsi="Garamond"/>
        </w:rPr>
        <w:footnoteRef/>
      </w:r>
      <w:r w:rsidRPr="00D936E9">
        <w:rPr>
          <w:rFonts w:ascii="Garamond" w:hAnsi="Garamond"/>
        </w:rPr>
        <w:t xml:space="preserve"> </w:t>
      </w:r>
      <w:r w:rsidR="008016BB" w:rsidRPr="00D936E9">
        <w:rPr>
          <w:rFonts w:ascii="Garamond" w:hAnsi="Garamond"/>
        </w:rPr>
        <w:t xml:space="preserve">P. </w:t>
      </w:r>
      <w:r w:rsidRPr="00D936E9">
        <w:rPr>
          <w:rFonts w:ascii="Garamond" w:hAnsi="Garamond"/>
        </w:rPr>
        <w:t>PASSALACQUA,</w:t>
      </w:r>
      <w:r w:rsidRPr="00D936E9">
        <w:rPr>
          <w:rFonts w:ascii="Garamond" w:hAnsi="Garamond"/>
          <w:i/>
          <w:iCs/>
        </w:rPr>
        <w:t xml:space="preserve"> </w:t>
      </w:r>
      <w:r w:rsidR="008016BB" w:rsidRPr="00D936E9">
        <w:rPr>
          <w:rFonts w:ascii="Garamond" w:hAnsi="Garamond"/>
          <w:i/>
          <w:iCs/>
        </w:rPr>
        <w:t>L‘art. 35 dello Statuto ieri oggi e domani</w:t>
      </w:r>
      <w:r w:rsidR="008016BB" w:rsidRPr="00D936E9">
        <w:rPr>
          <w:rFonts w:ascii="Garamond" w:hAnsi="Garamond"/>
        </w:rPr>
        <w:t xml:space="preserve">, </w:t>
      </w:r>
      <w:r w:rsidRPr="00D936E9">
        <w:rPr>
          <w:rFonts w:ascii="Garamond" w:hAnsi="Garamond"/>
        </w:rPr>
        <w:t xml:space="preserve">in </w:t>
      </w:r>
      <w:r w:rsidRPr="00D936E9">
        <w:rPr>
          <w:rFonts w:ascii="Garamond" w:hAnsi="Garamond"/>
          <w:i/>
          <w:iCs/>
        </w:rPr>
        <w:t>Lavoro e previdenza oggi</w:t>
      </w:r>
      <w:r w:rsidRPr="00D936E9">
        <w:rPr>
          <w:rFonts w:ascii="Garamond" w:hAnsi="Garamond"/>
        </w:rPr>
        <w:t>, 2020, 11-12, p. 756 e ss.</w:t>
      </w:r>
    </w:p>
  </w:footnote>
  <w:footnote w:id="27">
    <w:p w14:paraId="1ED510C4" w14:textId="06445880" w:rsidR="008016BB" w:rsidRPr="00D936E9" w:rsidRDefault="008016BB" w:rsidP="009E1BB8">
      <w:pPr>
        <w:autoSpaceDE w:val="0"/>
        <w:autoSpaceDN w:val="0"/>
        <w:adjustRightInd w:val="0"/>
        <w:jc w:val="both"/>
        <w:rPr>
          <w:rFonts w:ascii="Garamond" w:hAnsi="Garamond"/>
        </w:rPr>
      </w:pPr>
      <w:r w:rsidRPr="00D936E9">
        <w:rPr>
          <w:rStyle w:val="Rimandonotaapidipagina"/>
          <w:rFonts w:ascii="Garamond" w:hAnsi="Garamond"/>
          <w:sz w:val="20"/>
          <w:szCs w:val="20"/>
        </w:rPr>
        <w:footnoteRef/>
      </w:r>
      <w:r w:rsidRPr="00D936E9">
        <w:rPr>
          <w:rFonts w:ascii="Garamond" w:hAnsi="Garamond"/>
          <w:sz w:val="20"/>
          <w:szCs w:val="20"/>
        </w:rPr>
        <w:t xml:space="preserve"> C</w:t>
      </w:r>
      <w:r w:rsidRPr="00D936E9">
        <w:rPr>
          <w:rFonts w:ascii="Garamond" w:hAnsi="Garamond" w:cs="Garamond"/>
          <w:sz w:val="20"/>
          <w:szCs w:val="20"/>
          <w:lang w:eastAsia="it-IT"/>
        </w:rPr>
        <w:t xml:space="preserve">. ASSANTI, </w:t>
      </w:r>
      <w:r w:rsidRPr="00D936E9">
        <w:rPr>
          <w:rFonts w:ascii="Garamond" w:hAnsi="Garamond"/>
          <w:i/>
          <w:iCs/>
          <w:sz w:val="20"/>
          <w:szCs w:val="20"/>
        </w:rPr>
        <w:t>Commento allo Statuto…</w:t>
      </w:r>
      <w:r w:rsidRPr="00D936E9">
        <w:rPr>
          <w:rFonts w:ascii="Garamond" w:hAnsi="Garamond"/>
          <w:sz w:val="20"/>
          <w:szCs w:val="20"/>
        </w:rPr>
        <w:t>, cit., p.</w:t>
      </w:r>
      <w:r w:rsidRPr="00D936E9">
        <w:rPr>
          <w:rFonts w:ascii="Garamond" w:hAnsi="Garamond" w:cs="Garamond"/>
          <w:sz w:val="20"/>
          <w:szCs w:val="20"/>
          <w:lang w:eastAsia="it-IT"/>
        </w:rPr>
        <w:t xml:space="preserve"> 408 e ss.; R. DE LUCA TAMAJO, </w:t>
      </w:r>
      <w:r w:rsidRPr="00D936E9">
        <w:rPr>
          <w:rFonts w:ascii="Garamond" w:hAnsi="Garamond" w:cs="Garamond"/>
          <w:i/>
          <w:iCs/>
          <w:sz w:val="20"/>
          <w:szCs w:val="20"/>
          <w:lang w:eastAsia="it-IT"/>
        </w:rPr>
        <w:t>Commento …</w:t>
      </w:r>
      <w:r w:rsidRPr="00D936E9">
        <w:rPr>
          <w:rFonts w:ascii="Garamond" w:hAnsi="Garamond" w:cs="Garamond"/>
          <w:sz w:val="20"/>
          <w:szCs w:val="20"/>
          <w:lang w:eastAsia="it-IT"/>
        </w:rPr>
        <w:t>, cit., p. 612 e ss.</w:t>
      </w:r>
      <w:r w:rsidR="009E1BB8" w:rsidRPr="00D936E9">
        <w:rPr>
          <w:rFonts w:ascii="Garamond" w:hAnsi="Garamond" w:cs="Garamond"/>
          <w:sz w:val="20"/>
          <w:szCs w:val="20"/>
          <w:lang w:eastAsia="it-IT"/>
        </w:rPr>
        <w:t xml:space="preserve"> In seguito, con la l. 11 maggio 1990, n. 108, l’art. 18 St. lav. è stato sganciato dai discorsi legati alle norme del Titolo III, attraverso l’eliminazione del riferimento alla norma sulla reintegrazione nell’art. 35 St. lav. e l’inserimento nel corpo dello stesso art. 18 di un suo proprio campo di applicazione, dove in realtà venivano e vengono riproposte le medesime disposizioni della norma sull’unità produttiva, con in più la peculiare previsione dell’applicazione della reintegrazione anche nel caso in cui l’impresa nel suo complesso occupi più di sessanta dipendenti. Lo stesso è avvenuto anche con le modifiche intervenute nel campo della tutela obbligatoria (l. 15 luglio 1966, n. 604).</w:t>
      </w:r>
    </w:p>
  </w:footnote>
  <w:footnote w:id="28">
    <w:p w14:paraId="20630705" w14:textId="305BC670" w:rsidR="00DF5CCF" w:rsidRPr="00D936E9" w:rsidRDefault="00DF5CCF" w:rsidP="00DF5CCF">
      <w:pPr>
        <w:autoSpaceDE w:val="0"/>
        <w:autoSpaceDN w:val="0"/>
        <w:adjustRightInd w:val="0"/>
        <w:jc w:val="both"/>
        <w:rPr>
          <w:rFonts w:ascii="Garamond" w:hAnsi="Garamond" w:cs="Garamond-Italic"/>
          <w:i/>
          <w:iCs/>
          <w:sz w:val="20"/>
          <w:szCs w:val="20"/>
          <w:lang w:eastAsia="it-IT"/>
        </w:rPr>
      </w:pPr>
      <w:r w:rsidRPr="00D936E9">
        <w:rPr>
          <w:rStyle w:val="Rimandonotaapidipagina"/>
          <w:rFonts w:ascii="Garamond" w:hAnsi="Garamond"/>
          <w:sz w:val="20"/>
          <w:szCs w:val="20"/>
        </w:rPr>
        <w:footnoteRef/>
      </w:r>
      <w:r w:rsidRPr="00D936E9">
        <w:rPr>
          <w:rFonts w:ascii="Garamond" w:hAnsi="Garamond"/>
          <w:sz w:val="20"/>
          <w:szCs w:val="20"/>
        </w:rPr>
        <w:t xml:space="preserve"> </w:t>
      </w:r>
      <w:r w:rsidRPr="00D936E9">
        <w:rPr>
          <w:rFonts w:ascii="Garamond" w:hAnsi="Garamond" w:cs="Garamond"/>
          <w:sz w:val="20"/>
          <w:szCs w:val="20"/>
          <w:lang w:eastAsia="it-IT"/>
        </w:rPr>
        <w:t xml:space="preserve">C. CESTER, </w:t>
      </w:r>
      <w:r w:rsidRPr="00D936E9">
        <w:rPr>
          <w:rFonts w:ascii="Garamond" w:hAnsi="Garamond" w:cs="Garamond-Italic"/>
          <w:i/>
          <w:iCs/>
          <w:sz w:val="20"/>
          <w:szCs w:val="20"/>
          <w:lang w:eastAsia="it-IT"/>
        </w:rPr>
        <w:t>Unità produttiva …</w:t>
      </w:r>
      <w:r w:rsidRPr="00D936E9">
        <w:rPr>
          <w:rFonts w:ascii="Garamond" w:hAnsi="Garamond" w:cs="Garamond"/>
          <w:sz w:val="20"/>
          <w:szCs w:val="20"/>
          <w:lang w:eastAsia="it-IT"/>
        </w:rPr>
        <w:t xml:space="preserve">, cit.; A. VALLEBONA, </w:t>
      </w:r>
      <w:r w:rsidRPr="00D936E9">
        <w:rPr>
          <w:rFonts w:ascii="Garamond" w:hAnsi="Garamond"/>
          <w:i/>
          <w:iCs/>
          <w:sz w:val="20"/>
          <w:szCs w:val="20"/>
        </w:rPr>
        <w:t>L’unità</w:t>
      </w:r>
      <w:r w:rsidRPr="00D936E9">
        <w:rPr>
          <w:rFonts w:ascii="Garamond" w:hAnsi="Garamond"/>
          <w:sz w:val="20"/>
          <w:szCs w:val="20"/>
        </w:rPr>
        <w:t xml:space="preserve"> …, cit. </w:t>
      </w:r>
    </w:p>
  </w:footnote>
  <w:footnote w:id="29">
    <w:p w14:paraId="73076B18" w14:textId="0DDB8448" w:rsidR="00DF5CCF" w:rsidRPr="00D936E9" w:rsidRDefault="00DF5CCF">
      <w:pPr>
        <w:pStyle w:val="Testonotaapidipagina"/>
        <w:rPr>
          <w:rFonts w:ascii="Garamond" w:hAnsi="Garamond"/>
        </w:rPr>
      </w:pPr>
      <w:r w:rsidRPr="00D936E9">
        <w:rPr>
          <w:rStyle w:val="Rimandonotaapidipagina"/>
          <w:rFonts w:ascii="Garamond" w:hAnsi="Garamond"/>
        </w:rPr>
        <w:footnoteRef/>
      </w:r>
      <w:r w:rsidRPr="00D936E9">
        <w:rPr>
          <w:rFonts w:ascii="Garamond" w:hAnsi="Garamond"/>
        </w:rPr>
        <w:t xml:space="preserve"> </w:t>
      </w:r>
      <w:r w:rsidRPr="00D936E9">
        <w:rPr>
          <w:rFonts w:ascii="Garamond" w:hAnsi="Garamond" w:cs="Garamond"/>
          <w:lang w:eastAsia="it-IT"/>
        </w:rPr>
        <w:t xml:space="preserve">R. DE LUCA TAMAJO, </w:t>
      </w:r>
      <w:r w:rsidRPr="00D936E9">
        <w:rPr>
          <w:rFonts w:ascii="Garamond" w:hAnsi="Garamond" w:cs="Garamond"/>
          <w:i/>
          <w:iCs/>
          <w:lang w:eastAsia="it-IT"/>
        </w:rPr>
        <w:t>Commento …</w:t>
      </w:r>
      <w:r w:rsidRPr="00D936E9">
        <w:rPr>
          <w:rFonts w:ascii="Garamond" w:hAnsi="Garamond" w:cs="Garamond"/>
          <w:lang w:eastAsia="it-IT"/>
        </w:rPr>
        <w:t xml:space="preserve">, cit.; M. BIAGI, </w:t>
      </w:r>
      <w:r w:rsidRPr="00D936E9">
        <w:rPr>
          <w:rFonts w:ascii="Garamond" w:hAnsi="Garamond" w:cs="Garamond-Italic"/>
          <w:i/>
          <w:iCs/>
          <w:lang w:eastAsia="it-IT"/>
        </w:rPr>
        <w:t xml:space="preserve">La dimensione </w:t>
      </w:r>
      <w:r w:rsidRPr="00D936E9">
        <w:rPr>
          <w:rFonts w:ascii="Garamond" w:hAnsi="Garamond" w:cs="Garamond-Italic"/>
          <w:lang w:eastAsia="it-IT"/>
        </w:rPr>
        <w:t>…, cit.</w:t>
      </w:r>
    </w:p>
  </w:footnote>
  <w:footnote w:id="30">
    <w:p w14:paraId="0D60B450" w14:textId="7AE76A27" w:rsidR="00397370" w:rsidRPr="00D936E9" w:rsidRDefault="00397370" w:rsidP="00397370">
      <w:pPr>
        <w:jc w:val="both"/>
        <w:rPr>
          <w:rFonts w:ascii="Garamond" w:hAnsi="Garamond"/>
          <w:sz w:val="20"/>
          <w:szCs w:val="20"/>
        </w:rPr>
      </w:pPr>
      <w:r w:rsidRPr="00D936E9">
        <w:rPr>
          <w:rStyle w:val="Rimandonotaapidipagina"/>
          <w:rFonts w:ascii="Garamond" w:hAnsi="Garamond"/>
          <w:sz w:val="20"/>
          <w:szCs w:val="20"/>
        </w:rPr>
        <w:footnoteRef/>
      </w:r>
      <w:r w:rsidRPr="00D936E9">
        <w:rPr>
          <w:rFonts w:ascii="Garamond" w:hAnsi="Garamond"/>
          <w:sz w:val="20"/>
          <w:szCs w:val="20"/>
        </w:rPr>
        <w:t xml:space="preserve"> </w:t>
      </w:r>
      <w:r w:rsidRPr="00D936E9">
        <w:rPr>
          <w:rFonts w:ascii="Garamond" w:hAnsi="Garamond" w:cs="Garamond"/>
          <w:sz w:val="20"/>
          <w:szCs w:val="20"/>
          <w:lang w:eastAsia="it-IT"/>
        </w:rPr>
        <w:t>Secondo Cass. 30 luglio 2019, n. 20520, l’unità produttiva è «</w:t>
      </w:r>
      <w:r w:rsidRPr="00D936E9">
        <w:rPr>
          <w:rFonts w:ascii="Garamond" w:hAnsi="Garamond" w:cs="Garamond"/>
          <w:i/>
          <w:iCs/>
          <w:sz w:val="20"/>
          <w:szCs w:val="20"/>
          <w:lang w:eastAsia="it-IT"/>
        </w:rPr>
        <w:t xml:space="preserve">ogni articolazione autonoma dell’impresa o azienda, avente, sotto il profilo funzionale e finalistico, idoneità ad esplicare, in tutto o in parte, l’attività di produzione di beni o servizi dell’impresa del quale </w:t>
      </w:r>
      <w:r w:rsidRPr="00D936E9">
        <w:rPr>
          <w:rFonts w:ascii="Garamond" w:hAnsi="Garamond" w:cs="Garamond"/>
          <w:sz w:val="20"/>
          <w:szCs w:val="20"/>
          <w:lang w:eastAsia="it-IT"/>
        </w:rPr>
        <w:t xml:space="preserve">[il prestatore </w:t>
      </w:r>
      <w:proofErr w:type="spellStart"/>
      <w:r w:rsidRPr="00D936E9">
        <w:rPr>
          <w:rFonts w:ascii="Garamond" w:hAnsi="Garamond" w:cs="Garamond"/>
          <w:sz w:val="20"/>
          <w:szCs w:val="20"/>
          <w:lang w:eastAsia="it-IT"/>
        </w:rPr>
        <w:t>nda</w:t>
      </w:r>
      <w:proofErr w:type="spellEnd"/>
      <w:r w:rsidRPr="00D936E9">
        <w:rPr>
          <w:rFonts w:ascii="Garamond" w:hAnsi="Garamond" w:cs="Garamond"/>
          <w:sz w:val="20"/>
          <w:szCs w:val="20"/>
          <w:lang w:eastAsia="it-IT"/>
        </w:rPr>
        <w:t>]</w:t>
      </w:r>
      <w:r w:rsidRPr="00D936E9">
        <w:rPr>
          <w:rFonts w:ascii="Garamond" w:hAnsi="Garamond" w:cs="Garamond"/>
          <w:i/>
          <w:iCs/>
          <w:sz w:val="20"/>
          <w:szCs w:val="20"/>
          <w:lang w:eastAsia="it-IT"/>
        </w:rPr>
        <w:t xml:space="preserve"> è elemento organizzativo</w:t>
      </w:r>
      <w:r w:rsidRPr="00D936E9">
        <w:rPr>
          <w:rFonts w:ascii="Garamond" w:hAnsi="Garamond" w:cs="Garamond"/>
          <w:sz w:val="20"/>
          <w:szCs w:val="20"/>
          <w:lang w:eastAsia="it-IT"/>
        </w:rPr>
        <w:t>».</w:t>
      </w:r>
    </w:p>
  </w:footnote>
  <w:footnote w:id="31">
    <w:p w14:paraId="748AB5BD" w14:textId="4CBBBE2E" w:rsidR="00397370" w:rsidRPr="00D936E9" w:rsidRDefault="00397370" w:rsidP="00397370">
      <w:pPr>
        <w:pStyle w:val="Testonotaapidipagina"/>
        <w:jc w:val="both"/>
        <w:rPr>
          <w:rFonts w:ascii="Garamond" w:hAnsi="Garamond"/>
        </w:rPr>
      </w:pPr>
      <w:r w:rsidRPr="00D936E9">
        <w:rPr>
          <w:rStyle w:val="Rimandonotaapidipagina"/>
          <w:rFonts w:ascii="Garamond" w:hAnsi="Garamond"/>
        </w:rPr>
        <w:footnoteRef/>
      </w:r>
      <w:r w:rsidRPr="00D936E9">
        <w:rPr>
          <w:rFonts w:ascii="Garamond" w:hAnsi="Garamond"/>
        </w:rPr>
        <w:t xml:space="preserve"> Cass. 22 agosto 2003, n. 12349.</w:t>
      </w:r>
    </w:p>
  </w:footnote>
  <w:footnote w:id="32">
    <w:p w14:paraId="18BC21BE" w14:textId="173753AF" w:rsidR="00032529" w:rsidRPr="00D936E9" w:rsidRDefault="00032529" w:rsidP="00A0650C">
      <w:pPr>
        <w:pStyle w:val="Testonotaapidipagina"/>
        <w:jc w:val="both"/>
        <w:rPr>
          <w:rFonts w:ascii="Garamond" w:hAnsi="Garamond"/>
        </w:rPr>
      </w:pPr>
      <w:r w:rsidRPr="00D936E9">
        <w:rPr>
          <w:rStyle w:val="Rimandonotaapidipagina"/>
          <w:rFonts w:ascii="Garamond" w:hAnsi="Garamond"/>
        </w:rPr>
        <w:footnoteRef/>
      </w:r>
      <w:r w:rsidRPr="00D936E9">
        <w:rPr>
          <w:rFonts w:ascii="Garamond" w:hAnsi="Garamond"/>
        </w:rPr>
        <w:t xml:space="preserve"> </w:t>
      </w:r>
      <w:r w:rsidRPr="00D936E9">
        <w:rPr>
          <w:rFonts w:ascii="Garamond" w:hAnsi="Garamond" w:cs="Garamond"/>
          <w:lang w:eastAsia="it-IT"/>
        </w:rPr>
        <w:t xml:space="preserve">M. BIAGI, </w:t>
      </w:r>
      <w:r w:rsidRPr="00D936E9">
        <w:rPr>
          <w:rFonts w:ascii="Garamond" w:hAnsi="Garamond" w:cs="Garamond-Italic"/>
          <w:i/>
          <w:iCs/>
          <w:lang w:eastAsia="it-IT"/>
        </w:rPr>
        <w:t xml:space="preserve">La dimensione </w:t>
      </w:r>
      <w:r w:rsidRPr="00D936E9">
        <w:rPr>
          <w:rFonts w:ascii="Garamond" w:hAnsi="Garamond" w:cs="Garamond-Italic"/>
          <w:lang w:eastAsia="it-IT"/>
        </w:rPr>
        <w:t>…, cit., p. 154.</w:t>
      </w:r>
    </w:p>
  </w:footnote>
  <w:footnote w:id="33">
    <w:p w14:paraId="06472F82" w14:textId="5D81B572" w:rsidR="00A0650C" w:rsidRPr="00D936E9" w:rsidRDefault="00A0650C" w:rsidP="00A0650C">
      <w:pPr>
        <w:pStyle w:val="Testonotaapidipagina"/>
        <w:jc w:val="both"/>
        <w:rPr>
          <w:rFonts w:ascii="Garamond" w:hAnsi="Garamond"/>
        </w:rPr>
      </w:pPr>
      <w:r w:rsidRPr="00D936E9">
        <w:rPr>
          <w:rStyle w:val="Rimandonotaapidipagina"/>
          <w:rFonts w:ascii="Garamond" w:hAnsi="Garamond"/>
        </w:rPr>
        <w:footnoteRef/>
      </w:r>
      <w:r w:rsidRPr="00D936E9">
        <w:rPr>
          <w:rFonts w:ascii="Garamond" w:hAnsi="Garamond"/>
        </w:rPr>
        <w:t xml:space="preserve"> Cass. 12 ottobre 1983, b. 5943; Cass. 18 novembre 1981, n. 6126.</w:t>
      </w:r>
    </w:p>
  </w:footnote>
  <w:footnote w:id="34">
    <w:p w14:paraId="1D9207CD" w14:textId="643091C8" w:rsidR="00A0650C" w:rsidRPr="00D936E9" w:rsidRDefault="00A0650C" w:rsidP="00A0650C">
      <w:pPr>
        <w:pStyle w:val="Testonotaapidipagina"/>
        <w:jc w:val="both"/>
        <w:rPr>
          <w:rFonts w:ascii="Garamond" w:hAnsi="Garamond"/>
        </w:rPr>
      </w:pPr>
      <w:r w:rsidRPr="00D936E9">
        <w:rPr>
          <w:rStyle w:val="Rimandonotaapidipagina"/>
          <w:rFonts w:ascii="Garamond" w:hAnsi="Garamond"/>
        </w:rPr>
        <w:footnoteRef/>
      </w:r>
      <w:r w:rsidRPr="00D936E9">
        <w:rPr>
          <w:rFonts w:ascii="Garamond" w:hAnsi="Garamond"/>
        </w:rPr>
        <w:t xml:space="preserve"> Cass. 16 gennaio 1986, n. 222.</w:t>
      </w:r>
    </w:p>
  </w:footnote>
  <w:footnote w:id="35">
    <w:p w14:paraId="3C528367" w14:textId="78B2CCC2" w:rsidR="00A0650C" w:rsidRPr="00D936E9" w:rsidRDefault="00A0650C" w:rsidP="00A0650C">
      <w:pPr>
        <w:pStyle w:val="Testonotaapidipagina"/>
        <w:jc w:val="both"/>
        <w:rPr>
          <w:rFonts w:ascii="Garamond" w:hAnsi="Garamond"/>
        </w:rPr>
      </w:pPr>
      <w:r w:rsidRPr="00D936E9">
        <w:rPr>
          <w:rStyle w:val="Rimandonotaapidipagina"/>
          <w:rFonts w:ascii="Garamond" w:hAnsi="Garamond"/>
        </w:rPr>
        <w:footnoteRef/>
      </w:r>
      <w:r w:rsidRPr="00D936E9">
        <w:rPr>
          <w:rFonts w:ascii="Garamond" w:hAnsi="Garamond"/>
        </w:rPr>
        <w:t xml:space="preserve"> Cass. 16 gennaio 1984, n. 354; Cass. 22 novembre 1985, n. 5806; Cass. 9 giugno 1993, n.</w:t>
      </w:r>
      <w:r w:rsidR="00FF1150" w:rsidRPr="00D936E9">
        <w:rPr>
          <w:rFonts w:ascii="Garamond" w:hAnsi="Garamond"/>
        </w:rPr>
        <w:t xml:space="preserve"> </w:t>
      </w:r>
      <w:r w:rsidRPr="00D936E9">
        <w:rPr>
          <w:rFonts w:ascii="Garamond" w:hAnsi="Garamond"/>
        </w:rPr>
        <w:t>6413.</w:t>
      </w:r>
    </w:p>
  </w:footnote>
  <w:footnote w:id="36">
    <w:p w14:paraId="7254222A" w14:textId="77777777" w:rsidR="00520795" w:rsidRPr="00D936E9" w:rsidRDefault="00520795" w:rsidP="00DF5CCF">
      <w:pPr>
        <w:pStyle w:val="Pidipagina"/>
        <w:jc w:val="both"/>
        <w:rPr>
          <w:rFonts w:ascii="Garamond" w:hAnsi="Garamond"/>
          <w:sz w:val="20"/>
          <w:szCs w:val="20"/>
        </w:rPr>
      </w:pPr>
      <w:r w:rsidRPr="00D936E9">
        <w:rPr>
          <w:rStyle w:val="Rimandonotaapidipagina"/>
          <w:rFonts w:ascii="Garamond" w:hAnsi="Garamond"/>
          <w:sz w:val="20"/>
          <w:szCs w:val="20"/>
        </w:rPr>
        <w:footnoteRef/>
      </w:r>
      <w:r w:rsidRPr="00D936E9">
        <w:rPr>
          <w:rFonts w:ascii="Garamond" w:hAnsi="Garamond"/>
          <w:sz w:val="20"/>
          <w:szCs w:val="20"/>
        </w:rPr>
        <w:t xml:space="preserve"> A. TURSI, </w:t>
      </w:r>
      <w:r w:rsidRPr="00D936E9">
        <w:rPr>
          <w:rFonts w:ascii="Garamond" w:hAnsi="Garamond"/>
          <w:i/>
          <w:iCs/>
          <w:sz w:val="20"/>
          <w:szCs w:val="20"/>
        </w:rPr>
        <w:t>La metamorfosi del tempo di lavoro</w:t>
      </w:r>
      <w:r w:rsidRPr="00D936E9">
        <w:rPr>
          <w:rFonts w:ascii="Garamond" w:hAnsi="Garamond"/>
          <w:sz w:val="20"/>
          <w:szCs w:val="20"/>
        </w:rPr>
        <w:t xml:space="preserve">, in </w:t>
      </w:r>
      <w:r w:rsidRPr="00D936E9">
        <w:rPr>
          <w:rFonts w:ascii="Garamond" w:hAnsi="Garamond"/>
          <w:i/>
          <w:iCs/>
          <w:sz w:val="20"/>
          <w:szCs w:val="20"/>
        </w:rPr>
        <w:t>Diritto delle relazioni industriali</w:t>
      </w:r>
      <w:r w:rsidRPr="00D936E9">
        <w:rPr>
          <w:rFonts w:ascii="Garamond" w:hAnsi="Garamond"/>
          <w:sz w:val="20"/>
          <w:szCs w:val="20"/>
        </w:rPr>
        <w:t>, n. 2/2022.</w:t>
      </w:r>
    </w:p>
  </w:footnote>
  <w:footnote w:id="37">
    <w:p w14:paraId="20AF91BF" w14:textId="4EED45F2" w:rsidR="00520795" w:rsidRPr="00D936E9" w:rsidRDefault="00520795" w:rsidP="00DF5CCF">
      <w:pPr>
        <w:pStyle w:val="Pidipagina"/>
        <w:jc w:val="both"/>
        <w:rPr>
          <w:rFonts w:ascii="Garamond" w:hAnsi="Garamond"/>
          <w:sz w:val="20"/>
          <w:szCs w:val="20"/>
          <w:lang w:val="en-US"/>
        </w:rPr>
      </w:pPr>
      <w:r w:rsidRPr="00D936E9">
        <w:rPr>
          <w:rStyle w:val="Rimandonotaapidipagina"/>
          <w:rFonts w:ascii="Garamond" w:hAnsi="Garamond"/>
          <w:sz w:val="20"/>
          <w:szCs w:val="20"/>
        </w:rPr>
        <w:footnoteRef/>
      </w:r>
      <w:r w:rsidRPr="00D936E9">
        <w:rPr>
          <w:rFonts w:ascii="Garamond" w:hAnsi="Garamond"/>
          <w:sz w:val="20"/>
          <w:szCs w:val="20"/>
          <w:lang w:val="en-US"/>
        </w:rPr>
        <w:t xml:space="preserve"> Si v. Don’t GIG Up, </w:t>
      </w:r>
      <w:proofErr w:type="gramStart"/>
      <w:r w:rsidRPr="00D936E9">
        <w:rPr>
          <w:rFonts w:ascii="Garamond" w:hAnsi="Garamond"/>
          <w:sz w:val="20"/>
          <w:szCs w:val="20"/>
          <w:lang w:val="en-US"/>
        </w:rPr>
        <w:t>Never</w:t>
      </w:r>
      <w:proofErr w:type="gramEnd"/>
      <w:r w:rsidRPr="00D936E9">
        <w:rPr>
          <w:rFonts w:ascii="Garamond" w:hAnsi="Garamond"/>
          <w:sz w:val="20"/>
          <w:szCs w:val="20"/>
          <w:lang w:val="en-US"/>
        </w:rPr>
        <w:t>! Project, Country update – Italy, cit.</w:t>
      </w:r>
    </w:p>
  </w:footnote>
  <w:footnote w:id="38">
    <w:p w14:paraId="408AB7FB" w14:textId="550FEAC2" w:rsidR="003769A2" w:rsidRPr="00D936E9" w:rsidRDefault="003769A2" w:rsidP="00DF5CCF">
      <w:pPr>
        <w:pStyle w:val="Testonotaapidipagina"/>
        <w:jc w:val="both"/>
        <w:rPr>
          <w:rFonts w:ascii="Garamond" w:hAnsi="Garamond" w:cs="Arial"/>
        </w:rPr>
      </w:pPr>
      <w:r w:rsidRPr="00D936E9">
        <w:rPr>
          <w:rStyle w:val="Rimandonotaapidipagina"/>
          <w:rFonts w:ascii="Garamond" w:hAnsi="Garamond"/>
        </w:rPr>
        <w:footnoteRef/>
      </w:r>
      <w:r w:rsidRPr="00D936E9">
        <w:rPr>
          <w:rFonts w:ascii="Garamond" w:hAnsi="Garamond"/>
        </w:rPr>
        <w:t xml:space="preserve"> A. PERULLI, T. TREU,</w:t>
      </w:r>
      <w:r w:rsidR="004A5D95" w:rsidRPr="00D936E9">
        <w:rPr>
          <w:rFonts w:ascii="Garamond" w:hAnsi="Garamond"/>
        </w:rPr>
        <w:t xml:space="preserve"> </w:t>
      </w:r>
      <w:r w:rsidR="004A5D95" w:rsidRPr="00D936E9">
        <w:rPr>
          <w:rFonts w:ascii="Garamond" w:hAnsi="Garamond"/>
          <w:i/>
          <w:iCs/>
        </w:rPr>
        <w:t>“In tutte le sue forme e applicazioni”. Per un nuovo Statuto del lavoro</w:t>
      </w:r>
      <w:r w:rsidR="004A5D95" w:rsidRPr="00D936E9">
        <w:rPr>
          <w:rFonts w:ascii="Garamond" w:hAnsi="Garamond"/>
        </w:rPr>
        <w:t>,</w:t>
      </w:r>
      <w:r w:rsidRPr="00D936E9">
        <w:rPr>
          <w:rFonts w:ascii="Garamond" w:hAnsi="Garamond"/>
        </w:rPr>
        <w:t xml:space="preserve"> </w:t>
      </w:r>
      <w:r w:rsidR="002C3ED0" w:rsidRPr="00D936E9">
        <w:rPr>
          <w:rFonts w:ascii="Garamond" w:hAnsi="Garamond"/>
        </w:rPr>
        <w:t xml:space="preserve">Giappichelli, 2022, </w:t>
      </w:r>
      <w:r w:rsidRPr="00D936E9">
        <w:rPr>
          <w:rFonts w:ascii="Garamond" w:hAnsi="Garamond"/>
        </w:rPr>
        <w:t xml:space="preserve">p. 63 e ss. </w:t>
      </w:r>
      <w:r w:rsidR="002C3ED0" w:rsidRPr="00D936E9">
        <w:rPr>
          <w:rFonts w:ascii="Garamond" w:hAnsi="Garamond"/>
        </w:rPr>
        <w:t>in cui si sostiene che «</w:t>
      </w:r>
      <w:r w:rsidRPr="00D936E9">
        <w:rPr>
          <w:rFonts w:ascii="Garamond" w:hAnsi="Garamond"/>
          <w:i/>
          <w:iCs/>
        </w:rPr>
        <w:t>invece di costruire un percorso espansivo utilizzando la logica civilistica tradizionale fattispecie-effetti (che nel corso del diritto del lavoro storicamente ha prodotto esclusioni irrazionali dal campo delle tutele e che oggi sembra avere esaurito definitivamente la sua funzione), bisogna rovesciare la logica normativa partendo dai valori e dai principi costituzionali di tutela del lavoro “in tutte le sue forme e applicazioni</w:t>
      </w:r>
      <w:r w:rsidR="002C3ED0" w:rsidRPr="00D936E9">
        <w:rPr>
          <w:rFonts w:ascii="Garamond" w:hAnsi="Garamond"/>
          <w:i/>
          <w:iCs/>
        </w:rPr>
        <w:t>”</w:t>
      </w:r>
      <w:r w:rsidRPr="00D936E9">
        <w:rPr>
          <w:rFonts w:ascii="Garamond" w:hAnsi="Garamond"/>
          <w:i/>
          <w:iCs/>
        </w:rPr>
        <w:t>, per poi, sulla base dei concreti bisogni sociali (le fattispecie concrete), concepire le policies di tutela e giungere, infine, ai diritti (gli effetti)</w:t>
      </w:r>
      <w:r w:rsidR="002C3ED0" w:rsidRPr="00D936E9">
        <w:rPr>
          <w:rFonts w:ascii="Garamond" w:hAnsi="Garamond"/>
        </w:rPr>
        <w:t>»</w:t>
      </w:r>
      <w:r w:rsidRPr="00D936E9">
        <w:rPr>
          <w:rFonts w:ascii="Garamond" w:hAnsi="Garamond"/>
        </w:rPr>
        <w:t>.</w:t>
      </w:r>
    </w:p>
  </w:footnote>
  <w:footnote w:id="39">
    <w:p w14:paraId="532079A3" w14:textId="502C3367" w:rsidR="002C3ED0" w:rsidRPr="00D936E9" w:rsidRDefault="002C3ED0" w:rsidP="00DF5CCF">
      <w:pPr>
        <w:pStyle w:val="Testonotaapidipagina"/>
        <w:jc w:val="both"/>
        <w:rPr>
          <w:rFonts w:ascii="Garamond" w:hAnsi="Garamond"/>
        </w:rPr>
      </w:pPr>
      <w:r w:rsidRPr="00D936E9">
        <w:rPr>
          <w:rStyle w:val="Rimandonotaapidipagina"/>
          <w:rFonts w:ascii="Garamond" w:hAnsi="Garamond"/>
        </w:rPr>
        <w:footnoteRef/>
      </w:r>
      <w:r w:rsidRPr="00D936E9">
        <w:rPr>
          <w:rFonts w:ascii="Garamond" w:hAnsi="Garamond"/>
        </w:rPr>
        <w:t xml:space="preserve"> Si. V. P. ICHINO, </w:t>
      </w:r>
      <w:r w:rsidRPr="00D936E9">
        <w:rPr>
          <w:rFonts w:ascii="Garamond" w:hAnsi="Garamond"/>
          <w:i/>
          <w:iCs/>
        </w:rPr>
        <w:t>Inchiesta sul lavoro. Perché non dobbiamo avere paura di una grande riforma</w:t>
      </w:r>
      <w:r w:rsidRPr="00D936E9">
        <w:rPr>
          <w:rFonts w:ascii="Garamond" w:hAnsi="Garamond"/>
        </w:rPr>
        <w:t>, Mondadori, 2011, p. 95-96, in cui l’autore parla addirittura di una «</w:t>
      </w:r>
      <w:r w:rsidRPr="00D936E9">
        <w:rPr>
          <w:rFonts w:ascii="Garamond" w:hAnsi="Garamond"/>
          <w:i/>
          <w:iCs/>
        </w:rPr>
        <w:t>apartheid</w:t>
      </w:r>
      <w:r w:rsidRPr="00D936E9">
        <w:rPr>
          <w:rFonts w:ascii="Garamond" w:hAnsi="Garamond"/>
        </w:rPr>
        <w:t>» nel mondo del lavoro, di un «</w:t>
      </w:r>
      <w:r w:rsidRPr="00D936E9">
        <w:rPr>
          <w:rFonts w:ascii="Garamond" w:hAnsi="Garamond"/>
          <w:i/>
          <w:iCs/>
        </w:rPr>
        <w:t>dualismo tra protetti e non protetti</w:t>
      </w:r>
      <w:bookmarkStart w:id="1" w:name="_Hlk139280802"/>
      <w:r w:rsidRPr="00D936E9">
        <w:rPr>
          <w:rFonts w:ascii="Garamond" w:hAnsi="Garamond"/>
        </w:rPr>
        <w:t>»</w:t>
      </w:r>
      <w:bookmarkEnd w:id="1"/>
      <w:r w:rsidRPr="00D936E9">
        <w:rPr>
          <w:rFonts w:ascii="Garamond" w:hAnsi="Garamond"/>
        </w:rPr>
        <w:t>.</w:t>
      </w:r>
    </w:p>
  </w:footnote>
  <w:footnote w:id="40">
    <w:p w14:paraId="24C0F279" w14:textId="77777777" w:rsidR="003769A2" w:rsidRPr="00D936E9" w:rsidRDefault="003769A2" w:rsidP="00DF5CCF">
      <w:pPr>
        <w:pStyle w:val="Testonotaapidipagina"/>
        <w:jc w:val="both"/>
        <w:rPr>
          <w:rFonts w:ascii="Garamond" w:hAnsi="Garamond"/>
        </w:rPr>
      </w:pPr>
      <w:r w:rsidRPr="00D936E9">
        <w:rPr>
          <w:rStyle w:val="Rimandonotaapidipagina"/>
          <w:rFonts w:ascii="Garamond" w:hAnsi="Garamond"/>
        </w:rPr>
        <w:footnoteRef/>
      </w:r>
      <w:r w:rsidRPr="00D936E9">
        <w:rPr>
          <w:rStyle w:val="Rimandonotaapidipagina"/>
          <w:rFonts w:ascii="Garamond" w:hAnsi="Garamond"/>
        </w:rPr>
        <w:t xml:space="preserve"> </w:t>
      </w:r>
      <w:r w:rsidRPr="00D936E9">
        <w:rPr>
          <w:rFonts w:ascii="Garamond" w:hAnsi="Garamond"/>
        </w:rPr>
        <w:t>L. 22 maggio 2017, n. 81.</w:t>
      </w:r>
    </w:p>
  </w:footnote>
  <w:footnote w:id="41">
    <w:p w14:paraId="37266BAB" w14:textId="3E7E387C" w:rsidR="00890C73" w:rsidRPr="00D936E9" w:rsidRDefault="00890C73" w:rsidP="00890C73">
      <w:pPr>
        <w:pStyle w:val="Testonotaapidipagina"/>
        <w:jc w:val="both"/>
      </w:pPr>
      <w:r w:rsidRPr="00D936E9">
        <w:rPr>
          <w:rStyle w:val="Rimandonotaapidipagina"/>
          <w:rFonts w:ascii="Garamond" w:hAnsi="Garamond"/>
        </w:rPr>
        <w:footnoteRef/>
      </w:r>
      <w:r w:rsidRPr="00D936E9">
        <w:rPr>
          <w:rFonts w:ascii="Garamond" w:hAnsi="Garamond"/>
        </w:rPr>
        <w:t xml:space="preserve"> M. </w:t>
      </w:r>
      <w:r w:rsidRPr="00D936E9">
        <w:rPr>
          <w:rFonts w:ascii="Garamond" w:hAnsi="Garamond"/>
        </w:rPr>
        <w:t xml:space="preserve">DEL CONTE, </w:t>
      </w:r>
      <w:r w:rsidRPr="00D936E9">
        <w:rPr>
          <w:rFonts w:ascii="Garamond" w:hAnsi="Garamond"/>
        </w:rPr>
        <w:t xml:space="preserve">O. RAZZOLINI, </w:t>
      </w:r>
      <w:r w:rsidRPr="00D936E9">
        <w:rPr>
          <w:rFonts w:ascii="Garamond" w:hAnsi="Garamond"/>
          <w:i/>
          <w:iCs/>
        </w:rPr>
        <w:t>La "</w:t>
      </w:r>
      <w:proofErr w:type="spellStart"/>
      <w:r w:rsidRPr="00D936E9">
        <w:rPr>
          <w:rFonts w:ascii="Garamond" w:hAnsi="Garamond"/>
          <w:i/>
          <w:iCs/>
        </w:rPr>
        <w:t>gig</w:t>
      </w:r>
      <w:proofErr w:type="spellEnd"/>
      <w:r w:rsidRPr="00D936E9">
        <w:rPr>
          <w:rFonts w:ascii="Garamond" w:hAnsi="Garamond"/>
          <w:i/>
          <w:iCs/>
        </w:rPr>
        <w:t xml:space="preserve"> economy" alla prova del giudice: la difficile reinterpretazione" della fattispecie e degli indici denotativi</w:t>
      </w:r>
      <w:r w:rsidRPr="00D936E9">
        <w:rPr>
          <w:rFonts w:ascii="Garamond" w:hAnsi="Garamond"/>
        </w:rPr>
        <w:t xml:space="preserve">, </w:t>
      </w:r>
      <w:r w:rsidRPr="00D936E9">
        <w:rPr>
          <w:rFonts w:ascii="Garamond" w:hAnsi="Garamond"/>
        </w:rPr>
        <w:t xml:space="preserve">in </w:t>
      </w:r>
      <w:r w:rsidRPr="00D936E9">
        <w:rPr>
          <w:rFonts w:ascii="Garamond" w:hAnsi="Garamond"/>
          <w:i/>
          <w:iCs/>
        </w:rPr>
        <w:t>Giornale di diritto del lavoro e di relazioni industriali</w:t>
      </w:r>
      <w:r w:rsidRPr="00D936E9">
        <w:rPr>
          <w:rFonts w:ascii="Garamond" w:hAnsi="Garamond"/>
        </w:rPr>
        <w:t>, 2018, 159</w:t>
      </w:r>
      <w:r w:rsidRPr="00D936E9">
        <w:rPr>
          <w:rFonts w:ascii="Garamond" w:hAnsi="Garamond"/>
        </w:rPr>
        <w:t>,</w:t>
      </w:r>
      <w:r w:rsidRPr="00D936E9">
        <w:rPr>
          <w:rFonts w:ascii="Garamond" w:hAnsi="Garamond"/>
        </w:rPr>
        <w:t xml:space="preserve"> </w:t>
      </w:r>
      <w:r w:rsidRPr="00D936E9">
        <w:rPr>
          <w:rFonts w:ascii="Garamond" w:hAnsi="Garamond"/>
        </w:rPr>
        <w:t>pp</w:t>
      </w:r>
      <w:r w:rsidRPr="00D936E9">
        <w:rPr>
          <w:rFonts w:ascii="Garamond" w:hAnsi="Garamond"/>
        </w:rPr>
        <w:t xml:space="preserve">. 673 </w:t>
      </w:r>
      <w:r w:rsidRPr="00D936E9">
        <w:rPr>
          <w:rFonts w:ascii="Garamond" w:hAnsi="Garamond"/>
        </w:rPr>
        <w:t>–</w:t>
      </w:r>
      <w:r w:rsidRPr="00D936E9">
        <w:rPr>
          <w:rFonts w:ascii="Garamond" w:hAnsi="Garamond"/>
        </w:rPr>
        <w:t xml:space="preserve"> 682</w:t>
      </w:r>
      <w:r w:rsidRPr="00D936E9">
        <w:rPr>
          <w:rFonts w:ascii="Garamond" w:hAnsi="Garamond"/>
        </w:rPr>
        <w:t>.</w:t>
      </w:r>
    </w:p>
  </w:footnote>
  <w:footnote w:id="42">
    <w:p w14:paraId="1922E114" w14:textId="019042C7" w:rsidR="003769A2" w:rsidRPr="00D936E9" w:rsidRDefault="003769A2" w:rsidP="00DF5CCF">
      <w:pPr>
        <w:pStyle w:val="Testonotaapidipagina"/>
        <w:spacing w:line="240" w:lineRule="atLeast"/>
        <w:jc w:val="both"/>
        <w:rPr>
          <w:rFonts w:ascii="Garamond" w:hAnsi="Garamond"/>
        </w:rPr>
      </w:pPr>
      <w:r w:rsidRPr="00D936E9">
        <w:rPr>
          <w:rStyle w:val="Rimandonotaapidipagina"/>
          <w:rFonts w:ascii="Garamond" w:hAnsi="Garamond"/>
        </w:rPr>
        <w:footnoteRef/>
      </w:r>
      <w:r w:rsidRPr="00D936E9">
        <w:rPr>
          <w:rFonts w:ascii="Garamond" w:hAnsi="Garamond"/>
        </w:rPr>
        <w:t xml:space="preserve"> In questo senso </w:t>
      </w:r>
      <w:bookmarkStart w:id="2" w:name="_Hlk116666217"/>
      <w:r w:rsidR="002C3ED0" w:rsidRPr="00D936E9">
        <w:rPr>
          <w:rFonts w:ascii="Garamond" w:hAnsi="Garamond"/>
        </w:rPr>
        <w:t>P. ICHINO</w:t>
      </w:r>
      <w:r w:rsidRPr="00D936E9">
        <w:rPr>
          <w:rFonts w:ascii="Garamond" w:hAnsi="Garamond"/>
        </w:rPr>
        <w:t xml:space="preserve">, </w:t>
      </w:r>
      <w:r w:rsidRPr="00D936E9">
        <w:rPr>
          <w:rFonts w:ascii="Garamond" w:hAnsi="Garamond"/>
          <w:i/>
          <w:iCs/>
        </w:rPr>
        <w:t xml:space="preserve">Lo smart working e il tramonto della summa </w:t>
      </w:r>
      <w:proofErr w:type="spellStart"/>
      <w:r w:rsidRPr="00D936E9">
        <w:rPr>
          <w:rFonts w:ascii="Garamond" w:hAnsi="Garamond"/>
          <w:i/>
          <w:iCs/>
        </w:rPr>
        <w:t>divisio</w:t>
      </w:r>
      <w:proofErr w:type="spellEnd"/>
      <w:r w:rsidRPr="00D936E9">
        <w:rPr>
          <w:rFonts w:ascii="Garamond" w:hAnsi="Garamond"/>
          <w:i/>
          <w:iCs/>
        </w:rPr>
        <w:t xml:space="preserve"> tra lavoro subordinato e lavoro autonomo</w:t>
      </w:r>
      <w:r w:rsidRPr="00D936E9">
        <w:rPr>
          <w:rFonts w:ascii="Garamond" w:hAnsi="Garamond"/>
        </w:rPr>
        <w:t xml:space="preserve">, in </w:t>
      </w:r>
      <w:r w:rsidRPr="00D936E9">
        <w:rPr>
          <w:rFonts w:ascii="Garamond" w:hAnsi="Garamond"/>
          <w:i/>
          <w:iCs/>
        </w:rPr>
        <w:t>Lavoro Diritti Europa</w:t>
      </w:r>
      <w:r w:rsidRPr="00D936E9">
        <w:rPr>
          <w:rFonts w:ascii="Garamond" w:hAnsi="Garamond"/>
        </w:rPr>
        <w:t>, 2021, I, p. 6</w:t>
      </w:r>
      <w:bookmarkEnd w:id="2"/>
      <w:r w:rsidRPr="00D936E9">
        <w:rPr>
          <w:rFonts w:ascii="Garamond" w:hAnsi="Garamond"/>
        </w:rPr>
        <w:t>, che ritiene opportuno che «</w:t>
      </w:r>
      <w:r w:rsidRPr="00D936E9">
        <w:rPr>
          <w:rFonts w:ascii="Garamond" w:hAnsi="Garamond"/>
          <w:i/>
          <w:iCs/>
        </w:rPr>
        <w:t>il diritto del lavoro elabori una nuova definizione tecnologica articolata della propria fattispecie di riferimento</w:t>
      </w:r>
      <w:r w:rsidRPr="00D936E9">
        <w:rPr>
          <w:rFonts w:ascii="Garamond" w:hAnsi="Garamond"/>
        </w:rPr>
        <w:t>»</w:t>
      </w:r>
      <w:r w:rsidR="002C3ED0" w:rsidRPr="00D936E9">
        <w:rPr>
          <w:rFonts w:ascii="Garamond" w:hAnsi="Garamond"/>
        </w:rPr>
        <w:t xml:space="preserve">. </w:t>
      </w:r>
      <w:r w:rsidRPr="00D936E9">
        <w:rPr>
          <w:rFonts w:ascii="Garamond" w:hAnsi="Garamond"/>
        </w:rPr>
        <w:t xml:space="preserve"> </w:t>
      </w:r>
      <w:bookmarkStart w:id="3" w:name="_Hlk116666228"/>
      <w:r w:rsidR="002C3ED0" w:rsidRPr="00D936E9">
        <w:rPr>
          <w:rFonts w:ascii="Garamond" w:hAnsi="Garamond"/>
        </w:rPr>
        <w:t>Sul fatto che il contratto di lavoro in modalità agile realizza una fattispecie speciale di lavoro subordinato, che presenta una deviazione causale dal tipo legale, arricchendosi di aspetti irriducibili al normale sinallagma contrattuale di cui all’art. 2094 c.c.</w:t>
      </w:r>
      <w:r w:rsidR="001954DB" w:rsidRPr="00D936E9">
        <w:rPr>
          <w:rFonts w:ascii="Garamond" w:hAnsi="Garamond"/>
        </w:rPr>
        <w:t xml:space="preserve"> </w:t>
      </w:r>
      <w:proofErr w:type="spellStart"/>
      <w:r w:rsidR="001954DB" w:rsidRPr="00D936E9">
        <w:rPr>
          <w:rFonts w:ascii="Garamond" w:hAnsi="Garamond"/>
        </w:rPr>
        <w:t>si</w:t>
      </w:r>
      <w:proofErr w:type="spellEnd"/>
      <w:r w:rsidR="001954DB" w:rsidRPr="00D936E9">
        <w:rPr>
          <w:rFonts w:ascii="Garamond" w:hAnsi="Garamond"/>
        </w:rPr>
        <w:t xml:space="preserve"> v. </w:t>
      </w:r>
      <w:r w:rsidR="002C3ED0" w:rsidRPr="00D936E9">
        <w:rPr>
          <w:rFonts w:ascii="Garamond" w:hAnsi="Garamond"/>
        </w:rPr>
        <w:t>A. PERULLI</w:t>
      </w:r>
      <w:r w:rsidRPr="00D936E9">
        <w:rPr>
          <w:rFonts w:ascii="Garamond" w:hAnsi="Garamond"/>
        </w:rPr>
        <w:t xml:space="preserve">, </w:t>
      </w:r>
      <w:r w:rsidRPr="00D936E9">
        <w:rPr>
          <w:rFonts w:ascii="Garamond" w:hAnsi="Garamond"/>
          <w:i/>
          <w:iCs/>
        </w:rPr>
        <w:t>La “soggettivazione regolativa” nel diritto del lavoro</w:t>
      </w:r>
      <w:r w:rsidRPr="00D936E9">
        <w:rPr>
          <w:rFonts w:ascii="Garamond" w:hAnsi="Garamond"/>
        </w:rPr>
        <w:t xml:space="preserve">, in </w:t>
      </w:r>
      <w:r w:rsidRPr="00D936E9">
        <w:rPr>
          <w:rFonts w:ascii="Garamond" w:hAnsi="Garamond"/>
          <w:i/>
          <w:iCs/>
        </w:rPr>
        <w:t>Diritto delle relazioni industriali</w:t>
      </w:r>
      <w:r w:rsidRPr="00D936E9">
        <w:rPr>
          <w:rFonts w:ascii="Garamond" w:hAnsi="Garamond"/>
        </w:rPr>
        <w:t>, 2019, p. 111 ss.</w:t>
      </w:r>
      <w:bookmarkEnd w:id="3"/>
      <w:r w:rsidR="001954DB" w:rsidRPr="00D936E9">
        <w:rPr>
          <w:rFonts w:ascii="Garamond" w:hAnsi="Garamond"/>
        </w:rPr>
        <w:t>, e</w:t>
      </w:r>
      <w:r w:rsidRPr="00D936E9">
        <w:rPr>
          <w:rFonts w:ascii="Garamond" w:hAnsi="Garamond"/>
        </w:rPr>
        <w:t xml:space="preserve"> </w:t>
      </w:r>
      <w:r w:rsidR="001954DB" w:rsidRPr="00D936E9">
        <w:rPr>
          <w:rFonts w:ascii="Garamond" w:hAnsi="Garamond"/>
        </w:rPr>
        <w:t xml:space="preserve">ancora </w:t>
      </w:r>
      <w:r w:rsidRPr="00D936E9">
        <w:rPr>
          <w:rFonts w:ascii="Garamond" w:hAnsi="Garamond"/>
        </w:rPr>
        <w:t xml:space="preserve">A. </w:t>
      </w:r>
      <w:r w:rsidR="002C3ED0" w:rsidRPr="00D936E9">
        <w:rPr>
          <w:rFonts w:ascii="Garamond" w:hAnsi="Garamond"/>
        </w:rPr>
        <w:t>PERULLI</w:t>
      </w:r>
      <w:r w:rsidRPr="00D936E9">
        <w:rPr>
          <w:rFonts w:ascii="Garamond" w:hAnsi="Garamond"/>
        </w:rPr>
        <w:t xml:space="preserve">, </w:t>
      </w:r>
      <w:r w:rsidRPr="00D936E9">
        <w:rPr>
          <w:rFonts w:ascii="Garamond" w:hAnsi="Garamond"/>
          <w:i/>
          <w:iCs/>
        </w:rPr>
        <w:t>Il Jobs Act del lavoro autonomo e agile: come cambiano i concetti di subordinazione e autonomia nel diritto del lavoro</w:t>
      </w:r>
      <w:r w:rsidRPr="00D936E9">
        <w:rPr>
          <w:rFonts w:ascii="Garamond" w:hAnsi="Garamond"/>
        </w:rPr>
        <w:t xml:space="preserve">, in G. </w:t>
      </w:r>
      <w:r w:rsidR="002C3ED0" w:rsidRPr="00D936E9">
        <w:rPr>
          <w:rFonts w:ascii="Garamond" w:hAnsi="Garamond"/>
        </w:rPr>
        <w:t xml:space="preserve">ZILIO GRANDI </w:t>
      </w:r>
      <w:r w:rsidRPr="00D936E9">
        <w:rPr>
          <w:rFonts w:ascii="Garamond" w:hAnsi="Garamond"/>
        </w:rPr>
        <w:t xml:space="preserve">– M. </w:t>
      </w:r>
      <w:r w:rsidR="002C3ED0" w:rsidRPr="00D936E9">
        <w:rPr>
          <w:rFonts w:ascii="Garamond" w:hAnsi="Garamond"/>
        </w:rPr>
        <w:t>BIASI</w:t>
      </w:r>
      <w:r w:rsidRPr="00D936E9">
        <w:rPr>
          <w:rFonts w:ascii="Garamond" w:hAnsi="Garamond"/>
        </w:rPr>
        <w:t xml:space="preserve">, </w:t>
      </w:r>
      <w:r w:rsidRPr="00D936E9">
        <w:rPr>
          <w:rFonts w:ascii="Garamond" w:hAnsi="Garamond"/>
          <w:i/>
          <w:iCs/>
        </w:rPr>
        <w:t>Commentario breve a allo statuto del lavoro autonomo e del l</w:t>
      </w:r>
      <w:r w:rsidRPr="00D936E9">
        <w:rPr>
          <w:rFonts w:ascii="Garamond" w:hAnsi="Garamond"/>
        </w:rPr>
        <w:t xml:space="preserve"> modalità di esecuzione del rapporto di lavoro subordinato; M. </w:t>
      </w:r>
      <w:r w:rsidR="002C3ED0" w:rsidRPr="00D936E9">
        <w:rPr>
          <w:rFonts w:ascii="Garamond" w:hAnsi="Garamond"/>
        </w:rPr>
        <w:t>TIRABOSCHI</w:t>
      </w:r>
      <w:r w:rsidRPr="00D936E9">
        <w:rPr>
          <w:rFonts w:ascii="Garamond" w:hAnsi="Garamond"/>
        </w:rPr>
        <w:t xml:space="preserve">, </w:t>
      </w:r>
      <w:r w:rsidRPr="00D936E9">
        <w:rPr>
          <w:rFonts w:ascii="Garamond" w:hAnsi="Garamond"/>
          <w:i/>
          <w:iCs/>
        </w:rPr>
        <w:t>Il lavoro agile tra legge e contrattazione c</w:t>
      </w:r>
      <w:r w:rsidR="00152461" w:rsidRPr="00D936E9">
        <w:rPr>
          <w:rFonts w:ascii="Garamond" w:hAnsi="Garamond"/>
          <w:i/>
          <w:iCs/>
        </w:rPr>
        <w:t xml:space="preserve"> </w:t>
      </w:r>
      <w:proofErr w:type="spellStart"/>
      <w:r w:rsidR="00152461" w:rsidRPr="00D936E9">
        <w:rPr>
          <w:rFonts w:ascii="Garamond" w:hAnsi="Garamond"/>
          <w:i/>
          <w:iCs/>
        </w:rPr>
        <w:t>avoro</w:t>
      </w:r>
      <w:proofErr w:type="spellEnd"/>
      <w:r w:rsidR="00152461" w:rsidRPr="00D936E9">
        <w:rPr>
          <w:rFonts w:ascii="Garamond" w:hAnsi="Garamond"/>
          <w:i/>
          <w:iCs/>
        </w:rPr>
        <w:t xml:space="preserve"> agil</w:t>
      </w:r>
      <w:r w:rsidR="00152461" w:rsidRPr="00D936E9">
        <w:rPr>
          <w:rFonts w:ascii="Garamond" w:hAnsi="Garamond"/>
        </w:rPr>
        <w:t xml:space="preserve">, </w:t>
      </w:r>
      <w:proofErr w:type="spellStart"/>
      <w:r w:rsidR="00152461" w:rsidRPr="00D936E9">
        <w:rPr>
          <w:rFonts w:ascii="Garamond" w:hAnsi="Garamond"/>
          <w:i/>
          <w:iCs/>
        </w:rPr>
        <w:t>e</w:t>
      </w:r>
      <w:r w:rsidR="00152461" w:rsidRPr="00D936E9">
        <w:rPr>
          <w:rFonts w:ascii="Garamond" w:hAnsi="Garamond"/>
        </w:rPr>
        <w:t>Padova</w:t>
      </w:r>
      <w:proofErr w:type="spellEnd"/>
      <w:r w:rsidR="00152461" w:rsidRPr="00D936E9">
        <w:rPr>
          <w:rFonts w:ascii="Garamond" w:hAnsi="Garamond"/>
        </w:rPr>
        <w:t xml:space="preserve">, Cedam, 2018, p. 56.. In senso parzialmente difforme C. TIMELLINI, </w:t>
      </w:r>
      <w:r w:rsidR="00152461" w:rsidRPr="00D936E9">
        <w:rPr>
          <w:rFonts w:ascii="Garamond" w:hAnsi="Garamond"/>
          <w:i/>
          <w:iCs/>
        </w:rPr>
        <w:t xml:space="preserve">In che modo oggi il lavoro è smart? Sulla </w:t>
      </w:r>
      <w:proofErr w:type="spellStart"/>
      <w:r w:rsidR="00152461" w:rsidRPr="00D936E9">
        <w:rPr>
          <w:rFonts w:ascii="Garamond" w:hAnsi="Garamond"/>
          <w:i/>
          <w:iCs/>
        </w:rPr>
        <w:t>definizone</w:t>
      </w:r>
      <w:proofErr w:type="spellEnd"/>
      <w:r w:rsidR="00152461" w:rsidRPr="00D936E9">
        <w:rPr>
          <w:rFonts w:ascii="Garamond" w:hAnsi="Garamond"/>
          <w:i/>
          <w:iCs/>
        </w:rPr>
        <w:t xml:space="preserve"> di lavoro agile</w:t>
      </w:r>
      <w:r w:rsidR="00152461" w:rsidRPr="00D936E9">
        <w:rPr>
          <w:rFonts w:ascii="Garamond" w:hAnsi="Garamond"/>
        </w:rPr>
        <w:t xml:space="preserve">, in </w:t>
      </w:r>
      <w:r w:rsidR="00152461" w:rsidRPr="00D936E9">
        <w:rPr>
          <w:rFonts w:ascii="Garamond" w:hAnsi="Garamond"/>
          <w:i/>
          <w:iCs/>
        </w:rPr>
        <w:t>Lavoro Nella Giurisprudenza</w:t>
      </w:r>
      <w:r w:rsidR="00152461" w:rsidRPr="00D936E9">
        <w:rPr>
          <w:rFonts w:ascii="Garamond" w:hAnsi="Garamond"/>
        </w:rPr>
        <w:t xml:space="preserve">, 2018, III, p. 229 ss., che qualifica il lavoro agile come una semplice </w:t>
      </w:r>
      <w:proofErr w:type="spellStart"/>
      <w:r w:rsidRPr="00D936E9">
        <w:rPr>
          <w:rFonts w:ascii="Garamond" w:hAnsi="Garamond"/>
          <w:i/>
          <w:iCs/>
        </w:rPr>
        <w:t>ollettiva</w:t>
      </w:r>
      <w:proofErr w:type="spellEnd"/>
      <w:r w:rsidRPr="00D936E9">
        <w:rPr>
          <w:rFonts w:ascii="Garamond" w:hAnsi="Garamond"/>
          <w:i/>
          <w:iCs/>
        </w:rPr>
        <w:t>: la tortuosa via italiana verso la modernizzazione del diritto del lavoro</w:t>
      </w:r>
      <w:r w:rsidRPr="00D936E9">
        <w:rPr>
          <w:rFonts w:ascii="Garamond" w:hAnsi="Garamond"/>
        </w:rPr>
        <w:t xml:space="preserve">, </w:t>
      </w:r>
      <w:r w:rsidR="00D45D21" w:rsidRPr="00D936E9">
        <w:rPr>
          <w:rFonts w:ascii="Garamond" w:hAnsi="Garamond"/>
        </w:rPr>
        <w:t xml:space="preserve">in </w:t>
      </w:r>
      <w:r w:rsidR="00D45D21" w:rsidRPr="00D936E9">
        <w:rPr>
          <w:rFonts w:ascii="Garamond" w:hAnsi="Garamond"/>
          <w:i/>
          <w:iCs/>
        </w:rPr>
        <w:t>Diritto delle relazioni industriali</w:t>
      </w:r>
      <w:r w:rsidRPr="00D936E9">
        <w:rPr>
          <w:rFonts w:ascii="Garamond" w:hAnsi="Garamond"/>
        </w:rPr>
        <w:t xml:space="preserve">, </w:t>
      </w:r>
      <w:r w:rsidR="00D45D21" w:rsidRPr="00D936E9">
        <w:rPr>
          <w:rFonts w:ascii="Garamond" w:hAnsi="Garamond"/>
        </w:rPr>
        <w:t xml:space="preserve">2017, </w:t>
      </w:r>
      <w:r w:rsidRPr="00D936E9">
        <w:rPr>
          <w:rFonts w:ascii="Garamond" w:hAnsi="Garamond"/>
        </w:rPr>
        <w:t xml:space="preserve">p. 932, osserva come la </w:t>
      </w:r>
      <w:proofErr w:type="spellStart"/>
      <w:r w:rsidRPr="00D936E9">
        <w:rPr>
          <w:rFonts w:ascii="Garamond" w:hAnsi="Garamond"/>
        </w:rPr>
        <w:t>leg</w:t>
      </w:r>
      <w:proofErr w:type="spellEnd"/>
      <w:r w:rsidR="00152461" w:rsidRPr="00D936E9">
        <w:rPr>
          <w:rFonts w:ascii="Garamond" w:hAnsi="Garamond"/>
          <w:i/>
          <w:iCs/>
        </w:rPr>
        <w:t xml:space="preserve"> i</w:t>
      </w:r>
      <w:r w:rsidR="00152461" w:rsidRPr="00D936E9">
        <w:rPr>
          <w:rFonts w:ascii="Garamond" w:hAnsi="Garamond"/>
        </w:rPr>
        <w:t xml:space="preserve"> </w:t>
      </w:r>
      <w:proofErr w:type="spellStart"/>
      <w:r w:rsidRPr="00D936E9">
        <w:rPr>
          <w:rFonts w:ascii="Garamond" w:hAnsi="Garamond"/>
        </w:rPr>
        <w:t>ge</w:t>
      </w:r>
      <w:proofErr w:type="spellEnd"/>
      <w:r w:rsidRPr="00D936E9">
        <w:rPr>
          <w:rFonts w:ascii="Garamond" w:hAnsi="Garamond"/>
        </w:rPr>
        <w:t xml:space="preserve"> 81/2017 abbia </w:t>
      </w:r>
      <w:r w:rsidR="00D45D21" w:rsidRPr="00D936E9">
        <w:rPr>
          <w:rFonts w:ascii="Garamond" w:hAnsi="Garamond"/>
        </w:rPr>
        <w:t>«</w:t>
      </w:r>
      <w:r w:rsidRPr="00D936E9">
        <w:rPr>
          <w:rFonts w:ascii="Garamond" w:hAnsi="Garamond"/>
          <w:i/>
          <w:iCs/>
        </w:rPr>
        <w:t>enfaticamente</w:t>
      </w:r>
      <w:r w:rsidR="00D45D21" w:rsidRPr="00D936E9">
        <w:rPr>
          <w:rFonts w:ascii="Garamond" w:hAnsi="Garamond"/>
        </w:rPr>
        <w:t>»</w:t>
      </w:r>
      <w:r w:rsidRPr="00D936E9">
        <w:rPr>
          <w:rFonts w:ascii="Garamond" w:hAnsi="Garamond"/>
        </w:rPr>
        <w:t xml:space="preserve"> ricondotto la prestazione di lavoro agile alla subordinazione, piegandone </w:t>
      </w:r>
      <w:r w:rsidR="00D45D21" w:rsidRPr="00D936E9">
        <w:rPr>
          <w:rFonts w:ascii="Garamond" w:hAnsi="Garamond"/>
        </w:rPr>
        <w:t>«</w:t>
      </w:r>
      <w:r w:rsidRPr="00D936E9">
        <w:rPr>
          <w:rFonts w:ascii="Garamond" w:hAnsi="Garamond"/>
          <w:i/>
          <w:iCs/>
        </w:rPr>
        <w:t xml:space="preserve">le modalità </w:t>
      </w:r>
      <w:proofErr w:type="spellStart"/>
      <w:r w:rsidRPr="00D936E9">
        <w:rPr>
          <w:rFonts w:ascii="Garamond" w:hAnsi="Garamond"/>
          <w:i/>
          <w:iCs/>
        </w:rPr>
        <w:t>esecutve</w:t>
      </w:r>
      <w:proofErr w:type="spellEnd"/>
      <w:r w:rsidRPr="00D936E9">
        <w:rPr>
          <w:rFonts w:ascii="Garamond" w:hAnsi="Garamond"/>
          <w:i/>
          <w:iCs/>
        </w:rPr>
        <w:t xml:space="preserve"> in funzione di logiche di risultato e autodeterminazione, proprie dell’opposta categoria del lavoro autonomo</w:t>
      </w:r>
      <w:r w:rsidR="00D45D21" w:rsidRPr="00D936E9">
        <w:rPr>
          <w:rFonts w:ascii="Garamond" w:hAnsi="Garamond"/>
        </w:rPr>
        <w:t>». C</w:t>
      </w:r>
      <w:r w:rsidRPr="00D936E9">
        <w:rPr>
          <w:rFonts w:ascii="Garamond" w:hAnsi="Garamond"/>
        </w:rPr>
        <w:t xml:space="preserve">fr. anche A. </w:t>
      </w:r>
      <w:r w:rsidR="00D45D21" w:rsidRPr="00D936E9">
        <w:rPr>
          <w:rFonts w:ascii="Garamond" w:hAnsi="Garamond"/>
        </w:rPr>
        <w:t>DONINI</w:t>
      </w:r>
      <w:r w:rsidRPr="00D936E9">
        <w:rPr>
          <w:rFonts w:ascii="Garamond" w:hAnsi="Garamond"/>
        </w:rPr>
        <w:t xml:space="preserve">, </w:t>
      </w:r>
      <w:r w:rsidRPr="00D936E9">
        <w:rPr>
          <w:rFonts w:ascii="Garamond" w:hAnsi="Garamond"/>
          <w:i/>
          <w:iCs/>
        </w:rPr>
        <w:t>Nuova flessibilità spazio-temporale e tecnologia: l’idea del lavoro agile</w:t>
      </w:r>
      <w:r w:rsidRPr="00D936E9">
        <w:rPr>
          <w:rFonts w:ascii="Garamond" w:hAnsi="Garamond"/>
        </w:rPr>
        <w:t xml:space="preserve">, in P. </w:t>
      </w:r>
      <w:r w:rsidR="002C3ED0" w:rsidRPr="00D936E9">
        <w:rPr>
          <w:rFonts w:ascii="Garamond" w:hAnsi="Garamond"/>
        </w:rPr>
        <w:t>TULLINI</w:t>
      </w:r>
      <w:r w:rsidRPr="00D936E9">
        <w:rPr>
          <w:rFonts w:ascii="Garamond" w:hAnsi="Garamond"/>
        </w:rPr>
        <w:t xml:space="preserve">, </w:t>
      </w:r>
      <w:r w:rsidRPr="00D936E9">
        <w:rPr>
          <w:rFonts w:ascii="Garamond" w:hAnsi="Garamond"/>
          <w:i/>
          <w:iCs/>
        </w:rPr>
        <w:t>Web e lavoro. Profili evolutivi e di tutela</w:t>
      </w:r>
      <w:r w:rsidRPr="00D936E9">
        <w:rPr>
          <w:rFonts w:ascii="Garamond" w:hAnsi="Garamond"/>
        </w:rPr>
        <w:t>, Torino, Giappichelli, 2017, p. 83.</w:t>
      </w:r>
    </w:p>
  </w:footnote>
  <w:footnote w:id="43">
    <w:p w14:paraId="0ADDAE73" w14:textId="15D38EDE" w:rsidR="000F2731" w:rsidRPr="00D936E9" w:rsidRDefault="000F2731" w:rsidP="00DF5CCF">
      <w:pPr>
        <w:pStyle w:val="Testonotaapidipagina"/>
        <w:jc w:val="both"/>
        <w:rPr>
          <w:rFonts w:ascii="Garamond" w:hAnsi="Garamond"/>
        </w:rPr>
      </w:pPr>
      <w:r w:rsidRPr="00D936E9">
        <w:rPr>
          <w:rStyle w:val="Rimandonotaapidipagina"/>
          <w:rFonts w:ascii="Garamond" w:hAnsi="Garamond"/>
        </w:rPr>
        <w:footnoteRef/>
      </w:r>
      <w:r w:rsidRPr="00D936E9">
        <w:rPr>
          <w:rFonts w:ascii="Garamond" w:hAnsi="Garamond"/>
        </w:rPr>
        <w:t xml:space="preserve"> Si v. CCAL Bayer S.p.A./BCS S.r.l., </w:t>
      </w:r>
      <w:r w:rsidRPr="00D936E9">
        <w:rPr>
          <w:rFonts w:ascii="Garamond" w:hAnsi="Garamond"/>
          <w:i/>
          <w:iCs/>
        </w:rPr>
        <w:t xml:space="preserve">Accordo </w:t>
      </w:r>
      <w:proofErr w:type="spellStart"/>
      <w:r w:rsidRPr="00D936E9">
        <w:rPr>
          <w:rFonts w:ascii="Garamond" w:hAnsi="Garamond"/>
          <w:i/>
          <w:iCs/>
        </w:rPr>
        <w:t>WoW</w:t>
      </w:r>
      <w:proofErr w:type="spellEnd"/>
      <w:r w:rsidRPr="00D936E9">
        <w:rPr>
          <w:rFonts w:ascii="Garamond" w:hAnsi="Garamond"/>
          <w:i/>
          <w:iCs/>
        </w:rPr>
        <w:t>! – Sperimentazione 2021</w:t>
      </w:r>
      <w:r w:rsidRPr="00D936E9">
        <w:rPr>
          <w:rFonts w:ascii="Garamond" w:hAnsi="Garamond"/>
        </w:rPr>
        <w:t xml:space="preserve">, del 19 febbraio 2021; CCAL Eni S.p.A., </w:t>
      </w:r>
      <w:r w:rsidRPr="00D936E9">
        <w:rPr>
          <w:rFonts w:ascii="Garamond" w:hAnsi="Garamond"/>
          <w:i/>
          <w:iCs/>
        </w:rPr>
        <w:t>INSIEME: Modello di relazioni industriali a supporto del percorso di transizione energetica</w:t>
      </w:r>
      <w:r w:rsidRPr="00D936E9">
        <w:rPr>
          <w:rFonts w:ascii="Garamond" w:hAnsi="Garamond"/>
        </w:rPr>
        <w:t xml:space="preserve">, del 3 dicembre 2020; CCAL Poste Italiane S.p.A. del 18 dicembre 2020 in tema di lavoro agile; CCAL Vodafone S.p.A. del 20 ottobre 2020 in tema di lavoro agile e conciliazione vita/lavoro. </w:t>
      </w:r>
    </w:p>
  </w:footnote>
  <w:footnote w:id="44">
    <w:p w14:paraId="5F659E3B" w14:textId="1E9653EC" w:rsidR="00971486" w:rsidRPr="00D936E9" w:rsidRDefault="00971486" w:rsidP="00DF5CCF">
      <w:pPr>
        <w:pStyle w:val="Testonotaapidipagina"/>
        <w:jc w:val="both"/>
        <w:rPr>
          <w:rFonts w:ascii="Garamond" w:hAnsi="Garamond"/>
        </w:rPr>
      </w:pPr>
      <w:r w:rsidRPr="00D936E9">
        <w:rPr>
          <w:rStyle w:val="Rimandonotaapidipagina"/>
          <w:rFonts w:ascii="Garamond" w:hAnsi="Garamond"/>
        </w:rPr>
        <w:footnoteRef/>
      </w:r>
      <w:r w:rsidRPr="00D936E9">
        <w:rPr>
          <w:rFonts w:ascii="Garamond" w:hAnsi="Garamond"/>
        </w:rPr>
        <w:t xml:space="preserve"> CCAL Leonardo S.p.A. del 21 maggio 2021 in tema di premio di risultato e </w:t>
      </w:r>
      <w:r w:rsidRPr="00D936E9">
        <w:rPr>
          <w:rFonts w:ascii="Garamond" w:hAnsi="Garamond"/>
          <w:i/>
          <w:iCs/>
        </w:rPr>
        <w:t xml:space="preserve">welfare </w:t>
      </w:r>
      <w:r w:rsidRPr="00D936E9">
        <w:rPr>
          <w:rFonts w:ascii="Garamond" w:hAnsi="Garamond"/>
        </w:rPr>
        <w:t>aziendale.</w:t>
      </w:r>
    </w:p>
  </w:footnote>
  <w:footnote w:id="45">
    <w:p w14:paraId="6A217CED" w14:textId="3A76B02F" w:rsidR="003769A2" w:rsidRPr="00D936E9" w:rsidRDefault="003769A2" w:rsidP="00DF5CCF">
      <w:pPr>
        <w:pStyle w:val="Testonotaapidipagina"/>
        <w:spacing w:line="240" w:lineRule="atLeast"/>
        <w:jc w:val="both"/>
        <w:rPr>
          <w:rFonts w:ascii="Garamond" w:hAnsi="Garamond"/>
        </w:rPr>
      </w:pPr>
      <w:r w:rsidRPr="00D936E9">
        <w:rPr>
          <w:rStyle w:val="Rimandonotaapidipagina"/>
          <w:rFonts w:ascii="Garamond" w:hAnsi="Garamond"/>
        </w:rPr>
        <w:footnoteRef/>
      </w:r>
      <w:r w:rsidRPr="00D936E9">
        <w:rPr>
          <w:rFonts w:ascii="Garamond" w:hAnsi="Garamond"/>
        </w:rPr>
        <w:t xml:space="preserve"> Cfr. L. </w:t>
      </w:r>
      <w:r w:rsidR="00971486" w:rsidRPr="00D936E9">
        <w:rPr>
          <w:rFonts w:ascii="Garamond" w:hAnsi="Garamond"/>
        </w:rPr>
        <w:t>FIORILLO</w:t>
      </w:r>
      <w:r w:rsidRPr="00D936E9">
        <w:rPr>
          <w:rFonts w:ascii="Garamond" w:hAnsi="Garamond"/>
        </w:rPr>
        <w:t xml:space="preserve">, </w:t>
      </w:r>
      <w:r w:rsidRPr="00D936E9">
        <w:rPr>
          <w:rFonts w:ascii="Garamond" w:hAnsi="Garamond"/>
          <w:i/>
          <w:iCs/>
        </w:rPr>
        <w:t>Il lavoro agile: continua il processo di ridefinizione del diritto del lavoro</w:t>
      </w:r>
      <w:r w:rsidRPr="00D936E9">
        <w:rPr>
          <w:rFonts w:ascii="Garamond" w:hAnsi="Garamond"/>
        </w:rPr>
        <w:t xml:space="preserve">, in </w:t>
      </w:r>
      <w:proofErr w:type="spellStart"/>
      <w:r w:rsidRPr="00D936E9">
        <w:rPr>
          <w:rFonts w:ascii="Garamond" w:hAnsi="Garamond"/>
        </w:rPr>
        <w:t>Aa.Vv</w:t>
      </w:r>
      <w:proofErr w:type="spellEnd"/>
      <w:r w:rsidRPr="00D936E9">
        <w:rPr>
          <w:rFonts w:ascii="Garamond" w:hAnsi="Garamond"/>
        </w:rPr>
        <w:t xml:space="preserve">., </w:t>
      </w:r>
      <w:r w:rsidRPr="00D936E9">
        <w:rPr>
          <w:rFonts w:ascii="Garamond" w:hAnsi="Garamond"/>
          <w:i/>
          <w:iCs/>
        </w:rPr>
        <w:t>Il Jobs act del lavoro autonomo e del lavoro agile</w:t>
      </w:r>
      <w:r w:rsidRPr="00D936E9">
        <w:rPr>
          <w:rFonts w:ascii="Garamond" w:hAnsi="Garamond"/>
        </w:rPr>
        <w:t xml:space="preserve">, a cura di L. </w:t>
      </w:r>
      <w:r w:rsidR="00971486" w:rsidRPr="00D936E9">
        <w:rPr>
          <w:rFonts w:ascii="Garamond" w:hAnsi="Garamond"/>
        </w:rPr>
        <w:t xml:space="preserve">FIORILLO </w:t>
      </w:r>
      <w:r w:rsidRPr="00D936E9">
        <w:rPr>
          <w:rFonts w:ascii="Garamond" w:hAnsi="Garamond"/>
        </w:rPr>
        <w:t xml:space="preserve">– A. </w:t>
      </w:r>
      <w:r w:rsidR="00971486" w:rsidRPr="00D936E9">
        <w:rPr>
          <w:rFonts w:ascii="Garamond" w:hAnsi="Garamond"/>
        </w:rPr>
        <w:t>PERULLI</w:t>
      </w:r>
      <w:r w:rsidRPr="00D936E9">
        <w:rPr>
          <w:rFonts w:ascii="Garamond" w:hAnsi="Garamond"/>
        </w:rPr>
        <w:t>, Torino, Giappichelli, 2018, p. 169, rileva come la disciplina di legge mostri «</w:t>
      </w:r>
      <w:r w:rsidRPr="00D936E9">
        <w:rPr>
          <w:rFonts w:ascii="Garamond" w:hAnsi="Garamond"/>
          <w:i/>
          <w:iCs/>
        </w:rPr>
        <w:t>tutta la sua adesione all’attuale fisionomia del lavoro</w:t>
      </w:r>
      <w:r w:rsidRPr="00D936E9">
        <w:rPr>
          <w:rFonts w:ascii="Garamond" w:hAnsi="Garamond"/>
        </w:rPr>
        <w:t>».</w:t>
      </w:r>
    </w:p>
  </w:footnote>
  <w:footnote w:id="46">
    <w:p w14:paraId="21C286F0" w14:textId="70BA6BF4" w:rsidR="003769A2" w:rsidRPr="00D936E9" w:rsidRDefault="003769A2" w:rsidP="00DF5CCF">
      <w:pPr>
        <w:pStyle w:val="Testonotaapidipagina"/>
        <w:jc w:val="both"/>
        <w:rPr>
          <w:rFonts w:ascii="Garamond" w:hAnsi="Garamond"/>
        </w:rPr>
      </w:pPr>
      <w:r w:rsidRPr="00D936E9">
        <w:rPr>
          <w:rStyle w:val="Rimandonotaapidipagina"/>
          <w:rFonts w:ascii="Garamond" w:hAnsi="Garamond"/>
        </w:rPr>
        <w:footnoteRef/>
      </w:r>
      <w:r w:rsidRPr="00D936E9">
        <w:rPr>
          <w:rFonts w:ascii="Garamond" w:hAnsi="Garamond"/>
        </w:rPr>
        <w:t xml:space="preserve"> È sempre il legislatore che insiste affinché il lavoro agile sia definito «</w:t>
      </w:r>
      <w:r w:rsidRPr="00D936E9">
        <w:rPr>
          <w:rFonts w:ascii="Garamond" w:hAnsi="Garamond"/>
          <w:i/>
          <w:iCs/>
        </w:rPr>
        <w:t>mediante accordo tra le part</w:t>
      </w:r>
      <w:r w:rsidRPr="00D936E9">
        <w:rPr>
          <w:rFonts w:ascii="Garamond" w:hAnsi="Garamond"/>
        </w:rPr>
        <w:t>i» (art. 18, co</w:t>
      </w:r>
      <w:r w:rsidR="00971486" w:rsidRPr="00D936E9">
        <w:rPr>
          <w:rFonts w:ascii="Garamond" w:hAnsi="Garamond"/>
        </w:rPr>
        <w:t>.</w:t>
      </w:r>
      <w:r w:rsidRPr="00D936E9">
        <w:rPr>
          <w:rFonts w:ascii="Garamond" w:hAnsi="Garamond"/>
        </w:rPr>
        <w:t xml:space="preserve"> 1, l. </w:t>
      </w:r>
      <w:r w:rsidR="00971486" w:rsidRPr="00D936E9">
        <w:rPr>
          <w:rFonts w:ascii="Garamond" w:hAnsi="Garamond"/>
        </w:rPr>
        <w:t xml:space="preserve">22 MAGGIO 2017, </w:t>
      </w:r>
      <w:r w:rsidRPr="00D936E9">
        <w:rPr>
          <w:rFonts w:ascii="Garamond" w:hAnsi="Garamond"/>
        </w:rPr>
        <w:t>n. 81)</w:t>
      </w:r>
      <w:r w:rsidR="00971486" w:rsidRPr="00D936E9">
        <w:rPr>
          <w:rFonts w:ascii="Garamond" w:hAnsi="Garamond"/>
        </w:rPr>
        <w:t>.</w:t>
      </w:r>
    </w:p>
  </w:footnote>
  <w:footnote w:id="47">
    <w:p w14:paraId="3EBF5BD0" w14:textId="3574F035" w:rsidR="003769A2" w:rsidRPr="00D936E9" w:rsidRDefault="003769A2" w:rsidP="00DF5CCF">
      <w:pPr>
        <w:pStyle w:val="Testonotaapidipagina"/>
        <w:spacing w:line="240" w:lineRule="atLeast"/>
        <w:jc w:val="both"/>
        <w:rPr>
          <w:rFonts w:ascii="Garamond" w:hAnsi="Garamond"/>
        </w:rPr>
      </w:pPr>
      <w:r w:rsidRPr="00D936E9">
        <w:rPr>
          <w:rStyle w:val="Rimandonotaapidipagina"/>
          <w:rFonts w:ascii="Garamond" w:hAnsi="Garamond"/>
        </w:rPr>
        <w:footnoteRef/>
      </w:r>
      <w:r w:rsidRPr="00D936E9">
        <w:rPr>
          <w:rFonts w:ascii="Garamond" w:hAnsi="Garamond"/>
        </w:rPr>
        <w:t xml:space="preserve"> A. </w:t>
      </w:r>
      <w:r w:rsidR="00971486" w:rsidRPr="00D936E9">
        <w:rPr>
          <w:rFonts w:ascii="Garamond" w:hAnsi="Garamond"/>
        </w:rPr>
        <w:t>BOSCATI</w:t>
      </w:r>
      <w:r w:rsidRPr="00D936E9">
        <w:rPr>
          <w:rFonts w:ascii="Garamond" w:hAnsi="Garamond"/>
        </w:rPr>
        <w:t xml:space="preserve">, </w:t>
      </w:r>
      <w:r w:rsidRPr="00D936E9">
        <w:rPr>
          <w:rFonts w:ascii="Garamond" w:hAnsi="Garamond"/>
          <w:i/>
          <w:iCs/>
        </w:rPr>
        <w:t>L’inquadramento giuridico del lavoro da remoto tra potere direttivo e autonomia della prestazione</w:t>
      </w:r>
      <w:r w:rsidRPr="00D936E9">
        <w:rPr>
          <w:rFonts w:ascii="Garamond" w:hAnsi="Garamond"/>
        </w:rPr>
        <w:t xml:space="preserve">, in </w:t>
      </w:r>
      <w:r w:rsidRPr="00D936E9">
        <w:rPr>
          <w:rFonts w:ascii="Garamond" w:hAnsi="Garamond"/>
          <w:i/>
          <w:iCs/>
        </w:rPr>
        <w:t>Il lavoro da remoto. Per una riforma dello smart working oltre l'emergenza</w:t>
      </w:r>
      <w:r w:rsidRPr="00D936E9">
        <w:rPr>
          <w:rFonts w:ascii="Garamond" w:hAnsi="Garamond"/>
        </w:rPr>
        <w:t xml:space="preserve">, a cura di M. </w:t>
      </w:r>
      <w:r w:rsidR="00971486" w:rsidRPr="00D936E9">
        <w:rPr>
          <w:rFonts w:ascii="Garamond" w:hAnsi="Garamond"/>
        </w:rPr>
        <w:t>MARTONE</w:t>
      </w:r>
      <w:r w:rsidRPr="00D936E9">
        <w:rPr>
          <w:rFonts w:ascii="Garamond" w:hAnsi="Garamond"/>
        </w:rPr>
        <w:t xml:space="preserve">, </w:t>
      </w:r>
      <w:r w:rsidR="00971486" w:rsidRPr="00D936E9">
        <w:rPr>
          <w:rFonts w:ascii="Garamond" w:hAnsi="Garamond"/>
        </w:rPr>
        <w:t>PIACENZA</w:t>
      </w:r>
      <w:r w:rsidRPr="00D936E9">
        <w:rPr>
          <w:rFonts w:ascii="Garamond" w:hAnsi="Garamond"/>
        </w:rPr>
        <w:t>, La Tribuna, 2020, p. 61</w:t>
      </w:r>
      <w:r w:rsidR="00971486" w:rsidRPr="00D936E9">
        <w:rPr>
          <w:rFonts w:ascii="Garamond" w:hAnsi="Garamond"/>
        </w:rPr>
        <w:t xml:space="preserve">, che individua nella normativa </w:t>
      </w:r>
      <w:r w:rsidRPr="00D936E9">
        <w:rPr>
          <w:rFonts w:ascii="Garamond" w:hAnsi="Garamond"/>
        </w:rPr>
        <w:t xml:space="preserve">un patto </w:t>
      </w:r>
      <w:r w:rsidR="00971486" w:rsidRPr="00D936E9">
        <w:rPr>
          <w:rFonts w:ascii="Garamond" w:hAnsi="Garamond"/>
        </w:rPr>
        <w:t>«</w:t>
      </w:r>
      <w:r w:rsidRPr="00D936E9">
        <w:rPr>
          <w:rFonts w:ascii="Garamond" w:hAnsi="Garamond"/>
          <w:i/>
          <w:iCs/>
        </w:rPr>
        <w:t>caratterizzato non più dallo scambio fra presenza e retribuzione, ma fra autonomia, responsabilità e risultato della prestazione, con rilievo (o, meglio, non solo) del rendimento del risultato</w:t>
      </w:r>
      <w:r w:rsidR="00971486" w:rsidRPr="00D936E9">
        <w:rPr>
          <w:rFonts w:ascii="Garamond" w:hAnsi="Garamond"/>
        </w:rPr>
        <w:t>»</w:t>
      </w:r>
      <w:r w:rsidRPr="00D936E9">
        <w:rPr>
          <w:rFonts w:ascii="Garamond" w:hAnsi="Garamond"/>
        </w:rPr>
        <w:t>.</w:t>
      </w:r>
    </w:p>
  </w:footnote>
  <w:footnote w:id="48">
    <w:p w14:paraId="27518E7B" w14:textId="77777777" w:rsidR="0017322B" w:rsidRPr="00D936E9" w:rsidRDefault="0017322B" w:rsidP="00DF5CCF">
      <w:pPr>
        <w:pStyle w:val="Testonotaapidipagina"/>
        <w:spacing w:line="240" w:lineRule="atLeast"/>
        <w:jc w:val="both"/>
        <w:rPr>
          <w:rFonts w:ascii="Garamond" w:hAnsi="Garamond"/>
        </w:rPr>
      </w:pPr>
      <w:r w:rsidRPr="00D936E9">
        <w:rPr>
          <w:rStyle w:val="Rimandonotaapidipagina"/>
          <w:rFonts w:ascii="Garamond" w:hAnsi="Garamond"/>
        </w:rPr>
        <w:footnoteRef/>
      </w:r>
      <w:r w:rsidRPr="00D936E9">
        <w:rPr>
          <w:rFonts w:ascii="Garamond" w:hAnsi="Garamond"/>
        </w:rPr>
        <w:t xml:space="preserve"> M. FAIOLI, Welfare</w:t>
      </w:r>
      <w:r w:rsidRPr="00D936E9">
        <w:rPr>
          <w:rFonts w:ascii="Garamond" w:hAnsi="Garamond"/>
          <w:i/>
          <w:iCs/>
        </w:rPr>
        <w:t xml:space="preserve"> aziendale post-pandemico. Indagine sulle clausole contrattuali che regolano la conciliazione vita-lavoro</w:t>
      </w:r>
      <w:r w:rsidRPr="00D936E9">
        <w:rPr>
          <w:rFonts w:ascii="Garamond" w:hAnsi="Garamond"/>
        </w:rPr>
        <w:t xml:space="preserve">, in </w:t>
      </w:r>
      <w:r w:rsidRPr="00D936E9">
        <w:rPr>
          <w:rFonts w:ascii="Garamond" w:hAnsi="Garamond"/>
          <w:i/>
          <w:iCs/>
        </w:rPr>
        <w:t>Rivista Giuridica del Lavoro e della Previdenza Sociale</w:t>
      </w:r>
      <w:r w:rsidRPr="00D936E9">
        <w:rPr>
          <w:rFonts w:ascii="Garamond" w:hAnsi="Garamond"/>
        </w:rPr>
        <w:t>, 2022, 4, p. 612 e ss.</w:t>
      </w:r>
    </w:p>
  </w:footnote>
  <w:footnote w:id="49">
    <w:p w14:paraId="3D8192B7" w14:textId="78291603" w:rsidR="00D06905" w:rsidRPr="00D936E9" w:rsidRDefault="00D06905" w:rsidP="00DF5CCF">
      <w:pPr>
        <w:pStyle w:val="Testonotaapidipagina"/>
        <w:jc w:val="both"/>
        <w:rPr>
          <w:rFonts w:ascii="Garamond" w:hAnsi="Garamond"/>
          <w:i/>
          <w:iCs/>
        </w:rPr>
      </w:pPr>
      <w:r w:rsidRPr="00D936E9">
        <w:rPr>
          <w:rStyle w:val="Rimandonotaapidipagina"/>
          <w:rFonts w:ascii="Garamond" w:hAnsi="Garamond"/>
        </w:rPr>
        <w:footnoteRef/>
      </w:r>
      <w:r w:rsidRPr="00D936E9">
        <w:rPr>
          <w:rFonts w:ascii="Garamond" w:hAnsi="Garamond"/>
        </w:rPr>
        <w:t xml:space="preserve"> Si v. il CCAL Liquigas S.p.A. del 30 giugno 2022, e il mio contributo sul tema, </w:t>
      </w:r>
      <w:r w:rsidRPr="00D936E9">
        <w:rPr>
          <w:rFonts w:ascii="Garamond" w:hAnsi="Garamond"/>
          <w:i/>
          <w:iCs/>
        </w:rPr>
        <w:t>Premialità e istituti paritetici aziendali: la recente contrattazione collettiva in Liquigas S.p.A.</w:t>
      </w:r>
      <w:r w:rsidRPr="00D936E9">
        <w:rPr>
          <w:rFonts w:ascii="Garamond" w:hAnsi="Garamond"/>
        </w:rPr>
        <w:t xml:space="preserve">, in </w:t>
      </w:r>
      <w:r w:rsidRPr="00D936E9">
        <w:rPr>
          <w:rFonts w:ascii="Garamond" w:hAnsi="Garamond"/>
          <w:i/>
          <w:iCs/>
        </w:rPr>
        <w:t>Federalismi.it</w:t>
      </w:r>
      <w:r w:rsidRPr="00D936E9">
        <w:rPr>
          <w:rFonts w:ascii="Garamond" w:hAnsi="Garamond"/>
        </w:rPr>
        <w:t>, 2022.</w:t>
      </w:r>
    </w:p>
  </w:footnote>
  <w:footnote w:id="50">
    <w:p w14:paraId="4E31FDFF" w14:textId="6214A3AE" w:rsidR="003769A2" w:rsidRPr="00D936E9" w:rsidRDefault="003769A2" w:rsidP="00DF5CCF">
      <w:pPr>
        <w:pStyle w:val="Testonotaapidipagina"/>
        <w:spacing w:line="240" w:lineRule="atLeast"/>
        <w:jc w:val="both"/>
        <w:rPr>
          <w:rFonts w:ascii="Garamond" w:hAnsi="Garamond"/>
        </w:rPr>
      </w:pPr>
      <w:r w:rsidRPr="00D936E9">
        <w:rPr>
          <w:rStyle w:val="Rimandonotaapidipagina"/>
          <w:rFonts w:ascii="Garamond" w:hAnsi="Garamond"/>
        </w:rPr>
        <w:footnoteRef/>
      </w:r>
      <w:r w:rsidRPr="00D936E9">
        <w:rPr>
          <w:rFonts w:ascii="Garamond" w:hAnsi="Garamond"/>
        </w:rPr>
        <w:t xml:space="preserve"> </w:t>
      </w:r>
      <w:bookmarkStart w:id="4" w:name="_Hlk116666317"/>
      <w:r w:rsidRPr="00D936E9">
        <w:rPr>
          <w:rFonts w:ascii="Garamond" w:hAnsi="Garamond"/>
        </w:rPr>
        <w:t xml:space="preserve">M. </w:t>
      </w:r>
      <w:r w:rsidR="00971486" w:rsidRPr="00D936E9">
        <w:rPr>
          <w:rFonts w:ascii="Garamond" w:hAnsi="Garamond"/>
        </w:rPr>
        <w:t>DEL CONTE</w:t>
      </w:r>
      <w:r w:rsidRPr="00D936E9">
        <w:rPr>
          <w:rFonts w:ascii="Garamond" w:hAnsi="Garamond"/>
        </w:rPr>
        <w:t xml:space="preserve">, </w:t>
      </w:r>
      <w:r w:rsidRPr="00D936E9">
        <w:rPr>
          <w:rFonts w:ascii="Garamond" w:hAnsi="Garamond"/>
          <w:i/>
          <w:iCs/>
        </w:rPr>
        <w:t>Problemi e prospettive del lavoro agile tra remotizzazione forzata e trasformazione organizzativa</w:t>
      </w:r>
      <w:r w:rsidRPr="00D936E9">
        <w:rPr>
          <w:rFonts w:ascii="Garamond" w:hAnsi="Garamond"/>
        </w:rPr>
        <w:t xml:space="preserve">, in </w:t>
      </w:r>
      <w:r w:rsidRPr="00D936E9">
        <w:rPr>
          <w:rFonts w:ascii="Garamond" w:hAnsi="Garamond"/>
          <w:i/>
          <w:iCs/>
        </w:rPr>
        <w:t>Argomenti di Diritto del lavoro</w:t>
      </w:r>
      <w:r w:rsidRPr="00D936E9">
        <w:rPr>
          <w:rFonts w:ascii="Garamond" w:hAnsi="Garamond"/>
        </w:rPr>
        <w:t xml:space="preserve">, 2021, III, p. 560; A. </w:t>
      </w:r>
      <w:r w:rsidR="00971486" w:rsidRPr="00D936E9">
        <w:rPr>
          <w:rFonts w:ascii="Garamond" w:hAnsi="Garamond"/>
        </w:rPr>
        <w:t>BOSCATI</w:t>
      </w:r>
      <w:r w:rsidRPr="00D936E9">
        <w:rPr>
          <w:rFonts w:ascii="Garamond" w:hAnsi="Garamond"/>
        </w:rPr>
        <w:t xml:space="preserve">, </w:t>
      </w:r>
      <w:r w:rsidRPr="00D936E9">
        <w:rPr>
          <w:rFonts w:ascii="Garamond" w:hAnsi="Garamond"/>
          <w:i/>
          <w:iCs/>
        </w:rPr>
        <w:t>L’inquadramento giuridico del lavoro da remoto tra potere direttivo e autonomia della prestazione</w:t>
      </w:r>
      <w:r w:rsidRPr="00D936E9">
        <w:rPr>
          <w:rFonts w:ascii="Garamond" w:hAnsi="Garamond"/>
        </w:rPr>
        <w:t>, cit., p. 61</w:t>
      </w:r>
      <w:bookmarkEnd w:id="4"/>
      <w:r w:rsidRPr="00D936E9">
        <w:rPr>
          <w:rFonts w:ascii="Garamond" w:hAnsi="Garamond"/>
        </w:rPr>
        <w:t>.</w:t>
      </w:r>
    </w:p>
    <w:bookmarkStart w:id="5" w:name="_Hlk116666242"/>
    <w:bookmarkStart w:id="6" w:name="_Hlk116817959"/>
    <w:bookmarkEnd w:id="5"/>
    <w:bookmarkEnd w:id="6"/>
  </w:footnote>
  <w:footnote w:id="51">
    <w:p w14:paraId="6EEA0BC1" w14:textId="38AF20E9" w:rsidR="003769A2" w:rsidRPr="00D936E9" w:rsidRDefault="003769A2" w:rsidP="00DF5CCF">
      <w:pPr>
        <w:pStyle w:val="Testonotaapidipagina"/>
        <w:jc w:val="both"/>
        <w:rPr>
          <w:rFonts w:ascii="Garamond" w:hAnsi="Garamond"/>
        </w:rPr>
      </w:pPr>
      <w:bookmarkStart w:id="7" w:name="_Hlk116666242"/>
      <w:bookmarkStart w:id="8" w:name="_Hlk116817959"/>
      <w:bookmarkEnd w:id="7"/>
      <w:bookmarkEnd w:id="8"/>
      <w:r w:rsidRPr="00D936E9">
        <w:rPr>
          <w:rStyle w:val="Rimandonotaapidipagina"/>
          <w:rFonts w:ascii="Garamond" w:hAnsi="Garamond"/>
        </w:rPr>
        <w:footnoteRef/>
      </w:r>
      <w:r w:rsidRPr="00D936E9">
        <w:rPr>
          <w:rFonts w:ascii="Garamond" w:hAnsi="Garamond"/>
        </w:rPr>
        <w:t xml:space="preserve"> </w:t>
      </w:r>
      <w:r w:rsidR="00971486" w:rsidRPr="00D936E9">
        <w:rPr>
          <w:rFonts w:ascii="Garamond" w:hAnsi="Garamond"/>
        </w:rPr>
        <w:t xml:space="preserve">G. </w:t>
      </w:r>
      <w:r w:rsidRPr="00D936E9">
        <w:rPr>
          <w:rFonts w:ascii="Garamond" w:hAnsi="Garamond"/>
        </w:rPr>
        <w:t xml:space="preserve">GIUGNI, </w:t>
      </w:r>
      <w:r w:rsidRPr="00D936E9">
        <w:rPr>
          <w:rFonts w:ascii="Garamond" w:hAnsi="Garamond"/>
          <w:i/>
          <w:iCs/>
        </w:rPr>
        <w:t>Il processo tecnologico e la contrattazione collettiva</w:t>
      </w:r>
      <w:r w:rsidRPr="00D936E9">
        <w:rPr>
          <w:rFonts w:ascii="Garamond" w:hAnsi="Garamond"/>
        </w:rPr>
        <w:t xml:space="preserve">, in F. MOMIGLIANO (a cura di), </w:t>
      </w:r>
      <w:r w:rsidRPr="00D936E9">
        <w:rPr>
          <w:rFonts w:ascii="Garamond" w:hAnsi="Garamond"/>
          <w:i/>
          <w:iCs/>
        </w:rPr>
        <w:t>Lavoratori e sindacati di fronte alle trasformazioni del processo produttivo</w:t>
      </w:r>
      <w:r w:rsidRPr="00D936E9">
        <w:rPr>
          <w:rFonts w:ascii="Garamond" w:hAnsi="Garamond"/>
        </w:rPr>
        <w:t xml:space="preserve">, Feltrinelli, Milano, 1962, pp. 293 ss. e G. VARDARO, </w:t>
      </w:r>
      <w:r w:rsidRPr="00D936E9">
        <w:rPr>
          <w:rFonts w:ascii="Garamond" w:hAnsi="Garamond"/>
          <w:i/>
          <w:iCs/>
        </w:rPr>
        <w:t>Tecnica, tecnologia</w:t>
      </w:r>
      <w:r w:rsidR="00971486" w:rsidRPr="00D936E9">
        <w:rPr>
          <w:rFonts w:ascii="Garamond" w:hAnsi="Garamond"/>
        </w:rPr>
        <w:t>…</w:t>
      </w:r>
      <w:r w:rsidRPr="00D936E9">
        <w:rPr>
          <w:rFonts w:ascii="Garamond" w:hAnsi="Garamond"/>
        </w:rPr>
        <w:t>, cit.</w:t>
      </w:r>
    </w:p>
  </w:footnote>
  <w:footnote w:id="52">
    <w:p w14:paraId="3EE9D499" w14:textId="5BEC57EA" w:rsidR="00D06905" w:rsidRPr="00D936E9" w:rsidRDefault="00D06905" w:rsidP="00DF5CCF">
      <w:pPr>
        <w:pStyle w:val="Testonotaapidipagina"/>
        <w:jc w:val="both"/>
        <w:rPr>
          <w:rFonts w:ascii="Garamond" w:hAnsi="Garamond"/>
        </w:rPr>
      </w:pPr>
      <w:r w:rsidRPr="00D936E9">
        <w:rPr>
          <w:rStyle w:val="Rimandonotaapidipagina"/>
          <w:rFonts w:ascii="Garamond" w:hAnsi="Garamond"/>
        </w:rPr>
        <w:footnoteRef/>
      </w:r>
      <w:r w:rsidRPr="00D936E9">
        <w:rPr>
          <w:rFonts w:ascii="Garamond" w:hAnsi="Garamond"/>
        </w:rPr>
        <w:t xml:space="preserve"> M. FAIOLI, </w:t>
      </w:r>
      <w:r w:rsidRPr="00D936E9">
        <w:rPr>
          <w:rFonts w:ascii="Garamond" w:hAnsi="Garamond"/>
          <w:i/>
          <w:iCs/>
        </w:rPr>
        <w:t>Mansioni e …</w:t>
      </w:r>
      <w:r w:rsidRPr="00D936E9">
        <w:rPr>
          <w:rFonts w:ascii="Garamond" w:hAnsi="Garamond"/>
        </w:rPr>
        <w:t xml:space="preserve">, </w:t>
      </w:r>
      <w:r w:rsidR="00BC178D" w:rsidRPr="00D936E9">
        <w:rPr>
          <w:rFonts w:ascii="Garamond" w:hAnsi="Garamond"/>
        </w:rPr>
        <w:t xml:space="preserve">cit. </w:t>
      </w:r>
      <w:r w:rsidRPr="00D936E9">
        <w:rPr>
          <w:rFonts w:ascii="Garamond" w:hAnsi="Garamond"/>
        </w:rPr>
        <w:t>p. 106</w:t>
      </w:r>
      <w:r w:rsidR="00BC178D" w:rsidRPr="00D936E9">
        <w:rPr>
          <w:rFonts w:ascii="Garamond" w:hAnsi="Garamond"/>
        </w:rPr>
        <w:t>.</w:t>
      </w:r>
    </w:p>
  </w:footnote>
  <w:footnote w:id="53">
    <w:p w14:paraId="23D1EF70" w14:textId="6B7909A3" w:rsidR="003769A2" w:rsidRPr="00D936E9" w:rsidRDefault="003769A2" w:rsidP="00DF5CCF">
      <w:pPr>
        <w:pStyle w:val="Pidipagina"/>
        <w:jc w:val="both"/>
        <w:rPr>
          <w:rFonts w:ascii="Garamond" w:hAnsi="Garamond"/>
          <w:sz w:val="20"/>
          <w:szCs w:val="20"/>
        </w:rPr>
      </w:pPr>
      <w:r w:rsidRPr="00D936E9">
        <w:rPr>
          <w:rStyle w:val="Rimandonotaapidipagina"/>
          <w:rFonts w:ascii="Garamond" w:hAnsi="Garamond"/>
          <w:sz w:val="20"/>
          <w:szCs w:val="20"/>
        </w:rPr>
        <w:footnoteRef/>
      </w:r>
      <w:r w:rsidRPr="00D936E9">
        <w:rPr>
          <w:rFonts w:ascii="Garamond" w:hAnsi="Garamond"/>
          <w:sz w:val="20"/>
          <w:szCs w:val="20"/>
        </w:rPr>
        <w:t xml:space="preserve"> Sul punto, M. FAIOLI, </w:t>
      </w:r>
      <w:r w:rsidRPr="00D936E9">
        <w:rPr>
          <w:rFonts w:ascii="Garamond" w:hAnsi="Garamond"/>
          <w:i/>
          <w:iCs/>
          <w:sz w:val="20"/>
          <w:szCs w:val="20"/>
        </w:rPr>
        <w:t xml:space="preserve">Situazione italiana delle tutele del lavoro nella </w:t>
      </w:r>
      <w:proofErr w:type="spellStart"/>
      <w:r w:rsidRPr="00D936E9">
        <w:rPr>
          <w:rFonts w:ascii="Garamond" w:hAnsi="Garamond"/>
          <w:i/>
          <w:iCs/>
          <w:sz w:val="20"/>
          <w:szCs w:val="20"/>
        </w:rPr>
        <w:t>gig</w:t>
      </w:r>
      <w:proofErr w:type="spellEnd"/>
      <w:r w:rsidRPr="00D936E9">
        <w:rPr>
          <w:rFonts w:ascii="Garamond" w:hAnsi="Garamond"/>
          <w:i/>
          <w:iCs/>
          <w:sz w:val="20"/>
          <w:szCs w:val="20"/>
        </w:rPr>
        <w:t>-economy. I ciclo-fattorini (riders) tra giurisprudenza del 2020 e legge del 2019</w:t>
      </w:r>
      <w:r w:rsidRPr="00D936E9">
        <w:rPr>
          <w:rFonts w:ascii="Garamond" w:hAnsi="Garamond"/>
          <w:sz w:val="20"/>
          <w:szCs w:val="20"/>
        </w:rPr>
        <w:t xml:space="preserve">, in </w:t>
      </w:r>
      <w:r w:rsidR="0037484E" w:rsidRPr="00D936E9">
        <w:rPr>
          <w:rFonts w:ascii="Garamond" w:hAnsi="Garamond"/>
          <w:i/>
          <w:iCs/>
          <w:sz w:val="20"/>
          <w:szCs w:val="20"/>
        </w:rPr>
        <w:t>Rivista Giuridica del Lavoro e della Previdenza Sociale</w:t>
      </w:r>
      <w:r w:rsidRPr="00D936E9">
        <w:rPr>
          <w:rFonts w:ascii="Garamond" w:hAnsi="Garamond"/>
          <w:sz w:val="20"/>
          <w:szCs w:val="20"/>
        </w:rPr>
        <w:t>, 2, 2020, a commento della sentenza della Cassazione, 24 gennaio 2020, n. 1663.</w:t>
      </w:r>
    </w:p>
  </w:footnote>
  <w:footnote w:id="54">
    <w:p w14:paraId="47DB6D22" w14:textId="77777777" w:rsidR="003769A2" w:rsidRPr="00D936E9" w:rsidRDefault="003769A2" w:rsidP="00DF5CCF">
      <w:pPr>
        <w:pStyle w:val="Pidipagina"/>
        <w:jc w:val="both"/>
        <w:rPr>
          <w:rFonts w:ascii="Garamond" w:hAnsi="Garamond"/>
          <w:sz w:val="20"/>
          <w:szCs w:val="20"/>
        </w:rPr>
      </w:pPr>
      <w:r w:rsidRPr="00D936E9">
        <w:rPr>
          <w:rStyle w:val="Rimandonotaapidipagina"/>
          <w:rFonts w:ascii="Garamond" w:hAnsi="Garamond"/>
          <w:sz w:val="20"/>
          <w:szCs w:val="20"/>
        </w:rPr>
        <w:footnoteRef/>
      </w:r>
      <w:r w:rsidRPr="00D936E9">
        <w:rPr>
          <w:rFonts w:ascii="Garamond" w:hAnsi="Garamond"/>
          <w:sz w:val="20"/>
          <w:szCs w:val="20"/>
        </w:rPr>
        <w:t xml:space="preserve"> Uno di questi è il criterio della doppia alienità (all’alienità del risultato, rispetto al quale la prestazione di lavoro viene utilizzata, si abbina l’alienità dell’organizzazione, nella quale quella prestazione si inserisce). V. C. cost. 12 febbraio 1996, n. 30, e sul punto L. MENGONI, </w:t>
      </w:r>
      <w:r w:rsidRPr="00D936E9">
        <w:rPr>
          <w:rFonts w:ascii="Garamond" w:hAnsi="Garamond"/>
          <w:i/>
          <w:iCs/>
          <w:sz w:val="20"/>
          <w:szCs w:val="20"/>
        </w:rPr>
        <w:t>Lezioni sul contratto di lavoro</w:t>
      </w:r>
      <w:r w:rsidRPr="00D936E9">
        <w:rPr>
          <w:rFonts w:ascii="Garamond" w:hAnsi="Garamond"/>
          <w:sz w:val="20"/>
          <w:szCs w:val="20"/>
        </w:rPr>
        <w:t xml:space="preserve">, </w:t>
      </w:r>
      <w:proofErr w:type="spellStart"/>
      <w:r w:rsidRPr="00D936E9">
        <w:rPr>
          <w:rFonts w:ascii="Garamond" w:hAnsi="Garamond"/>
          <w:i/>
          <w:iCs/>
          <w:sz w:val="20"/>
          <w:szCs w:val="20"/>
        </w:rPr>
        <w:t>Celuc</w:t>
      </w:r>
      <w:proofErr w:type="spellEnd"/>
      <w:r w:rsidRPr="00D936E9">
        <w:rPr>
          <w:rFonts w:ascii="Garamond" w:hAnsi="Garamond"/>
          <w:sz w:val="20"/>
          <w:szCs w:val="20"/>
        </w:rPr>
        <w:t>, Milano, 1971.</w:t>
      </w:r>
    </w:p>
  </w:footnote>
  <w:footnote w:id="55">
    <w:p w14:paraId="5AD32B1D" w14:textId="77777777" w:rsidR="003769A2" w:rsidRPr="00D936E9" w:rsidRDefault="003769A2" w:rsidP="00DF5CCF">
      <w:pPr>
        <w:pStyle w:val="Pidipagina"/>
        <w:jc w:val="both"/>
        <w:rPr>
          <w:rFonts w:ascii="Garamond" w:hAnsi="Garamond"/>
          <w:sz w:val="20"/>
          <w:szCs w:val="20"/>
        </w:rPr>
      </w:pPr>
      <w:r w:rsidRPr="00D936E9">
        <w:rPr>
          <w:rStyle w:val="Rimandonotaapidipagina"/>
          <w:rFonts w:ascii="Garamond" w:hAnsi="Garamond"/>
          <w:sz w:val="20"/>
          <w:szCs w:val="20"/>
        </w:rPr>
        <w:footnoteRef/>
      </w:r>
      <w:r w:rsidRPr="00D936E9">
        <w:rPr>
          <w:rFonts w:ascii="Garamond" w:hAnsi="Garamond"/>
          <w:sz w:val="20"/>
          <w:szCs w:val="20"/>
        </w:rPr>
        <w:t xml:space="preserve"> V. FERRANTE, </w:t>
      </w:r>
      <w:r w:rsidRPr="00D936E9">
        <w:rPr>
          <w:rFonts w:ascii="Garamond" w:hAnsi="Garamond"/>
          <w:i/>
          <w:iCs/>
          <w:sz w:val="20"/>
          <w:szCs w:val="20"/>
        </w:rPr>
        <w:t>La nozione di lavoro subordinato nella dir. 2019/1152 e nella proposta di direttiva europea rivolta a tutelare i lavoratori “delle piattaforme”</w:t>
      </w:r>
      <w:r w:rsidRPr="00D936E9">
        <w:rPr>
          <w:rFonts w:ascii="Garamond" w:hAnsi="Garamond"/>
          <w:sz w:val="20"/>
          <w:szCs w:val="20"/>
        </w:rPr>
        <w:t xml:space="preserve">, in </w:t>
      </w:r>
      <w:r w:rsidRPr="00D936E9">
        <w:rPr>
          <w:rFonts w:ascii="Garamond" w:hAnsi="Garamond"/>
          <w:i/>
          <w:iCs/>
          <w:sz w:val="20"/>
          <w:szCs w:val="20"/>
        </w:rPr>
        <w:t>WP CSDLE “Massimo D’</w:t>
      </w:r>
      <w:proofErr w:type="spellStart"/>
      <w:r w:rsidRPr="00D936E9">
        <w:rPr>
          <w:rFonts w:ascii="Garamond" w:hAnsi="Garamond"/>
          <w:i/>
          <w:iCs/>
          <w:sz w:val="20"/>
          <w:szCs w:val="20"/>
        </w:rPr>
        <w:t>Antona”.INT</w:t>
      </w:r>
      <w:proofErr w:type="spellEnd"/>
      <w:r w:rsidRPr="00D936E9">
        <w:rPr>
          <w:rFonts w:ascii="Garamond" w:hAnsi="Garamond"/>
          <w:sz w:val="20"/>
          <w:szCs w:val="20"/>
        </w:rPr>
        <w:t>, 158, 2022, pag. 19.</w:t>
      </w:r>
    </w:p>
  </w:footnote>
  <w:footnote w:id="56">
    <w:p w14:paraId="7229E886" w14:textId="77777777" w:rsidR="003769A2" w:rsidRPr="00D936E9" w:rsidRDefault="003769A2" w:rsidP="00DF5CCF">
      <w:pPr>
        <w:pStyle w:val="Pidipagina"/>
        <w:jc w:val="both"/>
        <w:rPr>
          <w:rFonts w:ascii="Garamond" w:hAnsi="Garamond"/>
          <w:i/>
          <w:iCs/>
          <w:sz w:val="20"/>
          <w:szCs w:val="20"/>
        </w:rPr>
      </w:pPr>
      <w:r w:rsidRPr="00D936E9">
        <w:rPr>
          <w:rStyle w:val="Rimandonotaapidipagina"/>
          <w:rFonts w:ascii="Garamond" w:hAnsi="Garamond"/>
          <w:sz w:val="20"/>
          <w:szCs w:val="20"/>
        </w:rPr>
        <w:footnoteRef/>
      </w:r>
      <w:r w:rsidRPr="00D936E9">
        <w:rPr>
          <w:rFonts w:ascii="Garamond" w:hAnsi="Garamond"/>
          <w:sz w:val="20"/>
          <w:szCs w:val="20"/>
        </w:rPr>
        <w:t xml:space="preserve"> Per un maggiore chiarimento, si v. l’intervento di V. FERRANTE nell’ambito del </w:t>
      </w:r>
      <w:proofErr w:type="spellStart"/>
      <w:r w:rsidRPr="00D936E9">
        <w:rPr>
          <w:rFonts w:ascii="Garamond" w:hAnsi="Garamond"/>
          <w:sz w:val="20"/>
          <w:szCs w:val="20"/>
        </w:rPr>
        <w:t>Labchain</w:t>
      </w:r>
      <w:proofErr w:type="spellEnd"/>
      <w:r w:rsidRPr="00D936E9">
        <w:rPr>
          <w:rFonts w:ascii="Garamond" w:hAnsi="Garamond"/>
          <w:sz w:val="20"/>
          <w:szCs w:val="20"/>
        </w:rPr>
        <w:t xml:space="preserve"> Workshop, </w:t>
      </w:r>
      <w:r w:rsidRPr="00D936E9">
        <w:rPr>
          <w:rFonts w:ascii="Garamond" w:hAnsi="Garamond"/>
          <w:i/>
          <w:iCs/>
          <w:sz w:val="20"/>
          <w:szCs w:val="20"/>
        </w:rPr>
        <w:t>Regolazione del lavoro e proposta di direttiva sul lavoro mediante piattaforme</w:t>
      </w:r>
      <w:r w:rsidRPr="00D936E9">
        <w:rPr>
          <w:rFonts w:ascii="Garamond" w:hAnsi="Garamond"/>
          <w:sz w:val="20"/>
          <w:szCs w:val="20"/>
        </w:rPr>
        <w:t>, 21 novembre 2022, che ha approfondito l’ambito di applicazione della proposta di direttiva europea, che non è limitata al solo lavoro subordinato, ma anche a quei rapporti che si pongono al confine col lavoro autonomo.</w:t>
      </w:r>
    </w:p>
  </w:footnote>
  <w:footnote w:id="57">
    <w:p w14:paraId="4CCA5996" w14:textId="77777777" w:rsidR="003769A2" w:rsidRPr="00D936E9" w:rsidRDefault="003769A2" w:rsidP="00DF5CCF">
      <w:pPr>
        <w:pStyle w:val="Pidipagina"/>
        <w:jc w:val="both"/>
        <w:rPr>
          <w:rFonts w:ascii="Garamond" w:hAnsi="Garamond"/>
          <w:sz w:val="20"/>
          <w:szCs w:val="20"/>
          <w:lang w:val="en-US"/>
        </w:rPr>
      </w:pPr>
      <w:r w:rsidRPr="00D936E9">
        <w:rPr>
          <w:rStyle w:val="Rimandonotaapidipagina"/>
          <w:rFonts w:ascii="Garamond" w:hAnsi="Garamond"/>
          <w:sz w:val="20"/>
          <w:szCs w:val="20"/>
        </w:rPr>
        <w:footnoteRef/>
      </w:r>
      <w:r w:rsidRPr="00D936E9">
        <w:rPr>
          <w:rFonts w:ascii="Garamond" w:hAnsi="Garamond"/>
          <w:i/>
          <w:iCs/>
          <w:sz w:val="20"/>
          <w:szCs w:val="20"/>
          <w:lang w:val="en-US"/>
        </w:rPr>
        <w:t xml:space="preserve"> </w:t>
      </w:r>
      <w:r w:rsidRPr="00D936E9">
        <w:rPr>
          <w:rFonts w:ascii="Garamond" w:hAnsi="Garamond"/>
          <w:sz w:val="20"/>
          <w:szCs w:val="20"/>
          <w:lang w:val="en-US"/>
        </w:rPr>
        <w:t xml:space="preserve">R. JESUTHASAN, J. W. BOUDREAU, </w:t>
      </w:r>
      <w:r w:rsidRPr="00D936E9">
        <w:rPr>
          <w:rFonts w:ascii="Garamond" w:hAnsi="Garamond"/>
          <w:i/>
          <w:iCs/>
          <w:sz w:val="20"/>
          <w:szCs w:val="20"/>
          <w:lang w:val="en-US"/>
        </w:rPr>
        <w:t xml:space="preserve">Work without Jobs: How to Reboot Your Organization’s Work Operating System </w:t>
      </w:r>
      <w:proofErr w:type="spellStart"/>
      <w:r w:rsidRPr="00D936E9">
        <w:rPr>
          <w:rFonts w:ascii="Garamond" w:hAnsi="Garamond"/>
          <w:i/>
          <w:iCs/>
          <w:sz w:val="20"/>
          <w:szCs w:val="20"/>
          <w:lang w:val="en-US"/>
        </w:rPr>
        <w:t>System</w:t>
      </w:r>
      <w:proofErr w:type="spellEnd"/>
      <w:r w:rsidRPr="00D936E9">
        <w:rPr>
          <w:rFonts w:ascii="Garamond" w:hAnsi="Garamond"/>
          <w:sz w:val="20"/>
          <w:szCs w:val="20"/>
          <w:lang w:val="en-US"/>
        </w:rPr>
        <w:t>, in</w:t>
      </w:r>
      <w:r w:rsidRPr="00D936E9">
        <w:rPr>
          <w:rFonts w:ascii="Garamond" w:hAnsi="Garamond"/>
          <w:i/>
          <w:iCs/>
          <w:sz w:val="20"/>
          <w:szCs w:val="20"/>
          <w:lang w:val="en-US"/>
        </w:rPr>
        <w:t xml:space="preserve"> Management on the Cutting Edge</w:t>
      </w:r>
      <w:r w:rsidRPr="00D936E9">
        <w:rPr>
          <w:rFonts w:ascii="Garamond" w:hAnsi="Garamond"/>
          <w:sz w:val="20"/>
          <w:szCs w:val="20"/>
          <w:lang w:val="en-US"/>
        </w:rPr>
        <w:t xml:space="preserve">, 2022, 59, </w:t>
      </w:r>
      <w:proofErr w:type="spellStart"/>
      <w:r w:rsidRPr="00D936E9">
        <w:rPr>
          <w:rFonts w:ascii="Garamond" w:hAnsi="Garamond"/>
          <w:sz w:val="20"/>
          <w:szCs w:val="20"/>
          <w:lang w:val="en-US"/>
        </w:rPr>
        <w:t>che</w:t>
      </w:r>
      <w:proofErr w:type="spellEnd"/>
      <w:r w:rsidRPr="00D936E9">
        <w:rPr>
          <w:rFonts w:ascii="Garamond" w:hAnsi="Garamond"/>
          <w:sz w:val="20"/>
          <w:szCs w:val="20"/>
          <w:lang w:val="en-US"/>
        </w:rPr>
        <w:t xml:space="preserve"> ben </w:t>
      </w:r>
      <w:proofErr w:type="spellStart"/>
      <w:r w:rsidRPr="00D936E9">
        <w:rPr>
          <w:rFonts w:ascii="Garamond" w:hAnsi="Garamond"/>
          <w:sz w:val="20"/>
          <w:szCs w:val="20"/>
          <w:lang w:val="en-US"/>
        </w:rPr>
        <w:t>spiegano</w:t>
      </w:r>
      <w:proofErr w:type="spellEnd"/>
      <w:r w:rsidRPr="00D936E9">
        <w:rPr>
          <w:rFonts w:ascii="Garamond" w:hAnsi="Garamond"/>
          <w:sz w:val="20"/>
          <w:szCs w:val="20"/>
          <w:lang w:val="en-US"/>
        </w:rPr>
        <w:t xml:space="preserve"> </w:t>
      </w:r>
      <w:proofErr w:type="spellStart"/>
      <w:r w:rsidRPr="00D936E9">
        <w:rPr>
          <w:rFonts w:ascii="Garamond" w:hAnsi="Garamond"/>
          <w:sz w:val="20"/>
          <w:szCs w:val="20"/>
          <w:lang w:val="en-US"/>
        </w:rPr>
        <w:t>questi</w:t>
      </w:r>
      <w:proofErr w:type="spellEnd"/>
      <w:r w:rsidRPr="00D936E9">
        <w:rPr>
          <w:rFonts w:ascii="Garamond" w:hAnsi="Garamond"/>
          <w:sz w:val="20"/>
          <w:szCs w:val="20"/>
          <w:lang w:val="en-US"/>
        </w:rPr>
        <w:t xml:space="preserve"> </w:t>
      </w:r>
      <w:proofErr w:type="spellStart"/>
      <w:r w:rsidRPr="00D936E9">
        <w:rPr>
          <w:rFonts w:ascii="Garamond" w:hAnsi="Garamond"/>
          <w:sz w:val="20"/>
          <w:szCs w:val="20"/>
          <w:lang w:val="en-US"/>
        </w:rPr>
        <w:t>concetti</w:t>
      </w:r>
      <w:proofErr w:type="spellEnd"/>
      <w:r w:rsidRPr="00D936E9">
        <w:rPr>
          <w:rFonts w:ascii="Garamond" w:hAnsi="Garamond"/>
          <w:sz w:val="20"/>
          <w:szCs w:val="20"/>
          <w:lang w:val="en-US"/>
        </w:rPr>
        <w:t xml:space="preserve"> di </w:t>
      </w:r>
      <w:proofErr w:type="spellStart"/>
      <w:r w:rsidRPr="00D936E9">
        <w:rPr>
          <w:rFonts w:ascii="Garamond" w:hAnsi="Garamond"/>
          <w:sz w:val="20"/>
          <w:szCs w:val="20"/>
          <w:lang w:val="en-US"/>
        </w:rPr>
        <w:t>decostruzione</w:t>
      </w:r>
      <w:proofErr w:type="spellEnd"/>
      <w:r w:rsidRPr="00D936E9">
        <w:rPr>
          <w:rFonts w:ascii="Garamond" w:hAnsi="Garamond"/>
          <w:sz w:val="20"/>
          <w:szCs w:val="20"/>
          <w:lang w:val="en-US"/>
        </w:rPr>
        <w:t xml:space="preserve"> e </w:t>
      </w:r>
      <w:proofErr w:type="spellStart"/>
      <w:r w:rsidRPr="00D936E9">
        <w:rPr>
          <w:rFonts w:ascii="Garamond" w:hAnsi="Garamond"/>
          <w:sz w:val="20"/>
          <w:szCs w:val="20"/>
          <w:lang w:val="en-US"/>
        </w:rPr>
        <w:t>reinvenzione</w:t>
      </w:r>
      <w:proofErr w:type="spellEnd"/>
      <w:r w:rsidRPr="00D936E9">
        <w:rPr>
          <w:rFonts w:ascii="Garamond" w:hAnsi="Garamond"/>
          <w:sz w:val="20"/>
          <w:szCs w:val="20"/>
          <w:lang w:val="en-US"/>
        </w:rPr>
        <w:t xml:space="preserve">, </w:t>
      </w:r>
      <w:proofErr w:type="spellStart"/>
      <w:r w:rsidRPr="00D936E9">
        <w:rPr>
          <w:rFonts w:ascii="Garamond" w:hAnsi="Garamond"/>
          <w:sz w:val="20"/>
          <w:szCs w:val="20"/>
          <w:lang w:val="en-US"/>
        </w:rPr>
        <w:t>chiarendo</w:t>
      </w:r>
      <w:proofErr w:type="spellEnd"/>
      <w:r w:rsidRPr="00D936E9">
        <w:rPr>
          <w:rFonts w:ascii="Garamond" w:hAnsi="Garamond"/>
          <w:sz w:val="20"/>
          <w:szCs w:val="20"/>
          <w:lang w:val="en-US"/>
        </w:rPr>
        <w:t xml:space="preserve"> come «</w:t>
      </w:r>
      <w:r w:rsidRPr="00D936E9">
        <w:rPr>
          <w:rFonts w:ascii="Garamond" w:hAnsi="Garamond"/>
          <w:i/>
          <w:iCs/>
          <w:sz w:val="20"/>
          <w:szCs w:val="20"/>
          <w:lang w:val="en-US"/>
        </w:rPr>
        <w:t xml:space="preserve">confining work elements (tasks, projects) only to a job obscures insights and opportunities that are revealed by the new work operating system. that system can deconstruct and reinvent those elements. in the same way, confining human capabilities within a job holder or degree obscures insights and opportunities that are revealed by a new work operating system that deconstruct those elements, allowing workers to reinvent </w:t>
      </w:r>
      <w:proofErr w:type="spellStart"/>
      <w:r w:rsidRPr="00D936E9">
        <w:rPr>
          <w:rFonts w:ascii="Garamond" w:hAnsi="Garamond"/>
          <w:i/>
          <w:iCs/>
          <w:sz w:val="20"/>
          <w:szCs w:val="20"/>
          <w:lang w:val="en-US"/>
        </w:rPr>
        <w:t>theior</w:t>
      </w:r>
      <w:proofErr w:type="spellEnd"/>
      <w:r w:rsidRPr="00D936E9">
        <w:rPr>
          <w:rFonts w:ascii="Garamond" w:hAnsi="Garamond"/>
          <w:i/>
          <w:iCs/>
          <w:sz w:val="20"/>
          <w:szCs w:val="20"/>
          <w:lang w:val="en-US"/>
        </w:rPr>
        <w:t xml:space="preserve"> capabilities with a clearer </w:t>
      </w:r>
      <w:proofErr w:type="spellStart"/>
      <w:r w:rsidRPr="00D936E9">
        <w:rPr>
          <w:rFonts w:ascii="Garamond" w:hAnsi="Garamond"/>
          <w:i/>
          <w:iCs/>
          <w:sz w:val="20"/>
          <w:szCs w:val="20"/>
          <w:lang w:val="en-US"/>
        </w:rPr>
        <w:t>gaol</w:t>
      </w:r>
      <w:proofErr w:type="spellEnd"/>
      <w:r w:rsidRPr="00D936E9">
        <w:rPr>
          <w:rFonts w:ascii="Garamond" w:hAnsi="Garamond"/>
          <w:i/>
          <w:iCs/>
          <w:sz w:val="20"/>
          <w:szCs w:val="20"/>
          <w:lang w:val="en-US"/>
        </w:rPr>
        <w:t xml:space="preserve"> and organizations to </w:t>
      </w:r>
      <w:proofErr w:type="spellStart"/>
      <w:r w:rsidRPr="00D936E9">
        <w:rPr>
          <w:rFonts w:ascii="Garamond" w:hAnsi="Garamond"/>
          <w:i/>
          <w:iCs/>
          <w:sz w:val="20"/>
          <w:szCs w:val="20"/>
          <w:lang w:val="en-US"/>
        </w:rPr>
        <w:t>connet</w:t>
      </w:r>
      <w:proofErr w:type="spellEnd"/>
      <w:r w:rsidRPr="00D936E9">
        <w:rPr>
          <w:rFonts w:ascii="Garamond" w:hAnsi="Garamond"/>
          <w:i/>
          <w:iCs/>
          <w:sz w:val="20"/>
          <w:szCs w:val="20"/>
          <w:lang w:val="en-US"/>
        </w:rPr>
        <w:t xml:space="preserve"> work and workers more dynamically and precisely. a new focus on worker skills/</w:t>
      </w:r>
      <w:proofErr w:type="spellStart"/>
      <w:r w:rsidRPr="00D936E9">
        <w:rPr>
          <w:rFonts w:ascii="Garamond" w:hAnsi="Garamond"/>
          <w:i/>
          <w:iCs/>
          <w:sz w:val="20"/>
          <w:szCs w:val="20"/>
          <w:lang w:val="en-US"/>
        </w:rPr>
        <w:t>capabilies</w:t>
      </w:r>
      <w:proofErr w:type="spellEnd"/>
      <w:r w:rsidRPr="00D936E9">
        <w:rPr>
          <w:rFonts w:ascii="Garamond" w:hAnsi="Garamond"/>
          <w:i/>
          <w:iCs/>
          <w:sz w:val="20"/>
          <w:szCs w:val="20"/>
          <w:lang w:val="en-US"/>
        </w:rPr>
        <w:t xml:space="preserve"> and job tasks/projects ultimately increases the efficiency and responsiveness of a labor market by </w:t>
      </w:r>
      <w:proofErr w:type="spellStart"/>
      <w:r w:rsidRPr="00D936E9">
        <w:rPr>
          <w:rFonts w:ascii="Garamond" w:hAnsi="Garamond"/>
          <w:i/>
          <w:iCs/>
          <w:sz w:val="20"/>
          <w:szCs w:val="20"/>
          <w:lang w:val="en-US"/>
        </w:rPr>
        <w:t>trascending</w:t>
      </w:r>
      <w:proofErr w:type="spellEnd"/>
      <w:r w:rsidRPr="00D936E9">
        <w:rPr>
          <w:rFonts w:ascii="Garamond" w:hAnsi="Garamond"/>
          <w:i/>
          <w:iCs/>
          <w:sz w:val="20"/>
          <w:szCs w:val="20"/>
          <w:lang w:val="en-US"/>
        </w:rPr>
        <w:t xml:space="preserve"> the current one-to-one relationship between a person and a job to allow many-to-many relationships, such as between skills and tasks</w:t>
      </w:r>
      <w:r w:rsidRPr="00D936E9">
        <w:rPr>
          <w:rFonts w:ascii="Garamond" w:hAnsi="Garamond"/>
          <w:sz w:val="20"/>
          <w:szCs w:val="20"/>
          <w:lang w:val="en-US"/>
        </w:rPr>
        <w:t>».</w:t>
      </w:r>
    </w:p>
  </w:footnote>
  <w:footnote w:id="58">
    <w:p w14:paraId="128971C8" w14:textId="4271A88E" w:rsidR="00F43B40" w:rsidRPr="00D936E9" w:rsidRDefault="00F43B40" w:rsidP="00DF5CCF">
      <w:pPr>
        <w:pStyle w:val="Testonotaapidipagina"/>
        <w:jc w:val="both"/>
        <w:rPr>
          <w:rFonts w:ascii="Garamond" w:hAnsi="Garamond"/>
          <w:lang w:val="en-US"/>
        </w:rPr>
      </w:pPr>
      <w:r w:rsidRPr="00D936E9">
        <w:rPr>
          <w:rStyle w:val="Rimandonotaapidipagina"/>
          <w:rFonts w:ascii="Garamond" w:hAnsi="Garamond"/>
        </w:rPr>
        <w:footnoteRef/>
      </w:r>
      <w:r w:rsidRPr="00D936E9">
        <w:rPr>
          <w:rFonts w:ascii="Garamond" w:hAnsi="Garamond"/>
          <w:lang w:val="en-US"/>
        </w:rPr>
        <w:t xml:space="preserve"> R. JESUTHASAN, J. W. BOUDREAU, </w:t>
      </w:r>
      <w:r w:rsidRPr="00D936E9">
        <w:rPr>
          <w:rFonts w:ascii="Garamond" w:hAnsi="Garamond"/>
          <w:i/>
          <w:iCs/>
          <w:lang w:val="en-US"/>
        </w:rPr>
        <w:t>Work without Jobs</w:t>
      </w:r>
      <w:r w:rsidRPr="00D936E9">
        <w:rPr>
          <w:rFonts w:ascii="Garamond" w:hAnsi="Garamond"/>
          <w:lang w:val="en-US"/>
        </w:rPr>
        <w:t xml:space="preserve"> …, xxi, cit. </w:t>
      </w:r>
    </w:p>
  </w:footnote>
  <w:footnote w:id="59">
    <w:p w14:paraId="67059D6D" w14:textId="77777777" w:rsidR="003769A2" w:rsidRPr="00D936E9" w:rsidRDefault="003769A2" w:rsidP="00DF5CCF">
      <w:pPr>
        <w:pStyle w:val="Testonotaapidipagina"/>
        <w:jc w:val="both"/>
        <w:rPr>
          <w:rFonts w:ascii="Garamond" w:hAnsi="Garamond"/>
        </w:rPr>
      </w:pPr>
      <w:r w:rsidRPr="00D936E9">
        <w:rPr>
          <w:rStyle w:val="Rimandonotaapidipagina"/>
          <w:rFonts w:ascii="Garamond" w:hAnsi="Garamond"/>
        </w:rPr>
        <w:footnoteRef/>
      </w:r>
      <w:r w:rsidRPr="00D936E9">
        <w:rPr>
          <w:rFonts w:ascii="Garamond" w:hAnsi="Garamond"/>
          <w:lang w:val="en-US"/>
        </w:rPr>
        <w:t xml:space="preserve"> </w:t>
      </w:r>
      <w:r w:rsidRPr="00D936E9">
        <w:rPr>
          <w:rFonts w:ascii="Garamond" w:eastAsiaTheme="minorHAnsi" w:hAnsi="Garamond" w:cs="SimonciniGaramondStd"/>
          <w:lang w:val="en-US"/>
        </w:rPr>
        <w:t xml:space="preserve">Art. 1, co. 9 e 10, l. 11 </w:t>
      </w:r>
      <w:proofErr w:type="spellStart"/>
      <w:r w:rsidRPr="00D936E9">
        <w:rPr>
          <w:rFonts w:ascii="Garamond" w:eastAsiaTheme="minorHAnsi" w:hAnsi="Garamond" w:cs="SimonciniGaramondStd"/>
          <w:lang w:val="en-US"/>
        </w:rPr>
        <w:t>dicembre</w:t>
      </w:r>
      <w:proofErr w:type="spellEnd"/>
      <w:r w:rsidRPr="00D936E9">
        <w:rPr>
          <w:rFonts w:ascii="Garamond" w:eastAsiaTheme="minorHAnsi" w:hAnsi="Garamond" w:cs="SimonciniGaramondStd"/>
          <w:lang w:val="en-US"/>
        </w:rPr>
        <w:t xml:space="preserve"> 2016, n. 236, All. </w:t>
      </w:r>
      <w:r w:rsidRPr="00D936E9">
        <w:rPr>
          <w:rFonts w:ascii="Garamond" w:eastAsiaTheme="minorHAnsi" w:hAnsi="Garamond" w:cs="SimonciniGaramondStd"/>
        </w:rPr>
        <w:t>A e B.</w:t>
      </w:r>
    </w:p>
  </w:footnote>
  <w:footnote w:id="60">
    <w:p w14:paraId="5D754878" w14:textId="77777777" w:rsidR="003769A2" w:rsidRPr="00D936E9" w:rsidRDefault="003769A2" w:rsidP="00DF5CCF">
      <w:pPr>
        <w:pStyle w:val="Testonotaapidipagina"/>
        <w:jc w:val="both"/>
        <w:rPr>
          <w:rFonts w:ascii="Garamond" w:hAnsi="Garamond"/>
        </w:rPr>
      </w:pPr>
      <w:r w:rsidRPr="00D936E9">
        <w:rPr>
          <w:rStyle w:val="Rimandonotaapidipagina"/>
          <w:rFonts w:ascii="Garamond" w:hAnsi="Garamond"/>
        </w:rPr>
        <w:footnoteRef/>
      </w:r>
      <w:r w:rsidRPr="00D936E9">
        <w:rPr>
          <w:rFonts w:ascii="Garamond" w:hAnsi="Garamond"/>
        </w:rPr>
        <w:t xml:space="preserve"> </w:t>
      </w:r>
      <w:r w:rsidRPr="00D936E9">
        <w:rPr>
          <w:rFonts w:ascii="Garamond" w:eastAsiaTheme="minorHAnsi" w:hAnsi="Garamond" w:cs="SimonciniGaramondStd"/>
        </w:rPr>
        <w:t>Sulla nozione di macchina intelligente e sulla relazione giuridica che viene a crearsi tra lavoratore e macchina intelligente si v. M. FAIOLI M., Mansioni e macchina intelligente, Giappichelli, Torino, 2018.</w:t>
      </w:r>
    </w:p>
  </w:footnote>
  <w:footnote w:id="61">
    <w:p w14:paraId="776A16AE" w14:textId="77777777" w:rsidR="003769A2" w:rsidRPr="00D936E9" w:rsidRDefault="003769A2" w:rsidP="00DF5CCF">
      <w:pPr>
        <w:pStyle w:val="Testonotaapidipagina"/>
        <w:jc w:val="both"/>
        <w:rPr>
          <w:rFonts w:ascii="Garamond" w:hAnsi="Garamond"/>
        </w:rPr>
      </w:pPr>
      <w:r w:rsidRPr="00D936E9">
        <w:rPr>
          <w:rStyle w:val="Rimandonotaapidipagina"/>
          <w:rFonts w:ascii="Garamond" w:hAnsi="Garamond"/>
        </w:rPr>
        <w:footnoteRef/>
      </w:r>
      <w:r w:rsidRPr="00D936E9">
        <w:rPr>
          <w:rStyle w:val="Rimandonotaapidipagina"/>
          <w:rFonts w:ascii="Garamond" w:hAnsi="Garamond"/>
        </w:rPr>
        <w:t xml:space="preserve"> </w:t>
      </w:r>
      <w:r w:rsidRPr="00D936E9">
        <w:rPr>
          <w:rFonts w:ascii="Garamond" w:eastAsiaTheme="minorHAnsi" w:hAnsi="Garamond" w:cs="SimonciniGaramondStd"/>
        </w:rPr>
        <w:t xml:space="preserve">M. RUSCIANO, L. GAETA e L. ZOPPOLI (a cura di), </w:t>
      </w:r>
      <w:r w:rsidRPr="00D936E9">
        <w:rPr>
          <w:rFonts w:ascii="Garamond" w:eastAsiaTheme="minorHAnsi" w:hAnsi="Garamond" w:cs="SimonciniGaramondStd"/>
          <w:i/>
          <w:iCs/>
        </w:rPr>
        <w:t>Mezzo secolo dallo Statuto dei lavoratori</w:t>
      </w:r>
      <w:r w:rsidRPr="00D936E9">
        <w:rPr>
          <w:rFonts w:ascii="Garamond" w:eastAsiaTheme="minorHAnsi" w:hAnsi="Garamond" w:cs="SimonciniGaramondStd"/>
        </w:rPr>
        <w:t xml:space="preserve">, in </w:t>
      </w:r>
      <w:r w:rsidRPr="00D936E9">
        <w:rPr>
          <w:rFonts w:ascii="Garamond" w:eastAsiaTheme="minorHAnsi" w:hAnsi="Garamond" w:cs="SimonciniGaramondStd"/>
          <w:i/>
          <w:iCs/>
        </w:rPr>
        <w:t>Quaderni della rivista Diritti lavori mercati</w:t>
      </w:r>
      <w:r w:rsidRPr="00D936E9">
        <w:rPr>
          <w:rFonts w:ascii="Garamond" w:eastAsiaTheme="minorHAnsi" w:hAnsi="Garamond" w:cs="SimonciniGaramondStd"/>
        </w:rPr>
        <w:t>, n. 8, 2020, Napoli, Ed. scientifica</w:t>
      </w:r>
    </w:p>
  </w:footnote>
  <w:footnote w:id="62">
    <w:p w14:paraId="3BF5116A" w14:textId="77777777" w:rsidR="003769A2" w:rsidRPr="00D936E9" w:rsidRDefault="003769A2" w:rsidP="00DF5CCF">
      <w:pPr>
        <w:pStyle w:val="Testonotaapidipagina"/>
        <w:jc w:val="both"/>
        <w:rPr>
          <w:rFonts w:ascii="Garamond" w:hAnsi="Garamond"/>
        </w:rPr>
      </w:pPr>
      <w:r w:rsidRPr="00D936E9">
        <w:rPr>
          <w:rStyle w:val="Rimandonotaapidipagina"/>
          <w:rFonts w:ascii="Garamond" w:hAnsi="Garamond"/>
        </w:rPr>
        <w:footnoteRef/>
      </w:r>
      <w:r w:rsidRPr="00D936E9">
        <w:rPr>
          <w:rFonts w:ascii="Garamond" w:hAnsi="Garamond"/>
        </w:rPr>
        <w:t xml:space="preserve"> A. VALLEBONA, </w:t>
      </w:r>
      <w:r w:rsidRPr="00D936E9">
        <w:rPr>
          <w:rFonts w:ascii="Garamond" w:hAnsi="Garamond"/>
          <w:i/>
          <w:iCs/>
        </w:rPr>
        <w:t>Istituzioni di diritto del lavoro</w:t>
      </w:r>
      <w:r w:rsidRPr="00D936E9">
        <w:rPr>
          <w:rFonts w:ascii="Garamond" w:hAnsi="Garamond"/>
        </w:rPr>
        <w:t xml:space="preserve">, </w:t>
      </w:r>
      <w:r w:rsidRPr="00D936E9">
        <w:rPr>
          <w:rFonts w:ascii="Garamond" w:hAnsi="Garamond"/>
          <w:i/>
          <w:iCs/>
        </w:rPr>
        <w:t>t. II, Il rapporto di lavoro</w:t>
      </w:r>
      <w:r w:rsidRPr="00D936E9">
        <w:rPr>
          <w:rFonts w:ascii="Garamond" w:hAnsi="Garamond"/>
        </w:rPr>
        <w:t>, V ed., Cedam, Padova, 2005, 477.</w:t>
      </w:r>
    </w:p>
  </w:footnote>
  <w:footnote w:id="63">
    <w:p w14:paraId="43A9E141" w14:textId="77777777" w:rsidR="003769A2" w:rsidRPr="00D936E9" w:rsidRDefault="003769A2" w:rsidP="00DF5CCF">
      <w:pPr>
        <w:pStyle w:val="Testonotaapidipagina"/>
        <w:jc w:val="both"/>
        <w:rPr>
          <w:rFonts w:ascii="Garamond" w:hAnsi="Garamond"/>
        </w:rPr>
      </w:pPr>
      <w:r w:rsidRPr="00D936E9">
        <w:rPr>
          <w:rStyle w:val="Rimandonotaapidipagina"/>
          <w:rFonts w:ascii="Garamond" w:hAnsi="Garamond"/>
        </w:rPr>
        <w:footnoteRef/>
      </w:r>
      <w:r w:rsidRPr="00D936E9">
        <w:rPr>
          <w:rFonts w:ascii="Garamond" w:hAnsi="Garamond"/>
        </w:rPr>
        <w:t xml:space="preserve"> Cost. 6 marzo 1974, n. 55.  </w:t>
      </w:r>
    </w:p>
  </w:footnote>
  <w:footnote w:id="64">
    <w:p w14:paraId="67335AF8" w14:textId="68C1DD19" w:rsidR="003769A2" w:rsidRPr="00D936E9" w:rsidRDefault="003769A2" w:rsidP="00DF5CCF">
      <w:pPr>
        <w:pStyle w:val="Testonotaapidipagina"/>
        <w:jc w:val="both"/>
        <w:rPr>
          <w:rFonts w:ascii="Garamond" w:hAnsi="Garamond"/>
        </w:rPr>
      </w:pPr>
      <w:r w:rsidRPr="00D936E9">
        <w:rPr>
          <w:rStyle w:val="Rimandonotaapidipagina"/>
          <w:rFonts w:ascii="Garamond" w:hAnsi="Garamond"/>
        </w:rPr>
        <w:footnoteRef/>
      </w:r>
      <w:r w:rsidRPr="00D936E9">
        <w:rPr>
          <w:rFonts w:ascii="Garamond" w:hAnsi="Garamond"/>
        </w:rPr>
        <w:t xml:space="preserve"> M. FAIOLI,</w:t>
      </w:r>
      <w:r w:rsidR="00D32033" w:rsidRPr="00D936E9">
        <w:rPr>
          <w:rFonts w:ascii="Garamond" w:hAnsi="Garamond"/>
        </w:rPr>
        <w:t xml:space="preserve"> </w:t>
      </w:r>
      <w:r w:rsidR="00D32033" w:rsidRPr="00D936E9">
        <w:rPr>
          <w:rFonts w:ascii="Garamond" w:hAnsi="Garamond"/>
          <w:i/>
          <w:iCs/>
        </w:rPr>
        <w:t>Unità produttiva digitale</w:t>
      </w:r>
      <w:r w:rsidR="00D147AC" w:rsidRPr="00D936E9">
        <w:rPr>
          <w:rFonts w:ascii="Garamond" w:hAnsi="Garamond"/>
          <w:i/>
          <w:iCs/>
        </w:rPr>
        <w:t>…</w:t>
      </w:r>
      <w:r w:rsidR="00D32033" w:rsidRPr="00D936E9">
        <w:rPr>
          <w:rFonts w:ascii="Garamond" w:hAnsi="Garamond"/>
        </w:rPr>
        <w:t xml:space="preserve">, </w:t>
      </w:r>
      <w:r w:rsidR="00D147AC" w:rsidRPr="00D936E9">
        <w:rPr>
          <w:rFonts w:ascii="Garamond" w:hAnsi="Garamond"/>
        </w:rPr>
        <w:t>cit.</w:t>
      </w:r>
      <w:r w:rsidR="00D32033" w:rsidRPr="00D936E9">
        <w:rPr>
          <w:rFonts w:ascii="Garamond" w:hAnsi="Garamond"/>
        </w:rPr>
        <w:t xml:space="preserve">, p. </w:t>
      </w:r>
      <w:r w:rsidR="000A774D" w:rsidRPr="00D936E9">
        <w:rPr>
          <w:rFonts w:ascii="Garamond" w:hAnsi="Garamond"/>
        </w:rPr>
        <w:t>51.</w:t>
      </w:r>
    </w:p>
  </w:footnote>
  <w:footnote w:id="65">
    <w:p w14:paraId="3835CC90" w14:textId="77777777" w:rsidR="003769A2" w:rsidRPr="00D936E9" w:rsidRDefault="003769A2" w:rsidP="00DF5CCF">
      <w:pPr>
        <w:pStyle w:val="Testonotaapidipagina"/>
        <w:jc w:val="both"/>
        <w:rPr>
          <w:rFonts w:ascii="Garamond" w:hAnsi="Garamond"/>
          <w:lang w:val="en-US"/>
        </w:rPr>
      </w:pPr>
      <w:r w:rsidRPr="00D936E9">
        <w:rPr>
          <w:rStyle w:val="Rimandonotaapidipagina"/>
          <w:rFonts w:ascii="Garamond" w:hAnsi="Garamond"/>
        </w:rPr>
        <w:footnoteRef/>
      </w:r>
      <w:r w:rsidRPr="00D936E9">
        <w:rPr>
          <w:rFonts w:ascii="Garamond" w:hAnsi="Garamond"/>
        </w:rPr>
        <w:t xml:space="preserve"> Si veda lo studio di M. FAIOLI, che ha ripreso l’analisi di L. COMPA, </w:t>
      </w:r>
      <w:r w:rsidRPr="00D936E9">
        <w:rPr>
          <w:rFonts w:ascii="Garamond" w:hAnsi="Garamond"/>
          <w:i/>
          <w:iCs/>
        </w:rPr>
        <w:t>The Wagner Model and International Freedom of Association Standards</w:t>
      </w:r>
      <w:r w:rsidRPr="00D936E9">
        <w:rPr>
          <w:rFonts w:ascii="Garamond" w:hAnsi="Garamond"/>
        </w:rPr>
        <w:t xml:space="preserve">, in </w:t>
      </w:r>
      <w:r w:rsidRPr="00D936E9">
        <w:rPr>
          <w:rFonts w:ascii="Garamond" w:hAnsi="Garamond"/>
          <w:i/>
          <w:iCs/>
        </w:rPr>
        <w:t xml:space="preserve">ROUX D. (a cura di) Autonomie </w:t>
      </w:r>
      <w:proofErr w:type="spellStart"/>
      <w:r w:rsidRPr="00D936E9">
        <w:rPr>
          <w:rFonts w:ascii="Garamond" w:hAnsi="Garamond"/>
          <w:i/>
          <w:iCs/>
        </w:rPr>
        <w:t>collective</w:t>
      </w:r>
      <w:proofErr w:type="spellEnd"/>
      <w:r w:rsidRPr="00D936E9">
        <w:rPr>
          <w:rFonts w:ascii="Garamond" w:hAnsi="Garamond"/>
          <w:i/>
          <w:iCs/>
        </w:rPr>
        <w:t xml:space="preserve"> et </w:t>
      </w:r>
      <w:proofErr w:type="spellStart"/>
      <w:r w:rsidRPr="00D936E9">
        <w:rPr>
          <w:rFonts w:ascii="Garamond" w:hAnsi="Garamond"/>
          <w:i/>
          <w:iCs/>
        </w:rPr>
        <w:t>droit</w:t>
      </w:r>
      <w:proofErr w:type="spellEnd"/>
      <w:r w:rsidRPr="00D936E9">
        <w:rPr>
          <w:rFonts w:ascii="Garamond" w:hAnsi="Garamond"/>
          <w:i/>
          <w:iCs/>
        </w:rPr>
        <w:t xml:space="preserve"> </w:t>
      </w:r>
      <w:proofErr w:type="spellStart"/>
      <w:r w:rsidRPr="00D936E9">
        <w:rPr>
          <w:rFonts w:ascii="Garamond" w:hAnsi="Garamond"/>
          <w:i/>
          <w:iCs/>
        </w:rPr>
        <w:t>du</w:t>
      </w:r>
      <w:proofErr w:type="spellEnd"/>
      <w:r w:rsidRPr="00D936E9">
        <w:rPr>
          <w:rFonts w:ascii="Garamond" w:hAnsi="Garamond"/>
          <w:i/>
          <w:iCs/>
        </w:rPr>
        <w:t xml:space="preserve"> </w:t>
      </w:r>
      <w:proofErr w:type="spellStart"/>
      <w:r w:rsidRPr="00D936E9">
        <w:rPr>
          <w:rFonts w:ascii="Garamond" w:hAnsi="Garamond"/>
          <w:i/>
          <w:iCs/>
        </w:rPr>
        <w:t>travail</w:t>
      </w:r>
      <w:proofErr w:type="spellEnd"/>
      <w:r w:rsidRPr="00D936E9">
        <w:rPr>
          <w:rFonts w:ascii="Garamond" w:hAnsi="Garamond"/>
          <w:i/>
          <w:iCs/>
        </w:rPr>
        <w:t>. Mélanges en l’</w:t>
      </w:r>
      <w:proofErr w:type="spellStart"/>
      <w:r w:rsidRPr="00D936E9">
        <w:rPr>
          <w:rFonts w:ascii="Garamond" w:hAnsi="Garamond"/>
          <w:i/>
          <w:iCs/>
        </w:rPr>
        <w:t>honneur</w:t>
      </w:r>
      <w:proofErr w:type="spellEnd"/>
      <w:r w:rsidRPr="00D936E9">
        <w:rPr>
          <w:rFonts w:ascii="Garamond" w:hAnsi="Garamond"/>
          <w:i/>
          <w:iCs/>
        </w:rPr>
        <w:t xml:space="preserve"> </w:t>
      </w:r>
      <w:proofErr w:type="spellStart"/>
      <w:r w:rsidRPr="00D936E9">
        <w:rPr>
          <w:rFonts w:ascii="Garamond" w:hAnsi="Garamond"/>
          <w:i/>
          <w:iCs/>
        </w:rPr>
        <w:t>du</w:t>
      </w:r>
      <w:proofErr w:type="spellEnd"/>
      <w:r w:rsidRPr="00D936E9">
        <w:rPr>
          <w:rFonts w:ascii="Garamond" w:hAnsi="Garamond"/>
          <w:i/>
          <w:iCs/>
        </w:rPr>
        <w:t xml:space="preserve"> professor Pierre Verge</w:t>
      </w:r>
      <w:r w:rsidRPr="00D936E9">
        <w:rPr>
          <w:rFonts w:ascii="Garamond" w:hAnsi="Garamond"/>
        </w:rPr>
        <w:t xml:space="preserve">, </w:t>
      </w:r>
      <w:proofErr w:type="spellStart"/>
      <w:r w:rsidRPr="00D936E9">
        <w:rPr>
          <w:rFonts w:ascii="Garamond" w:hAnsi="Garamond"/>
        </w:rPr>
        <w:t>Presses</w:t>
      </w:r>
      <w:proofErr w:type="spellEnd"/>
      <w:r w:rsidRPr="00D936E9">
        <w:rPr>
          <w:rFonts w:ascii="Garamond" w:hAnsi="Garamond"/>
        </w:rPr>
        <w:t xml:space="preserve"> de l'Université Laval, </w:t>
      </w:r>
      <w:proofErr w:type="spellStart"/>
      <w:r w:rsidRPr="00D936E9">
        <w:rPr>
          <w:rFonts w:ascii="Garamond" w:hAnsi="Garamond"/>
        </w:rPr>
        <w:t>Quebec</w:t>
      </w:r>
      <w:proofErr w:type="spellEnd"/>
      <w:r w:rsidRPr="00D936E9">
        <w:rPr>
          <w:rFonts w:ascii="Garamond" w:hAnsi="Garamond"/>
        </w:rPr>
        <w:t xml:space="preserve"> City, 2014. </w:t>
      </w:r>
      <w:r w:rsidRPr="00D936E9">
        <w:rPr>
          <w:rFonts w:ascii="Garamond" w:hAnsi="Garamond"/>
          <w:lang w:val="en-US"/>
        </w:rPr>
        <w:t xml:space="preserve">Sul punto </w:t>
      </w:r>
      <w:proofErr w:type="spellStart"/>
      <w:r w:rsidRPr="00D936E9">
        <w:rPr>
          <w:rFonts w:ascii="Garamond" w:hAnsi="Garamond"/>
          <w:lang w:val="en-US"/>
        </w:rPr>
        <w:t>l’autore</w:t>
      </w:r>
      <w:proofErr w:type="spellEnd"/>
      <w:r w:rsidRPr="00D936E9">
        <w:rPr>
          <w:rFonts w:ascii="Garamond" w:hAnsi="Garamond"/>
          <w:lang w:val="en-US"/>
        </w:rPr>
        <w:t xml:space="preserve"> </w:t>
      </w:r>
      <w:proofErr w:type="spellStart"/>
      <w:r w:rsidRPr="00D936E9">
        <w:rPr>
          <w:rFonts w:ascii="Garamond" w:hAnsi="Garamond"/>
          <w:lang w:val="en-US"/>
        </w:rPr>
        <w:t>statunitense</w:t>
      </w:r>
      <w:proofErr w:type="spellEnd"/>
      <w:r w:rsidRPr="00D936E9">
        <w:rPr>
          <w:rFonts w:ascii="Garamond" w:hAnsi="Garamond"/>
          <w:lang w:val="en-US"/>
        </w:rPr>
        <w:t xml:space="preserve"> ha </w:t>
      </w:r>
      <w:proofErr w:type="spellStart"/>
      <w:r w:rsidRPr="00D936E9">
        <w:rPr>
          <w:rFonts w:ascii="Garamond" w:hAnsi="Garamond"/>
          <w:lang w:val="en-US"/>
        </w:rPr>
        <w:t>chiarito</w:t>
      </w:r>
      <w:proofErr w:type="spellEnd"/>
      <w:r w:rsidRPr="00D936E9">
        <w:rPr>
          <w:rFonts w:ascii="Garamond" w:hAnsi="Garamond"/>
          <w:lang w:val="en-US"/>
        </w:rPr>
        <w:t xml:space="preserve"> </w:t>
      </w:r>
      <w:proofErr w:type="spellStart"/>
      <w:r w:rsidRPr="00D936E9">
        <w:rPr>
          <w:rFonts w:ascii="Garamond" w:hAnsi="Garamond"/>
          <w:lang w:val="en-US"/>
        </w:rPr>
        <w:t>che</w:t>
      </w:r>
      <w:proofErr w:type="spellEnd"/>
      <w:r w:rsidRPr="00D936E9">
        <w:rPr>
          <w:rFonts w:ascii="Garamond" w:hAnsi="Garamond"/>
          <w:lang w:val="en-US"/>
        </w:rPr>
        <w:t xml:space="preserve"> «</w:t>
      </w:r>
      <w:r w:rsidRPr="00D936E9">
        <w:rPr>
          <w:rFonts w:ascii="Garamond" w:hAnsi="Garamond"/>
          <w:i/>
          <w:iCs/>
          <w:lang w:val="en-US"/>
        </w:rPr>
        <w:t xml:space="preserve">A linchpin of the Wagner model is the concept of the “appropriate bargaining unit,” a group of employees in a workplace entitled to choose a representative and whose interests, under the standard legal test of “sufficient community of interest” for defining a bargaining unit, will be represented by the union.21 U.S. and Canadian </w:t>
      </w:r>
      <w:proofErr w:type="spellStart"/>
      <w:r w:rsidRPr="00D936E9">
        <w:rPr>
          <w:rFonts w:ascii="Garamond" w:hAnsi="Garamond"/>
          <w:i/>
          <w:iCs/>
          <w:lang w:val="en-US"/>
        </w:rPr>
        <w:t>labour</w:t>
      </w:r>
      <w:proofErr w:type="spellEnd"/>
      <w:r w:rsidRPr="00D936E9">
        <w:rPr>
          <w:rFonts w:ascii="Garamond" w:hAnsi="Garamond"/>
          <w:i/>
          <w:iCs/>
          <w:lang w:val="en-US"/>
        </w:rPr>
        <w:t xml:space="preserve"> laws empower </w:t>
      </w:r>
      <w:proofErr w:type="spellStart"/>
      <w:r w:rsidRPr="00D936E9">
        <w:rPr>
          <w:rFonts w:ascii="Garamond" w:hAnsi="Garamond"/>
          <w:i/>
          <w:iCs/>
          <w:lang w:val="en-US"/>
        </w:rPr>
        <w:t>labour</w:t>
      </w:r>
      <w:proofErr w:type="spellEnd"/>
      <w:r w:rsidRPr="00D936E9">
        <w:rPr>
          <w:rFonts w:ascii="Garamond" w:hAnsi="Garamond"/>
          <w:i/>
          <w:iCs/>
          <w:lang w:val="en-US"/>
        </w:rPr>
        <w:t xml:space="preserve"> law authorities to define such a bargaining unit of employees. Authorities look for enough community of interest among workers </w:t>
      </w:r>
      <w:proofErr w:type="gramStart"/>
      <w:r w:rsidRPr="00D936E9">
        <w:rPr>
          <w:rFonts w:ascii="Garamond" w:hAnsi="Garamond"/>
          <w:i/>
          <w:iCs/>
          <w:lang w:val="en-US"/>
        </w:rPr>
        <w:t>in a given</w:t>
      </w:r>
      <w:proofErr w:type="gramEnd"/>
      <w:r w:rsidRPr="00D936E9">
        <w:rPr>
          <w:rFonts w:ascii="Garamond" w:hAnsi="Garamond"/>
          <w:i/>
          <w:iCs/>
          <w:lang w:val="en-US"/>
        </w:rPr>
        <w:t xml:space="preserve"> workplace to be an effective bargaining group at a single negotiating table instead of many small, fragmented unions, each with special needs and demands, at multiple bargaining tables</w:t>
      </w:r>
      <w:r w:rsidRPr="00D936E9">
        <w:rPr>
          <w:rFonts w:ascii="Garamond" w:hAnsi="Garamond"/>
          <w:lang w:val="en-US"/>
        </w:rPr>
        <w:t>».</w:t>
      </w:r>
    </w:p>
  </w:footnote>
  <w:footnote w:id="66">
    <w:p w14:paraId="02F57C72" w14:textId="1D2CEF9C" w:rsidR="003769A2" w:rsidRPr="00D936E9" w:rsidRDefault="003769A2" w:rsidP="004E47D8">
      <w:pPr>
        <w:pStyle w:val="Testonotaapidipagina"/>
        <w:jc w:val="both"/>
        <w:rPr>
          <w:rFonts w:ascii="Garamond" w:hAnsi="Garamond"/>
        </w:rPr>
      </w:pPr>
      <w:r w:rsidRPr="00D936E9">
        <w:rPr>
          <w:rStyle w:val="Rimandonotaapidipagina"/>
          <w:rFonts w:ascii="Garamond" w:hAnsi="Garamond"/>
        </w:rPr>
        <w:footnoteRef/>
      </w:r>
      <w:r w:rsidRPr="00D936E9">
        <w:rPr>
          <w:rFonts w:ascii="Garamond" w:hAnsi="Garamond"/>
        </w:rPr>
        <w:t xml:space="preserve"> </w:t>
      </w:r>
      <w:r w:rsidR="00D32033" w:rsidRPr="00D936E9">
        <w:rPr>
          <w:rFonts w:ascii="Garamond" w:hAnsi="Garamond"/>
        </w:rPr>
        <w:t xml:space="preserve">M. FAIOLI, </w:t>
      </w:r>
      <w:r w:rsidR="00D32033" w:rsidRPr="00D936E9">
        <w:rPr>
          <w:rFonts w:ascii="Garamond" w:hAnsi="Garamond"/>
          <w:i/>
          <w:iCs/>
        </w:rPr>
        <w:t>Unità produttiva digitale…</w:t>
      </w:r>
      <w:r w:rsidR="00D32033" w:rsidRPr="00D936E9">
        <w:rPr>
          <w:rFonts w:ascii="Garamond" w:hAnsi="Garamond"/>
        </w:rPr>
        <w:t xml:space="preserve">, p. </w:t>
      </w:r>
      <w:r w:rsidR="000A774D" w:rsidRPr="00D936E9">
        <w:rPr>
          <w:rFonts w:ascii="Garamond" w:hAnsi="Garamond"/>
        </w:rPr>
        <w:t>52</w:t>
      </w:r>
      <w:r w:rsidR="00D32033" w:rsidRPr="00D936E9">
        <w:rPr>
          <w:rFonts w:ascii="Garamond" w:hAnsi="Garamond"/>
        </w:rPr>
        <w:t>, cit.</w:t>
      </w:r>
    </w:p>
  </w:footnote>
  <w:footnote w:id="67">
    <w:p w14:paraId="5BFAC2EA" w14:textId="47F40D90" w:rsidR="004E47D8" w:rsidRPr="00D936E9" w:rsidRDefault="004E47D8" w:rsidP="004E47D8">
      <w:pPr>
        <w:pStyle w:val="Testonotaapidipagina"/>
        <w:jc w:val="both"/>
        <w:rPr>
          <w:i/>
          <w:iCs/>
        </w:rPr>
      </w:pPr>
      <w:r w:rsidRPr="00D936E9">
        <w:rPr>
          <w:rStyle w:val="Rimandonotaapidipagina"/>
          <w:rFonts w:ascii="Garamond" w:hAnsi="Garamond"/>
        </w:rPr>
        <w:footnoteRef/>
      </w:r>
      <w:r w:rsidRPr="00D936E9">
        <w:rPr>
          <w:rFonts w:ascii="Garamond" w:hAnsi="Garamond"/>
        </w:rPr>
        <w:t xml:space="preserve"> Si v. l’approfondimento di G. GAUDIO, </w:t>
      </w:r>
      <w:proofErr w:type="spellStart"/>
      <w:r w:rsidRPr="00D936E9">
        <w:rPr>
          <w:rFonts w:ascii="Garamond" w:hAnsi="Garamond"/>
          <w:i/>
          <w:iCs/>
        </w:rPr>
        <w:t>Algorithmic</w:t>
      </w:r>
      <w:proofErr w:type="spellEnd"/>
      <w:r w:rsidRPr="00D936E9">
        <w:rPr>
          <w:rFonts w:ascii="Garamond" w:hAnsi="Garamond"/>
          <w:i/>
          <w:iCs/>
        </w:rPr>
        <w:t xml:space="preserve"> management, sindacato e tutela giurisdizionale</w:t>
      </w:r>
      <w:r w:rsidRPr="00D936E9">
        <w:rPr>
          <w:rFonts w:ascii="Garamond" w:hAnsi="Garamond"/>
        </w:rPr>
        <w:t>, in</w:t>
      </w:r>
      <w:r w:rsidRPr="00D936E9">
        <w:rPr>
          <w:rStyle w:val="Enfasicorsivo"/>
          <w:rFonts w:ascii="Garamond" w:hAnsi="Garamond" w:cs="Segoe UI"/>
          <w:shd w:val="clear" w:color="auto" w:fill="FFFFFF"/>
        </w:rPr>
        <w:t xml:space="preserve"> Diritto delle relazioni industriali</w:t>
      </w:r>
      <w:r w:rsidRPr="00D936E9">
        <w:rPr>
          <w:rStyle w:val="Enfasicorsivo"/>
          <w:rFonts w:ascii="Garamond" w:hAnsi="Garamond" w:cs="Segoe UI"/>
          <w:i w:val="0"/>
          <w:iCs w:val="0"/>
          <w:shd w:val="clear" w:color="auto" w:fill="FFFFFF"/>
        </w:rPr>
        <w:t>, 2022, 32, 1, pp. 30 ss.</w:t>
      </w:r>
      <w:r w:rsidR="00250EDE" w:rsidRPr="00D936E9">
        <w:rPr>
          <w:rStyle w:val="Enfasicorsivo"/>
          <w:rFonts w:ascii="Garamond" w:hAnsi="Garamond" w:cs="Segoe UI"/>
          <w:i w:val="0"/>
          <w:iCs w:val="0"/>
          <w:shd w:val="clear" w:color="auto" w:fill="FFFFFF"/>
        </w:rPr>
        <w:t xml:space="preserve"> </w:t>
      </w:r>
    </w:p>
  </w:footnote>
  <w:footnote w:id="68">
    <w:p w14:paraId="705F6903" w14:textId="1A0D46A5" w:rsidR="00250EDE" w:rsidRPr="00D936E9" w:rsidRDefault="00250EDE" w:rsidP="00250EDE">
      <w:pPr>
        <w:pStyle w:val="Testonotaapidipagina"/>
        <w:jc w:val="both"/>
        <w:rPr>
          <w:rFonts w:ascii="Garamond" w:hAnsi="Garamond"/>
        </w:rPr>
      </w:pPr>
      <w:r w:rsidRPr="00D936E9">
        <w:rPr>
          <w:rStyle w:val="Rimandonotaapidipagina"/>
          <w:rFonts w:ascii="Garamond" w:hAnsi="Garamond"/>
        </w:rPr>
        <w:footnoteRef/>
      </w:r>
      <w:r w:rsidRPr="00D936E9">
        <w:rPr>
          <w:rFonts w:ascii="Garamond" w:hAnsi="Garamond"/>
        </w:rPr>
        <w:t xml:space="preserve"> Sui problemi riscontrati dalla contrattazione collettiva in materia di lavoro tramite piattaforma digitale, si v. anche A. ALOISI, E. GRAMANO, </w:t>
      </w:r>
      <w:r w:rsidRPr="00D936E9">
        <w:rPr>
          <w:rFonts w:ascii="Garamond" w:hAnsi="Garamond"/>
          <w:i/>
          <w:iCs/>
        </w:rPr>
        <w:t xml:space="preserve">Workers </w:t>
      </w:r>
      <w:proofErr w:type="spellStart"/>
      <w:r w:rsidRPr="00D936E9">
        <w:rPr>
          <w:rFonts w:ascii="Garamond" w:hAnsi="Garamond"/>
          <w:i/>
          <w:iCs/>
        </w:rPr>
        <w:t>Without</w:t>
      </w:r>
      <w:proofErr w:type="spellEnd"/>
      <w:r w:rsidRPr="00D936E9">
        <w:rPr>
          <w:rFonts w:ascii="Garamond" w:hAnsi="Garamond"/>
          <w:i/>
          <w:iCs/>
        </w:rPr>
        <w:t xml:space="preserve"> </w:t>
      </w:r>
      <w:proofErr w:type="spellStart"/>
      <w:r w:rsidRPr="00D936E9">
        <w:rPr>
          <w:rFonts w:ascii="Garamond" w:hAnsi="Garamond"/>
          <w:i/>
          <w:iCs/>
        </w:rPr>
        <w:t>Workplaces</w:t>
      </w:r>
      <w:proofErr w:type="spellEnd"/>
      <w:r w:rsidRPr="00D936E9">
        <w:rPr>
          <w:rFonts w:ascii="Garamond" w:hAnsi="Garamond"/>
          <w:i/>
          <w:iCs/>
        </w:rPr>
        <w:t xml:space="preserve"> and </w:t>
      </w:r>
      <w:proofErr w:type="spellStart"/>
      <w:r w:rsidRPr="00D936E9">
        <w:rPr>
          <w:rFonts w:ascii="Garamond" w:hAnsi="Garamond"/>
          <w:i/>
          <w:iCs/>
        </w:rPr>
        <w:t>Unions</w:t>
      </w:r>
      <w:proofErr w:type="spellEnd"/>
      <w:r w:rsidRPr="00D936E9">
        <w:rPr>
          <w:rFonts w:ascii="Garamond" w:hAnsi="Garamond"/>
          <w:i/>
          <w:iCs/>
        </w:rPr>
        <w:t xml:space="preserve"> </w:t>
      </w:r>
      <w:proofErr w:type="spellStart"/>
      <w:r w:rsidRPr="00D936E9">
        <w:rPr>
          <w:rFonts w:ascii="Garamond" w:hAnsi="Garamond"/>
          <w:i/>
          <w:iCs/>
        </w:rPr>
        <w:t>Without</w:t>
      </w:r>
      <w:proofErr w:type="spellEnd"/>
      <w:r w:rsidRPr="00D936E9">
        <w:rPr>
          <w:rFonts w:ascii="Garamond" w:hAnsi="Garamond"/>
          <w:i/>
          <w:iCs/>
        </w:rPr>
        <w:t xml:space="preserve"> </w:t>
      </w:r>
      <w:proofErr w:type="spellStart"/>
      <w:r w:rsidRPr="00D936E9">
        <w:rPr>
          <w:rFonts w:ascii="Garamond" w:hAnsi="Garamond"/>
          <w:i/>
          <w:iCs/>
        </w:rPr>
        <w:t>Unity</w:t>
      </w:r>
      <w:proofErr w:type="spellEnd"/>
      <w:r w:rsidRPr="00D936E9">
        <w:rPr>
          <w:rFonts w:ascii="Garamond" w:hAnsi="Garamond"/>
          <w:i/>
          <w:iCs/>
        </w:rPr>
        <w:t xml:space="preserve">: Non-Standard Forms of </w:t>
      </w:r>
      <w:proofErr w:type="spellStart"/>
      <w:r w:rsidRPr="00D936E9">
        <w:rPr>
          <w:rFonts w:ascii="Garamond" w:hAnsi="Garamond"/>
          <w:i/>
          <w:iCs/>
        </w:rPr>
        <w:t>Employment</w:t>
      </w:r>
      <w:proofErr w:type="spellEnd"/>
      <w:r w:rsidRPr="00D936E9">
        <w:rPr>
          <w:rFonts w:ascii="Garamond" w:hAnsi="Garamond"/>
          <w:i/>
          <w:iCs/>
        </w:rPr>
        <w:t xml:space="preserve">, Platform Work and </w:t>
      </w:r>
      <w:proofErr w:type="spellStart"/>
      <w:r w:rsidRPr="00D936E9">
        <w:rPr>
          <w:rFonts w:ascii="Garamond" w:hAnsi="Garamond"/>
          <w:i/>
          <w:iCs/>
        </w:rPr>
        <w:t>Collective</w:t>
      </w:r>
      <w:proofErr w:type="spellEnd"/>
      <w:r w:rsidRPr="00D936E9">
        <w:rPr>
          <w:rFonts w:ascii="Garamond" w:hAnsi="Garamond"/>
          <w:i/>
          <w:iCs/>
        </w:rPr>
        <w:t xml:space="preserve"> </w:t>
      </w:r>
      <w:proofErr w:type="spellStart"/>
      <w:r w:rsidRPr="00D936E9">
        <w:rPr>
          <w:rFonts w:ascii="Garamond" w:hAnsi="Garamond"/>
          <w:i/>
          <w:iCs/>
        </w:rPr>
        <w:t>Bargaining</w:t>
      </w:r>
      <w:proofErr w:type="spellEnd"/>
      <w:r w:rsidRPr="00D936E9">
        <w:rPr>
          <w:rFonts w:ascii="Garamond" w:hAnsi="Garamond"/>
        </w:rPr>
        <w:t xml:space="preserve">, in V. PULIGNANO e F. HENDRICKX, </w:t>
      </w:r>
      <w:proofErr w:type="spellStart"/>
      <w:r w:rsidRPr="00D936E9">
        <w:rPr>
          <w:rFonts w:ascii="Garamond" w:hAnsi="Garamond"/>
          <w:i/>
          <w:iCs/>
        </w:rPr>
        <w:t>Employment</w:t>
      </w:r>
      <w:proofErr w:type="spellEnd"/>
      <w:r w:rsidRPr="00D936E9">
        <w:rPr>
          <w:rFonts w:ascii="Garamond" w:hAnsi="Garamond"/>
          <w:i/>
          <w:iCs/>
        </w:rPr>
        <w:t xml:space="preserve"> Relations for the 21st Century</w:t>
      </w:r>
      <w:r w:rsidRPr="00D936E9">
        <w:rPr>
          <w:rFonts w:ascii="Garamond" w:hAnsi="Garamond"/>
        </w:rPr>
        <w:t xml:space="preserve">, </w:t>
      </w:r>
      <w:proofErr w:type="spellStart"/>
      <w:r w:rsidRPr="00D936E9">
        <w:rPr>
          <w:rFonts w:ascii="Garamond" w:hAnsi="Garamond"/>
          <w:i/>
          <w:iCs/>
        </w:rPr>
        <w:t>Bulletin</w:t>
      </w:r>
      <w:proofErr w:type="spellEnd"/>
      <w:r w:rsidRPr="00D936E9">
        <w:rPr>
          <w:rFonts w:ascii="Garamond" w:hAnsi="Garamond"/>
          <w:i/>
          <w:iCs/>
        </w:rPr>
        <w:t xml:space="preserve"> of Comparative Labour Relations</w:t>
      </w:r>
      <w:r w:rsidRPr="00D936E9">
        <w:rPr>
          <w:rFonts w:ascii="Garamond" w:hAnsi="Garamond"/>
        </w:rPr>
        <w:t>, 2019, 107.</w:t>
      </w:r>
    </w:p>
  </w:footnote>
  <w:footnote w:id="69">
    <w:p w14:paraId="0D084845" w14:textId="637BC9F9" w:rsidR="00EE7D06" w:rsidRPr="00D936E9" w:rsidRDefault="00EE7D06" w:rsidP="00EE7D06">
      <w:pPr>
        <w:pStyle w:val="Testonotaapidipagina"/>
        <w:jc w:val="both"/>
        <w:rPr>
          <w:rFonts w:ascii="Garamond" w:hAnsi="Garamond"/>
        </w:rPr>
      </w:pPr>
      <w:r w:rsidRPr="00D936E9">
        <w:rPr>
          <w:rStyle w:val="Rimandonotaapidipagina"/>
          <w:rFonts w:ascii="Garamond" w:hAnsi="Garamond"/>
        </w:rPr>
        <w:footnoteRef/>
      </w:r>
      <w:r w:rsidRPr="00D936E9">
        <w:rPr>
          <w:rFonts w:ascii="Garamond" w:hAnsi="Garamond"/>
        </w:rPr>
        <w:t xml:space="preserve"> A. DONINI, </w:t>
      </w:r>
      <w:r w:rsidRPr="00D936E9">
        <w:rPr>
          <w:rFonts w:ascii="Garamond" w:hAnsi="Garamond"/>
          <w:i/>
          <w:iCs/>
        </w:rPr>
        <w:t>Il luogo per l’esercizio dei diritti sindacali: l’unità produttiva nell’impresa frammentata</w:t>
      </w:r>
      <w:r w:rsidRPr="00D936E9">
        <w:rPr>
          <w:rFonts w:ascii="Garamond" w:hAnsi="Garamond"/>
        </w:rPr>
        <w:t xml:space="preserve">, in </w:t>
      </w:r>
      <w:proofErr w:type="spellStart"/>
      <w:r w:rsidRPr="00D936E9">
        <w:rPr>
          <w:rFonts w:ascii="Garamond" w:hAnsi="Garamond"/>
          <w:i/>
          <w:iCs/>
        </w:rPr>
        <w:t>Labour&amp;Law</w:t>
      </w:r>
      <w:proofErr w:type="spellEnd"/>
      <w:r w:rsidRPr="00D936E9">
        <w:rPr>
          <w:rFonts w:ascii="Garamond" w:hAnsi="Garamond"/>
          <w:i/>
          <w:iCs/>
        </w:rPr>
        <w:t xml:space="preserve"> Issues</w:t>
      </w:r>
      <w:r w:rsidRPr="00D936E9">
        <w:rPr>
          <w:rFonts w:ascii="Garamond" w:hAnsi="Garamond"/>
        </w:rPr>
        <w:t>, 2019, 5, 2, pp. 100 ss.</w:t>
      </w:r>
    </w:p>
  </w:footnote>
  <w:footnote w:id="70">
    <w:p w14:paraId="2F6C003E" w14:textId="77777777" w:rsidR="00A94ED9" w:rsidRPr="00D936E9" w:rsidRDefault="00A94ED9" w:rsidP="00DF5CCF">
      <w:pPr>
        <w:pStyle w:val="Testonotaapidipagina"/>
        <w:jc w:val="both"/>
        <w:rPr>
          <w:rFonts w:ascii="Garamond" w:hAnsi="Garamond"/>
        </w:rPr>
      </w:pPr>
      <w:r w:rsidRPr="00D936E9">
        <w:rPr>
          <w:rStyle w:val="Rimandonotaapidipagina"/>
          <w:rFonts w:ascii="Garamond" w:hAnsi="Garamond"/>
        </w:rPr>
        <w:footnoteRef/>
      </w:r>
      <w:r w:rsidRPr="00D936E9">
        <w:rPr>
          <w:rFonts w:ascii="Garamond" w:hAnsi="Garamond"/>
        </w:rPr>
        <w:t xml:space="preserve"> Regolamento (CE) N. 593/2008 del Parlamento Europeo e del Consiglio del 17 giugno 2008 sulla legge applicabile alle obbligazioni contrattuali (Roma I).</w:t>
      </w:r>
    </w:p>
  </w:footnote>
  <w:footnote w:id="71">
    <w:p w14:paraId="5D520CFC" w14:textId="77777777" w:rsidR="00A94ED9" w:rsidRPr="00D936E9" w:rsidRDefault="00A94ED9" w:rsidP="00DF5CCF">
      <w:pPr>
        <w:pStyle w:val="Testonotaapidipagina"/>
        <w:jc w:val="both"/>
        <w:rPr>
          <w:rFonts w:ascii="Garamond" w:hAnsi="Garamond"/>
        </w:rPr>
      </w:pPr>
      <w:r w:rsidRPr="00D936E9">
        <w:rPr>
          <w:rStyle w:val="Rimandonotaapidipagina"/>
          <w:rFonts w:ascii="Garamond" w:hAnsi="Garamond"/>
        </w:rPr>
        <w:footnoteRef/>
      </w:r>
      <w:r w:rsidRPr="00D936E9">
        <w:rPr>
          <w:rFonts w:ascii="Garamond" w:hAnsi="Garamond"/>
        </w:rPr>
        <w:t xml:space="preserve"> Direttiva (UE) 2019/1152 del Parlamento europeo e del Consiglio, del 20 giugno 2019, relativa a condizioni di lavoro trasparenti e prevedibili nell’Unione europea.</w:t>
      </w:r>
    </w:p>
  </w:footnote>
  <w:footnote w:id="72">
    <w:p w14:paraId="2FC8FDCF" w14:textId="77777777" w:rsidR="00A94ED9" w:rsidRPr="00D936E9" w:rsidRDefault="00A94ED9" w:rsidP="00DF5CCF">
      <w:pPr>
        <w:pStyle w:val="Testonotaapidipagina"/>
        <w:jc w:val="both"/>
        <w:rPr>
          <w:rFonts w:ascii="Garamond" w:hAnsi="Garamond"/>
          <w:lang w:val="en-US"/>
        </w:rPr>
      </w:pPr>
      <w:r w:rsidRPr="00D936E9">
        <w:rPr>
          <w:rStyle w:val="Rimandonotaapidipagina"/>
          <w:rFonts w:ascii="Garamond" w:hAnsi="Garamond"/>
        </w:rPr>
        <w:footnoteRef/>
      </w:r>
      <w:r w:rsidRPr="00D936E9">
        <w:rPr>
          <w:rFonts w:ascii="Garamond" w:hAnsi="Garamond"/>
          <w:lang w:val="en-US"/>
        </w:rPr>
        <w:t xml:space="preserve"> </w:t>
      </w:r>
      <w:proofErr w:type="spellStart"/>
      <w:r w:rsidRPr="00D936E9">
        <w:rPr>
          <w:rFonts w:ascii="Garamond" w:hAnsi="Garamond"/>
          <w:lang w:val="en-US"/>
        </w:rPr>
        <w:t>Nell’accordo</w:t>
      </w:r>
      <w:proofErr w:type="spellEnd"/>
      <w:r w:rsidRPr="00D936E9">
        <w:rPr>
          <w:rFonts w:ascii="Garamond" w:hAnsi="Garamond"/>
          <w:lang w:val="en-US"/>
        </w:rPr>
        <w:t xml:space="preserve"> </w:t>
      </w:r>
      <w:proofErr w:type="spellStart"/>
      <w:r w:rsidRPr="00D936E9">
        <w:rPr>
          <w:rFonts w:ascii="Garamond" w:hAnsi="Garamond"/>
          <w:lang w:val="en-US"/>
        </w:rPr>
        <w:t>si</w:t>
      </w:r>
      <w:proofErr w:type="spellEnd"/>
      <w:r w:rsidRPr="00D936E9">
        <w:rPr>
          <w:rFonts w:ascii="Garamond" w:hAnsi="Garamond"/>
          <w:lang w:val="en-US"/>
        </w:rPr>
        <w:t xml:space="preserve"> </w:t>
      </w:r>
      <w:proofErr w:type="spellStart"/>
      <w:r w:rsidRPr="00D936E9">
        <w:rPr>
          <w:rFonts w:ascii="Garamond" w:hAnsi="Garamond"/>
          <w:lang w:val="en-US"/>
        </w:rPr>
        <w:t>legge</w:t>
      </w:r>
      <w:proofErr w:type="spellEnd"/>
      <w:r w:rsidRPr="00D936E9">
        <w:rPr>
          <w:rFonts w:ascii="Garamond" w:hAnsi="Garamond"/>
          <w:lang w:val="en-US"/>
        </w:rPr>
        <w:t xml:space="preserve"> </w:t>
      </w:r>
      <w:proofErr w:type="spellStart"/>
      <w:r w:rsidRPr="00D936E9">
        <w:rPr>
          <w:rFonts w:ascii="Garamond" w:hAnsi="Garamond"/>
          <w:lang w:val="en-US"/>
        </w:rPr>
        <w:t>l’intento</w:t>
      </w:r>
      <w:proofErr w:type="spellEnd"/>
      <w:r w:rsidRPr="00D936E9">
        <w:rPr>
          <w:rFonts w:ascii="Garamond" w:hAnsi="Garamond"/>
          <w:lang w:val="en-US"/>
        </w:rPr>
        <w:t xml:space="preserve"> di «</w:t>
      </w:r>
      <w:r w:rsidRPr="00D936E9">
        <w:rPr>
          <w:rFonts w:ascii="Garamond" w:hAnsi="Garamond"/>
          <w:i/>
          <w:iCs/>
          <w:lang w:val="en-US"/>
        </w:rPr>
        <w:t>Encourage a partnership approach between employers, workers and their representatives</w:t>
      </w:r>
      <w:r w:rsidRPr="00D936E9">
        <w:rPr>
          <w:rFonts w:ascii="Garamond" w:hAnsi="Garamond"/>
          <w:lang w:val="en-US"/>
        </w:rPr>
        <w:t>».</w:t>
      </w:r>
    </w:p>
  </w:footnote>
  <w:footnote w:id="73">
    <w:p w14:paraId="4CBDB502" w14:textId="77777777" w:rsidR="00A94ED9" w:rsidRPr="00D936E9" w:rsidRDefault="00A94ED9" w:rsidP="00DF5CCF">
      <w:pPr>
        <w:pStyle w:val="Testonotaapidipagina"/>
        <w:jc w:val="both"/>
        <w:rPr>
          <w:rFonts w:ascii="Garamond" w:hAnsi="Garamond"/>
          <w:lang w:val="en-US"/>
        </w:rPr>
      </w:pPr>
      <w:r w:rsidRPr="00D936E9">
        <w:rPr>
          <w:rStyle w:val="Rimandonotaapidipagina"/>
          <w:rFonts w:ascii="Garamond" w:hAnsi="Garamond"/>
        </w:rPr>
        <w:footnoteRef/>
      </w:r>
      <w:r w:rsidRPr="00D936E9">
        <w:rPr>
          <w:rFonts w:ascii="Garamond" w:hAnsi="Garamond"/>
          <w:lang w:val="en-US"/>
        </w:rPr>
        <w:t xml:space="preserve"> Si </w:t>
      </w:r>
      <w:proofErr w:type="spellStart"/>
      <w:r w:rsidRPr="00D936E9">
        <w:rPr>
          <w:rFonts w:ascii="Garamond" w:hAnsi="Garamond"/>
          <w:lang w:val="en-US"/>
        </w:rPr>
        <w:t>auspica</w:t>
      </w:r>
      <w:proofErr w:type="spellEnd"/>
      <w:r w:rsidRPr="00D936E9">
        <w:rPr>
          <w:rFonts w:ascii="Garamond" w:hAnsi="Garamond"/>
          <w:lang w:val="en-US"/>
        </w:rPr>
        <w:t xml:space="preserve"> un </w:t>
      </w:r>
      <w:proofErr w:type="spellStart"/>
      <w:r w:rsidRPr="00D936E9">
        <w:rPr>
          <w:rFonts w:ascii="Garamond" w:hAnsi="Garamond"/>
          <w:lang w:val="en-US"/>
        </w:rPr>
        <w:t>approccio</w:t>
      </w:r>
      <w:proofErr w:type="spellEnd"/>
      <w:r w:rsidRPr="00D936E9">
        <w:rPr>
          <w:rFonts w:ascii="Garamond" w:hAnsi="Garamond"/>
          <w:lang w:val="en-US"/>
        </w:rPr>
        <w:t xml:space="preserve"> </w:t>
      </w:r>
      <w:proofErr w:type="spellStart"/>
      <w:r w:rsidRPr="00D936E9">
        <w:rPr>
          <w:rFonts w:ascii="Garamond" w:hAnsi="Garamond"/>
          <w:lang w:val="en-US"/>
        </w:rPr>
        <w:t>circolare</w:t>
      </w:r>
      <w:proofErr w:type="spellEnd"/>
      <w:r w:rsidRPr="00D936E9">
        <w:rPr>
          <w:rFonts w:ascii="Garamond" w:hAnsi="Garamond"/>
          <w:lang w:val="en-US"/>
        </w:rPr>
        <w:t>, in cui «</w:t>
      </w:r>
      <w:r w:rsidRPr="00D936E9">
        <w:rPr>
          <w:rFonts w:ascii="Garamond" w:hAnsi="Garamond"/>
          <w:i/>
          <w:iCs/>
          <w:lang w:val="en-US"/>
        </w:rPr>
        <w:t>For a better understanding of the process, the concepts used in it have the following broadly accepted connotations: work conditions</w:t>
      </w:r>
      <w:r w:rsidRPr="00D936E9">
        <w:rPr>
          <w:rFonts w:ascii="Garamond" w:hAnsi="Garamond"/>
          <w:lang w:val="en-US"/>
        </w:rPr>
        <w:t xml:space="preserve"> […] </w:t>
      </w:r>
      <w:r w:rsidRPr="00D936E9">
        <w:rPr>
          <w:rFonts w:ascii="Garamond" w:hAnsi="Garamond"/>
          <w:i/>
          <w:iCs/>
          <w:lang w:val="en-US"/>
        </w:rPr>
        <w:t>work content and skills</w:t>
      </w:r>
      <w:r w:rsidRPr="00D936E9">
        <w:rPr>
          <w:rFonts w:ascii="Garamond" w:hAnsi="Garamond"/>
          <w:lang w:val="en-US"/>
        </w:rPr>
        <w:t xml:space="preserve"> […] </w:t>
      </w:r>
      <w:r w:rsidRPr="00D936E9">
        <w:rPr>
          <w:rFonts w:ascii="Garamond" w:hAnsi="Garamond"/>
          <w:i/>
          <w:iCs/>
          <w:lang w:val="en-US"/>
        </w:rPr>
        <w:t>working conditions</w:t>
      </w:r>
      <w:r w:rsidRPr="00D936E9">
        <w:rPr>
          <w:rFonts w:ascii="Garamond" w:hAnsi="Garamond"/>
          <w:lang w:val="en-US"/>
        </w:rPr>
        <w:t xml:space="preserve"> […] </w:t>
      </w:r>
      <w:r w:rsidRPr="00D936E9">
        <w:rPr>
          <w:rFonts w:ascii="Garamond" w:hAnsi="Garamond"/>
          <w:i/>
          <w:iCs/>
          <w:lang w:val="en-US"/>
        </w:rPr>
        <w:t>work relations</w:t>
      </w:r>
      <w:r w:rsidRPr="00D936E9">
        <w:rPr>
          <w:rFonts w:ascii="Garamond" w:hAnsi="Garamond"/>
          <w:lang w:val="en-US"/>
        </w:rPr>
        <w:t>».</w:t>
      </w:r>
    </w:p>
  </w:footnote>
  <w:footnote w:id="74">
    <w:p w14:paraId="24D5DA28" w14:textId="77777777" w:rsidR="00A94ED9" w:rsidRPr="00D936E9" w:rsidRDefault="00A94ED9" w:rsidP="00DF5CCF">
      <w:pPr>
        <w:pStyle w:val="Testonotaapidipagina"/>
        <w:jc w:val="both"/>
        <w:rPr>
          <w:rFonts w:ascii="Garamond" w:hAnsi="Garamond"/>
        </w:rPr>
      </w:pPr>
      <w:r w:rsidRPr="00D936E9">
        <w:rPr>
          <w:rStyle w:val="Rimandonotaapidipagina"/>
          <w:rFonts w:ascii="Garamond" w:hAnsi="Garamond"/>
        </w:rPr>
        <w:footnoteRef/>
      </w:r>
      <w:r w:rsidRPr="00D936E9">
        <w:rPr>
          <w:rFonts w:ascii="Garamond" w:hAnsi="Garamond"/>
        </w:rPr>
        <w:t xml:space="preserve"> Cass. 21 luglio 2000, n. 9636.</w:t>
      </w:r>
    </w:p>
  </w:footnote>
  <w:footnote w:id="75">
    <w:p w14:paraId="3B1EEE7F" w14:textId="77777777" w:rsidR="00A94ED9" w:rsidRPr="00D936E9" w:rsidRDefault="00A94ED9" w:rsidP="00DF5CCF">
      <w:pPr>
        <w:pStyle w:val="Testonotaapidipagina"/>
        <w:jc w:val="both"/>
        <w:rPr>
          <w:rFonts w:ascii="Garamond" w:hAnsi="Garamond"/>
        </w:rPr>
      </w:pPr>
      <w:r w:rsidRPr="00D936E9">
        <w:rPr>
          <w:rStyle w:val="Rimandonotaapidipagina"/>
          <w:rFonts w:ascii="Garamond" w:hAnsi="Garamond"/>
        </w:rPr>
        <w:footnoteRef/>
      </w:r>
      <w:r w:rsidRPr="00D936E9">
        <w:rPr>
          <w:rFonts w:ascii="Garamond" w:hAnsi="Garamond"/>
        </w:rPr>
        <w:t xml:space="preserve"> Cass. 22 luglio 2016, n. 15211.</w:t>
      </w:r>
    </w:p>
  </w:footnote>
  <w:footnote w:id="76">
    <w:p w14:paraId="2CB0604B" w14:textId="01C1A03D" w:rsidR="00A94ED9" w:rsidRPr="00D936E9" w:rsidRDefault="00A94ED9" w:rsidP="00DF5CCF">
      <w:pPr>
        <w:pStyle w:val="Testonotaapidipagina"/>
        <w:jc w:val="both"/>
        <w:rPr>
          <w:rFonts w:ascii="Garamond" w:hAnsi="Garamond"/>
        </w:rPr>
      </w:pPr>
      <w:r w:rsidRPr="00D936E9">
        <w:rPr>
          <w:rStyle w:val="Rimandonotaapidipagina"/>
          <w:rFonts w:ascii="Garamond" w:hAnsi="Garamond"/>
        </w:rPr>
        <w:footnoteRef/>
      </w:r>
      <w:r w:rsidRPr="00D936E9">
        <w:rPr>
          <w:rFonts w:ascii="Garamond" w:hAnsi="Garamond"/>
        </w:rPr>
        <w:t xml:space="preserve"> Tra i precedenti nazionali cfr. soprattutto Cass. 23 luglio 2002, n. 10761; tra quelli </w:t>
      </w:r>
      <w:r w:rsidR="00396D90" w:rsidRPr="00D936E9">
        <w:rPr>
          <w:rFonts w:ascii="Garamond" w:hAnsi="Garamond"/>
        </w:rPr>
        <w:t xml:space="preserve">europei </w:t>
      </w:r>
      <w:r w:rsidRPr="00D936E9">
        <w:rPr>
          <w:rFonts w:ascii="Garamond" w:hAnsi="Garamond"/>
        </w:rPr>
        <w:t xml:space="preserve">cfr. la fondamentale C. </w:t>
      </w:r>
      <w:proofErr w:type="spellStart"/>
      <w:r w:rsidRPr="00D936E9">
        <w:rPr>
          <w:rFonts w:ascii="Garamond" w:hAnsi="Garamond"/>
        </w:rPr>
        <w:t>Giust</w:t>
      </w:r>
      <w:proofErr w:type="spellEnd"/>
      <w:r w:rsidRPr="00D936E9">
        <w:rPr>
          <w:rFonts w:ascii="Garamond" w:hAnsi="Garamond"/>
        </w:rPr>
        <w:t xml:space="preserve">. 11 marzo 1997, causa n. 13/95, </w:t>
      </w:r>
      <w:proofErr w:type="spellStart"/>
      <w:r w:rsidRPr="00D936E9">
        <w:rPr>
          <w:rFonts w:ascii="Garamond" w:hAnsi="Garamond"/>
        </w:rPr>
        <w:t>Ayse</w:t>
      </w:r>
      <w:proofErr w:type="spellEnd"/>
      <w:r w:rsidRPr="00D936E9">
        <w:rPr>
          <w:rFonts w:ascii="Garamond" w:hAnsi="Garamond"/>
        </w:rPr>
        <w:t xml:space="preserve"> </w:t>
      </w:r>
      <w:proofErr w:type="spellStart"/>
      <w:r w:rsidRPr="00D936E9">
        <w:rPr>
          <w:rFonts w:ascii="Garamond" w:hAnsi="Garamond"/>
        </w:rPr>
        <w:t>Suzen</w:t>
      </w:r>
      <w:proofErr w:type="spellEnd"/>
      <w:r w:rsidRPr="00D936E9">
        <w:rPr>
          <w:rFonts w:ascii="Garamond" w:hAnsi="Garamond"/>
        </w:rPr>
        <w:t xml:space="preserve"> c. </w:t>
      </w:r>
      <w:proofErr w:type="spellStart"/>
      <w:r w:rsidRPr="00D936E9">
        <w:rPr>
          <w:rFonts w:ascii="Garamond" w:hAnsi="Garamond"/>
        </w:rPr>
        <w:t>Zehnacker</w:t>
      </w:r>
      <w:proofErr w:type="spellEnd"/>
      <w:r w:rsidRPr="00D936E9">
        <w:rPr>
          <w:rFonts w:ascii="Garamond" w:hAnsi="Garamond"/>
        </w:rPr>
        <w:t xml:space="preserve"> </w:t>
      </w:r>
      <w:proofErr w:type="spellStart"/>
      <w:r w:rsidRPr="00D936E9">
        <w:rPr>
          <w:rFonts w:ascii="Garamond" w:hAnsi="Garamond"/>
        </w:rPr>
        <w:t>Gebaudeneingigung</w:t>
      </w:r>
      <w:proofErr w:type="spellEnd"/>
      <w:r w:rsidRPr="00D936E9">
        <w:rPr>
          <w:rFonts w:ascii="Garamond" w:hAnsi="Garamond"/>
        </w:rPr>
        <w:t xml:space="preserve"> GmbH </w:t>
      </w:r>
      <w:proofErr w:type="spellStart"/>
      <w:r w:rsidRPr="00D936E9">
        <w:rPr>
          <w:rFonts w:ascii="Garamond" w:hAnsi="Garamond"/>
        </w:rPr>
        <w:t>Krankenhausservice</w:t>
      </w:r>
      <w:proofErr w:type="spellEnd"/>
      <w:r w:rsidRPr="00D936E9">
        <w:rPr>
          <w:rFonts w:ascii="Garamond" w:hAnsi="Garamond"/>
        </w:rPr>
        <w:t>.</w:t>
      </w:r>
    </w:p>
  </w:footnote>
  <w:footnote w:id="77">
    <w:p w14:paraId="056AF524" w14:textId="6AEAFA56" w:rsidR="00A94ED9" w:rsidRPr="00D936E9" w:rsidRDefault="00A94ED9" w:rsidP="00DF5CCF">
      <w:pPr>
        <w:pStyle w:val="Testonotaapidipagina"/>
        <w:jc w:val="both"/>
        <w:rPr>
          <w:rFonts w:ascii="Garamond" w:hAnsi="Garamond"/>
        </w:rPr>
      </w:pPr>
      <w:r w:rsidRPr="00D936E9">
        <w:rPr>
          <w:rStyle w:val="Rimandonotaapidipagina"/>
          <w:rFonts w:ascii="Garamond" w:hAnsi="Garamond"/>
        </w:rPr>
        <w:footnoteRef/>
      </w:r>
      <w:r w:rsidRPr="00D936E9">
        <w:rPr>
          <w:rFonts w:ascii="Garamond" w:hAnsi="Garamond"/>
        </w:rPr>
        <w:t xml:space="preserve"> Così G. </w:t>
      </w:r>
      <w:r w:rsidR="00396D90" w:rsidRPr="00D936E9">
        <w:rPr>
          <w:rFonts w:ascii="Garamond" w:hAnsi="Garamond"/>
        </w:rPr>
        <w:t>SUPPIEJ</w:t>
      </w:r>
      <w:r w:rsidRPr="00D936E9">
        <w:rPr>
          <w:rFonts w:ascii="Garamond" w:hAnsi="Garamond"/>
        </w:rPr>
        <w:t xml:space="preserve">, M. </w:t>
      </w:r>
      <w:r w:rsidR="00396D90" w:rsidRPr="00D936E9">
        <w:rPr>
          <w:rFonts w:ascii="Garamond" w:hAnsi="Garamond"/>
        </w:rPr>
        <w:t>DE CRISTOFARO</w:t>
      </w:r>
      <w:r w:rsidRPr="00D936E9">
        <w:rPr>
          <w:rFonts w:ascii="Garamond" w:hAnsi="Garamond"/>
        </w:rPr>
        <w:t xml:space="preserve">, C. </w:t>
      </w:r>
      <w:r w:rsidR="00396D90" w:rsidRPr="00D936E9">
        <w:rPr>
          <w:rFonts w:ascii="Garamond" w:hAnsi="Garamond"/>
        </w:rPr>
        <w:t>CESTER</w:t>
      </w:r>
      <w:r w:rsidRPr="00D936E9">
        <w:rPr>
          <w:rFonts w:ascii="Garamond" w:hAnsi="Garamond"/>
        </w:rPr>
        <w:t xml:space="preserve">, </w:t>
      </w:r>
      <w:r w:rsidRPr="00D936E9">
        <w:rPr>
          <w:rFonts w:ascii="Garamond" w:hAnsi="Garamond"/>
          <w:i/>
          <w:iCs/>
        </w:rPr>
        <w:t>Diritto del lavoro. Il rapporto individuale</w:t>
      </w:r>
      <w:r w:rsidRPr="00D936E9">
        <w:rPr>
          <w:rFonts w:ascii="Garamond" w:hAnsi="Garamond"/>
        </w:rPr>
        <w:t xml:space="preserve">, Cedam, Padova, 1998, </w:t>
      </w:r>
      <w:r w:rsidR="00396D90" w:rsidRPr="00D936E9">
        <w:rPr>
          <w:rFonts w:ascii="Garamond" w:hAnsi="Garamond"/>
        </w:rPr>
        <w:t xml:space="preserve">p. </w:t>
      </w:r>
      <w:r w:rsidRPr="00D936E9">
        <w:rPr>
          <w:rFonts w:ascii="Garamond" w:hAnsi="Garamond"/>
        </w:rPr>
        <w:t>408</w:t>
      </w:r>
      <w:r w:rsidR="00396D90" w:rsidRPr="00D936E9">
        <w:rPr>
          <w:rFonts w:ascii="Garamond" w:hAnsi="Garamond"/>
        </w:rPr>
        <w:t>.</w:t>
      </w:r>
    </w:p>
  </w:footnote>
  <w:footnote w:id="78">
    <w:p w14:paraId="344416EB" w14:textId="4CD8669B" w:rsidR="008632C1" w:rsidRPr="00D936E9" w:rsidRDefault="008632C1" w:rsidP="00DF5CCF">
      <w:pPr>
        <w:pStyle w:val="Testonotaapidipagina"/>
        <w:jc w:val="both"/>
        <w:rPr>
          <w:rFonts w:ascii="Garamond" w:hAnsi="Garamond"/>
        </w:rPr>
      </w:pPr>
      <w:r w:rsidRPr="00D936E9">
        <w:rPr>
          <w:rStyle w:val="Rimandonotaapidipagina"/>
          <w:rFonts w:ascii="Garamond" w:hAnsi="Garamond"/>
        </w:rPr>
        <w:footnoteRef/>
      </w:r>
      <w:r w:rsidRPr="00D936E9">
        <w:rPr>
          <w:rFonts w:ascii="Garamond" w:hAnsi="Garamond"/>
        </w:rPr>
        <w:t xml:space="preserve"> Così recita la Parte seconda, sezione prima: «</w:t>
      </w:r>
      <w:r w:rsidRPr="00D936E9">
        <w:rPr>
          <w:rFonts w:ascii="Garamond" w:hAnsi="Garamond"/>
          <w:i/>
          <w:iCs/>
        </w:rPr>
        <w:t>Le parti contraenti il presente accordo concordano che in ogni singola unità produttiva con più di quindici dipendenti dovrà essere adottata una sola forma di rappresentanza</w:t>
      </w:r>
      <w:r w:rsidRPr="00D936E9">
        <w:rPr>
          <w:rFonts w:ascii="Garamond" w:hAnsi="Garamond"/>
        </w:rPr>
        <w:t>».</w:t>
      </w:r>
    </w:p>
  </w:footnote>
  <w:footnote w:id="79">
    <w:p w14:paraId="4C7C5662" w14:textId="77777777" w:rsidR="008632C1" w:rsidRPr="00D936E9" w:rsidRDefault="008632C1" w:rsidP="00DF5CCF">
      <w:pPr>
        <w:pStyle w:val="Testonotaapidipagina"/>
        <w:jc w:val="both"/>
        <w:rPr>
          <w:rFonts w:ascii="Garamond" w:hAnsi="Garamond"/>
          <w:i/>
          <w:iCs/>
        </w:rPr>
      </w:pPr>
      <w:r w:rsidRPr="00D936E9">
        <w:rPr>
          <w:rStyle w:val="Rimandonotaapidipagina"/>
          <w:rFonts w:ascii="Garamond" w:hAnsi="Garamond"/>
        </w:rPr>
        <w:footnoteRef/>
      </w:r>
      <w:r w:rsidRPr="00D936E9">
        <w:rPr>
          <w:rFonts w:ascii="Garamond" w:hAnsi="Garamond"/>
        </w:rPr>
        <w:t xml:space="preserve"> Così recita la Parte seconda, sezione seconda, art. 1: «</w:t>
      </w:r>
      <w:r w:rsidRPr="00D936E9">
        <w:rPr>
          <w:rFonts w:ascii="Garamond" w:hAnsi="Garamond"/>
          <w:i/>
          <w:iCs/>
        </w:rPr>
        <w:t xml:space="preserve">Rappresentanze sindacali unitarie possono essere costituite nelle unità produttive nelle quali il datore di lavoro occupi più di 15 dipendenti, ad iniziativa delle organizzazioni sindacali di categoria aderenti alle Confederazioni firmatarie dell’Accordo Interconfederale del 28 giugno 2011, del Protocollo 31 maggio 2013 e del presente accordo interconfederale. </w:t>
      </w:r>
    </w:p>
    <w:p w14:paraId="3EFC7ED4" w14:textId="65320F28" w:rsidR="008632C1" w:rsidRPr="00D936E9" w:rsidRDefault="008632C1" w:rsidP="00DF5CCF">
      <w:pPr>
        <w:pStyle w:val="Testonotaapidipagina"/>
        <w:jc w:val="both"/>
        <w:rPr>
          <w:rFonts w:ascii="Garamond" w:hAnsi="Garamond"/>
        </w:rPr>
      </w:pPr>
      <w:r w:rsidRPr="00D936E9">
        <w:rPr>
          <w:rFonts w:ascii="Garamond" w:hAnsi="Garamond"/>
          <w:i/>
          <w:iCs/>
        </w:rPr>
        <w:t>Ai fini del computo del numero dei dipendenti i lavoratori con contratto di lavoro a part-time saranno computati in misura proporzionale all’orario di lavoro contrattuale mentre i lavoratori con contratto a tempo determinato saranno computati in base al numero medio mensile di quelli impiegati negli ultimi due anni, sulla base dell’effettiva durata dei loro rapporti di lavoro</w:t>
      </w:r>
      <w:r w:rsidRPr="00D936E9">
        <w:rPr>
          <w:rFonts w:ascii="Garamond" w:hAnsi="Garamond"/>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C678BA"/>
    <w:multiLevelType w:val="hybridMultilevel"/>
    <w:tmpl w:val="2B920C9C"/>
    <w:lvl w:ilvl="0" w:tplc="211A5396">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12E4688D"/>
    <w:multiLevelType w:val="multilevel"/>
    <w:tmpl w:val="4AF85D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83F4CFF"/>
    <w:multiLevelType w:val="hybridMultilevel"/>
    <w:tmpl w:val="F0D0DCAC"/>
    <w:lvl w:ilvl="0" w:tplc="6382E8F0">
      <w:start w:val="1"/>
      <w:numFmt w:val="lowerLetter"/>
      <w:lvlText w:val="%1)"/>
      <w:lvlJc w:val="left"/>
      <w:pPr>
        <w:ind w:left="1068" w:hanging="360"/>
      </w:pPr>
      <w:rPr>
        <w:rFonts w:hint="default"/>
      </w:rPr>
    </w:lvl>
    <w:lvl w:ilvl="1" w:tplc="04100019" w:tentative="1">
      <w:start w:val="1"/>
      <w:numFmt w:val="lowerLetter"/>
      <w:lvlText w:val="%2."/>
      <w:lvlJc w:val="left"/>
      <w:pPr>
        <w:ind w:left="1788" w:hanging="360"/>
      </w:pPr>
    </w:lvl>
    <w:lvl w:ilvl="2" w:tplc="0410001B" w:tentative="1">
      <w:start w:val="1"/>
      <w:numFmt w:val="lowerRoman"/>
      <w:lvlText w:val="%3."/>
      <w:lvlJc w:val="right"/>
      <w:pPr>
        <w:ind w:left="2508" w:hanging="180"/>
      </w:pPr>
    </w:lvl>
    <w:lvl w:ilvl="3" w:tplc="0410000F" w:tentative="1">
      <w:start w:val="1"/>
      <w:numFmt w:val="decimal"/>
      <w:lvlText w:val="%4."/>
      <w:lvlJc w:val="left"/>
      <w:pPr>
        <w:ind w:left="3228" w:hanging="360"/>
      </w:pPr>
    </w:lvl>
    <w:lvl w:ilvl="4" w:tplc="04100019" w:tentative="1">
      <w:start w:val="1"/>
      <w:numFmt w:val="lowerLetter"/>
      <w:lvlText w:val="%5."/>
      <w:lvlJc w:val="left"/>
      <w:pPr>
        <w:ind w:left="3948" w:hanging="360"/>
      </w:pPr>
    </w:lvl>
    <w:lvl w:ilvl="5" w:tplc="0410001B" w:tentative="1">
      <w:start w:val="1"/>
      <w:numFmt w:val="lowerRoman"/>
      <w:lvlText w:val="%6."/>
      <w:lvlJc w:val="right"/>
      <w:pPr>
        <w:ind w:left="4668" w:hanging="180"/>
      </w:pPr>
    </w:lvl>
    <w:lvl w:ilvl="6" w:tplc="0410000F" w:tentative="1">
      <w:start w:val="1"/>
      <w:numFmt w:val="decimal"/>
      <w:lvlText w:val="%7."/>
      <w:lvlJc w:val="left"/>
      <w:pPr>
        <w:ind w:left="5388" w:hanging="360"/>
      </w:pPr>
    </w:lvl>
    <w:lvl w:ilvl="7" w:tplc="04100019" w:tentative="1">
      <w:start w:val="1"/>
      <w:numFmt w:val="lowerLetter"/>
      <w:lvlText w:val="%8."/>
      <w:lvlJc w:val="left"/>
      <w:pPr>
        <w:ind w:left="6108" w:hanging="360"/>
      </w:pPr>
    </w:lvl>
    <w:lvl w:ilvl="8" w:tplc="0410001B" w:tentative="1">
      <w:start w:val="1"/>
      <w:numFmt w:val="lowerRoman"/>
      <w:lvlText w:val="%9."/>
      <w:lvlJc w:val="right"/>
      <w:pPr>
        <w:ind w:left="6828" w:hanging="180"/>
      </w:pPr>
    </w:lvl>
  </w:abstractNum>
  <w:abstractNum w:abstractNumId="3" w15:restartNumberingAfterBreak="0">
    <w:nsid w:val="1C9A6F35"/>
    <w:multiLevelType w:val="hybridMultilevel"/>
    <w:tmpl w:val="408CC9F8"/>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1591469"/>
    <w:multiLevelType w:val="multilevel"/>
    <w:tmpl w:val="4E94EA2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231A5068"/>
    <w:multiLevelType w:val="multilevel"/>
    <w:tmpl w:val="DB5AAE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54F7C95"/>
    <w:multiLevelType w:val="hybridMultilevel"/>
    <w:tmpl w:val="E5DE0288"/>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26067151"/>
    <w:multiLevelType w:val="hybridMultilevel"/>
    <w:tmpl w:val="471086DA"/>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2ACA4E00"/>
    <w:multiLevelType w:val="multilevel"/>
    <w:tmpl w:val="2A7AE3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D303825"/>
    <w:multiLevelType w:val="multilevel"/>
    <w:tmpl w:val="63423D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DF54E5C"/>
    <w:multiLevelType w:val="hybridMultilevel"/>
    <w:tmpl w:val="BD3429EA"/>
    <w:lvl w:ilvl="0" w:tplc="5EC628EE">
      <w:start w:val="1"/>
      <w:numFmt w:val="upperLetter"/>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11" w15:restartNumberingAfterBreak="0">
    <w:nsid w:val="35762A72"/>
    <w:multiLevelType w:val="hybridMultilevel"/>
    <w:tmpl w:val="00F63354"/>
    <w:lvl w:ilvl="0" w:tplc="3618C7D6">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38A67975"/>
    <w:multiLevelType w:val="multilevel"/>
    <w:tmpl w:val="A38A6C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EA32E9B"/>
    <w:multiLevelType w:val="multilevel"/>
    <w:tmpl w:val="7624B8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2DB0BAC"/>
    <w:multiLevelType w:val="multilevel"/>
    <w:tmpl w:val="0742C4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7DC7FCE"/>
    <w:multiLevelType w:val="hybridMultilevel"/>
    <w:tmpl w:val="408CC9F8"/>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6" w15:restartNumberingAfterBreak="0">
    <w:nsid w:val="48534F8F"/>
    <w:multiLevelType w:val="multilevel"/>
    <w:tmpl w:val="D22C74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B0969FC"/>
    <w:multiLevelType w:val="multilevel"/>
    <w:tmpl w:val="5E2C46C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4F94356E"/>
    <w:multiLevelType w:val="multilevel"/>
    <w:tmpl w:val="40F8E37C"/>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19" w15:restartNumberingAfterBreak="0">
    <w:nsid w:val="4FE71BE2"/>
    <w:multiLevelType w:val="hybridMultilevel"/>
    <w:tmpl w:val="408CC9F8"/>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0" w15:restartNumberingAfterBreak="0">
    <w:nsid w:val="579773AB"/>
    <w:multiLevelType w:val="hybridMultilevel"/>
    <w:tmpl w:val="1CF2D546"/>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1" w15:restartNumberingAfterBreak="0">
    <w:nsid w:val="594B4F1C"/>
    <w:multiLevelType w:val="multilevel"/>
    <w:tmpl w:val="478AEC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AE842B4"/>
    <w:multiLevelType w:val="hybridMultilevel"/>
    <w:tmpl w:val="72D2782A"/>
    <w:lvl w:ilvl="0" w:tplc="04100015">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3" w15:restartNumberingAfterBreak="0">
    <w:nsid w:val="62AB0074"/>
    <w:multiLevelType w:val="multilevel"/>
    <w:tmpl w:val="FFB699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6D396EAF"/>
    <w:multiLevelType w:val="hybridMultilevel"/>
    <w:tmpl w:val="A5F071EA"/>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5" w15:restartNumberingAfterBreak="0">
    <w:nsid w:val="750C31CA"/>
    <w:multiLevelType w:val="multilevel"/>
    <w:tmpl w:val="A73C57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2063022049">
    <w:abstractNumId w:val="0"/>
  </w:num>
  <w:num w:numId="2" w16cid:durableId="1980110673">
    <w:abstractNumId w:val="10"/>
  </w:num>
  <w:num w:numId="3" w16cid:durableId="644744261">
    <w:abstractNumId w:val="16"/>
  </w:num>
  <w:num w:numId="4" w16cid:durableId="1910118428">
    <w:abstractNumId w:val="21"/>
  </w:num>
  <w:num w:numId="5" w16cid:durableId="650519703">
    <w:abstractNumId w:val="17"/>
  </w:num>
  <w:num w:numId="6" w16cid:durableId="1557281773">
    <w:abstractNumId w:val="5"/>
  </w:num>
  <w:num w:numId="7" w16cid:durableId="556864525">
    <w:abstractNumId w:val="4"/>
  </w:num>
  <w:num w:numId="8" w16cid:durableId="1537278954">
    <w:abstractNumId w:val="9"/>
  </w:num>
  <w:num w:numId="9" w16cid:durableId="1508131538">
    <w:abstractNumId w:val="18"/>
  </w:num>
  <w:num w:numId="10" w16cid:durableId="1107500505">
    <w:abstractNumId w:val="12"/>
  </w:num>
  <w:num w:numId="11" w16cid:durableId="1371489758">
    <w:abstractNumId w:val="7"/>
  </w:num>
  <w:num w:numId="12" w16cid:durableId="455560872">
    <w:abstractNumId w:val="8"/>
  </w:num>
  <w:num w:numId="13" w16cid:durableId="1268001090">
    <w:abstractNumId w:val="20"/>
  </w:num>
  <w:num w:numId="14" w16cid:durableId="1961836314">
    <w:abstractNumId w:val="15"/>
  </w:num>
  <w:num w:numId="15" w16cid:durableId="249198889">
    <w:abstractNumId w:val="24"/>
  </w:num>
  <w:num w:numId="16" w16cid:durableId="1525288078">
    <w:abstractNumId w:val="3"/>
  </w:num>
  <w:num w:numId="17" w16cid:durableId="1756627150">
    <w:abstractNumId w:val="2"/>
  </w:num>
  <w:num w:numId="18" w16cid:durableId="2114550031">
    <w:abstractNumId w:val="14"/>
  </w:num>
  <w:num w:numId="19" w16cid:durableId="414279901">
    <w:abstractNumId w:val="23"/>
  </w:num>
  <w:num w:numId="20" w16cid:durableId="949705559">
    <w:abstractNumId w:val="13"/>
  </w:num>
  <w:num w:numId="21" w16cid:durableId="1549679982">
    <w:abstractNumId w:val="1"/>
  </w:num>
  <w:num w:numId="22" w16cid:durableId="1855463027">
    <w:abstractNumId w:val="25"/>
  </w:num>
  <w:num w:numId="23" w16cid:durableId="1719478234">
    <w:abstractNumId w:val="19"/>
  </w:num>
  <w:num w:numId="24" w16cid:durableId="132715626">
    <w:abstractNumId w:val="6"/>
  </w:num>
  <w:num w:numId="25" w16cid:durableId="1563638843">
    <w:abstractNumId w:val="22"/>
  </w:num>
  <w:num w:numId="26" w16cid:durableId="94099606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1773C"/>
    <w:rsid w:val="0000525E"/>
    <w:rsid w:val="000070C9"/>
    <w:rsid w:val="00011397"/>
    <w:rsid w:val="000125AC"/>
    <w:rsid w:val="0001455F"/>
    <w:rsid w:val="0001578D"/>
    <w:rsid w:val="00016010"/>
    <w:rsid w:val="00021707"/>
    <w:rsid w:val="000229AD"/>
    <w:rsid w:val="000260F5"/>
    <w:rsid w:val="00032529"/>
    <w:rsid w:val="00033D2F"/>
    <w:rsid w:val="00036622"/>
    <w:rsid w:val="00041B2F"/>
    <w:rsid w:val="00042A97"/>
    <w:rsid w:val="0004321F"/>
    <w:rsid w:val="00045B21"/>
    <w:rsid w:val="00052A42"/>
    <w:rsid w:val="000564DE"/>
    <w:rsid w:val="00056DA6"/>
    <w:rsid w:val="0006375A"/>
    <w:rsid w:val="00063EE7"/>
    <w:rsid w:val="000644C0"/>
    <w:rsid w:val="00071780"/>
    <w:rsid w:val="00074348"/>
    <w:rsid w:val="00076914"/>
    <w:rsid w:val="000769EB"/>
    <w:rsid w:val="0008219F"/>
    <w:rsid w:val="0008318B"/>
    <w:rsid w:val="00085D20"/>
    <w:rsid w:val="0008781C"/>
    <w:rsid w:val="00087B51"/>
    <w:rsid w:val="0009025B"/>
    <w:rsid w:val="000A774D"/>
    <w:rsid w:val="000B0043"/>
    <w:rsid w:val="000B487C"/>
    <w:rsid w:val="000B5053"/>
    <w:rsid w:val="000B58CD"/>
    <w:rsid w:val="000B5F0B"/>
    <w:rsid w:val="000B6726"/>
    <w:rsid w:val="000C37D5"/>
    <w:rsid w:val="000C3FB4"/>
    <w:rsid w:val="000D1DB0"/>
    <w:rsid w:val="000D654D"/>
    <w:rsid w:val="000D7422"/>
    <w:rsid w:val="000D7D08"/>
    <w:rsid w:val="000E1176"/>
    <w:rsid w:val="000E7F65"/>
    <w:rsid w:val="000F247A"/>
    <w:rsid w:val="000F2731"/>
    <w:rsid w:val="000F3CEB"/>
    <w:rsid w:val="000F4770"/>
    <w:rsid w:val="000F4C9F"/>
    <w:rsid w:val="00110489"/>
    <w:rsid w:val="001113D2"/>
    <w:rsid w:val="00111E08"/>
    <w:rsid w:val="00112ED0"/>
    <w:rsid w:val="00114328"/>
    <w:rsid w:val="0011454D"/>
    <w:rsid w:val="001170A1"/>
    <w:rsid w:val="00124FEB"/>
    <w:rsid w:val="00126359"/>
    <w:rsid w:val="00133FDB"/>
    <w:rsid w:val="00135141"/>
    <w:rsid w:val="00136047"/>
    <w:rsid w:val="00144AD6"/>
    <w:rsid w:val="0015025A"/>
    <w:rsid w:val="00152461"/>
    <w:rsid w:val="001547F7"/>
    <w:rsid w:val="00157A4C"/>
    <w:rsid w:val="00157DAE"/>
    <w:rsid w:val="00160AF7"/>
    <w:rsid w:val="0016272F"/>
    <w:rsid w:val="001656A4"/>
    <w:rsid w:val="0016608C"/>
    <w:rsid w:val="0017322B"/>
    <w:rsid w:val="001740F1"/>
    <w:rsid w:val="00183CB0"/>
    <w:rsid w:val="00192CB6"/>
    <w:rsid w:val="00194576"/>
    <w:rsid w:val="001954DB"/>
    <w:rsid w:val="0019667B"/>
    <w:rsid w:val="001977DC"/>
    <w:rsid w:val="001A1CBF"/>
    <w:rsid w:val="001A20D4"/>
    <w:rsid w:val="001A2261"/>
    <w:rsid w:val="001B077B"/>
    <w:rsid w:val="001B5389"/>
    <w:rsid w:val="001C00E4"/>
    <w:rsid w:val="001C1505"/>
    <w:rsid w:val="001C4AD5"/>
    <w:rsid w:val="001C4D14"/>
    <w:rsid w:val="001D07FA"/>
    <w:rsid w:val="001D202B"/>
    <w:rsid w:val="001D545B"/>
    <w:rsid w:val="001D64D7"/>
    <w:rsid w:val="001E1AA4"/>
    <w:rsid w:val="001E213B"/>
    <w:rsid w:val="001E2C36"/>
    <w:rsid w:val="001E2E63"/>
    <w:rsid w:val="001E36BF"/>
    <w:rsid w:val="001E3913"/>
    <w:rsid w:val="001E6C85"/>
    <w:rsid w:val="001F068F"/>
    <w:rsid w:val="001F3C83"/>
    <w:rsid w:val="001F490C"/>
    <w:rsid w:val="001F5C21"/>
    <w:rsid w:val="001F5EC6"/>
    <w:rsid w:val="001F707E"/>
    <w:rsid w:val="00201DA2"/>
    <w:rsid w:val="002028B8"/>
    <w:rsid w:val="0020368F"/>
    <w:rsid w:val="00204D24"/>
    <w:rsid w:val="002102BC"/>
    <w:rsid w:val="00211CE5"/>
    <w:rsid w:val="0021797D"/>
    <w:rsid w:val="0022053C"/>
    <w:rsid w:val="00223081"/>
    <w:rsid w:val="00226F32"/>
    <w:rsid w:val="00227AA3"/>
    <w:rsid w:val="00232F81"/>
    <w:rsid w:val="00233C52"/>
    <w:rsid w:val="00235BCF"/>
    <w:rsid w:val="00240804"/>
    <w:rsid w:val="0024460D"/>
    <w:rsid w:val="002450B8"/>
    <w:rsid w:val="00250EDE"/>
    <w:rsid w:val="002515FD"/>
    <w:rsid w:val="0025275A"/>
    <w:rsid w:val="00255B8E"/>
    <w:rsid w:val="002564BA"/>
    <w:rsid w:val="00256623"/>
    <w:rsid w:val="00262539"/>
    <w:rsid w:val="00266E69"/>
    <w:rsid w:val="00267FDC"/>
    <w:rsid w:val="00270F5C"/>
    <w:rsid w:val="00271A2D"/>
    <w:rsid w:val="002735E0"/>
    <w:rsid w:val="00275880"/>
    <w:rsid w:val="00281C0E"/>
    <w:rsid w:val="00281DE2"/>
    <w:rsid w:val="0029195C"/>
    <w:rsid w:val="00293316"/>
    <w:rsid w:val="00293C3B"/>
    <w:rsid w:val="002A4761"/>
    <w:rsid w:val="002A65C6"/>
    <w:rsid w:val="002A6F7E"/>
    <w:rsid w:val="002A748C"/>
    <w:rsid w:val="002B0AFD"/>
    <w:rsid w:val="002B30FF"/>
    <w:rsid w:val="002B4944"/>
    <w:rsid w:val="002B54B0"/>
    <w:rsid w:val="002C3ED0"/>
    <w:rsid w:val="002C4CC7"/>
    <w:rsid w:val="002C59A4"/>
    <w:rsid w:val="002C7D60"/>
    <w:rsid w:val="002D055F"/>
    <w:rsid w:val="002D1448"/>
    <w:rsid w:val="002D7D00"/>
    <w:rsid w:val="002E055E"/>
    <w:rsid w:val="002E49F3"/>
    <w:rsid w:val="002F0E82"/>
    <w:rsid w:val="002F1AA8"/>
    <w:rsid w:val="002F28E4"/>
    <w:rsid w:val="002F38E6"/>
    <w:rsid w:val="002F3A31"/>
    <w:rsid w:val="002F5F38"/>
    <w:rsid w:val="00301253"/>
    <w:rsid w:val="00301CCA"/>
    <w:rsid w:val="00310294"/>
    <w:rsid w:val="0031044C"/>
    <w:rsid w:val="0031420F"/>
    <w:rsid w:val="00317F78"/>
    <w:rsid w:val="00321902"/>
    <w:rsid w:val="003311F0"/>
    <w:rsid w:val="00331E5C"/>
    <w:rsid w:val="00332469"/>
    <w:rsid w:val="00334CA9"/>
    <w:rsid w:val="003359C8"/>
    <w:rsid w:val="003361F1"/>
    <w:rsid w:val="003370BD"/>
    <w:rsid w:val="003443D2"/>
    <w:rsid w:val="003466E4"/>
    <w:rsid w:val="00346D7C"/>
    <w:rsid w:val="003526E0"/>
    <w:rsid w:val="00356CAC"/>
    <w:rsid w:val="00357D24"/>
    <w:rsid w:val="0036217A"/>
    <w:rsid w:val="0036409C"/>
    <w:rsid w:val="0037365C"/>
    <w:rsid w:val="0037484E"/>
    <w:rsid w:val="00375D45"/>
    <w:rsid w:val="003769A2"/>
    <w:rsid w:val="0038176E"/>
    <w:rsid w:val="00396D90"/>
    <w:rsid w:val="00397370"/>
    <w:rsid w:val="003A024C"/>
    <w:rsid w:val="003A1803"/>
    <w:rsid w:val="003A53D4"/>
    <w:rsid w:val="003B57CB"/>
    <w:rsid w:val="003B631E"/>
    <w:rsid w:val="003B6998"/>
    <w:rsid w:val="003C24CC"/>
    <w:rsid w:val="003C43A4"/>
    <w:rsid w:val="003C552F"/>
    <w:rsid w:val="003D0E08"/>
    <w:rsid w:val="003D329B"/>
    <w:rsid w:val="003D3995"/>
    <w:rsid w:val="003D3EB7"/>
    <w:rsid w:val="003D5424"/>
    <w:rsid w:val="003D6CDB"/>
    <w:rsid w:val="003D6CEF"/>
    <w:rsid w:val="003E05B6"/>
    <w:rsid w:val="003E275E"/>
    <w:rsid w:val="003E73CF"/>
    <w:rsid w:val="003F1207"/>
    <w:rsid w:val="003F4C90"/>
    <w:rsid w:val="003F5A72"/>
    <w:rsid w:val="004013C3"/>
    <w:rsid w:val="0040149C"/>
    <w:rsid w:val="004017D9"/>
    <w:rsid w:val="00401B84"/>
    <w:rsid w:val="00402283"/>
    <w:rsid w:val="00403E53"/>
    <w:rsid w:val="00403F71"/>
    <w:rsid w:val="004364A9"/>
    <w:rsid w:val="00437406"/>
    <w:rsid w:val="00444E7B"/>
    <w:rsid w:val="00445F6A"/>
    <w:rsid w:val="00450FA5"/>
    <w:rsid w:val="0045323F"/>
    <w:rsid w:val="00453DFC"/>
    <w:rsid w:val="00456CCB"/>
    <w:rsid w:val="004575D4"/>
    <w:rsid w:val="00461E5F"/>
    <w:rsid w:val="004649A5"/>
    <w:rsid w:val="00467E06"/>
    <w:rsid w:val="00473434"/>
    <w:rsid w:val="00494674"/>
    <w:rsid w:val="00494874"/>
    <w:rsid w:val="004A50BA"/>
    <w:rsid w:val="004A5D95"/>
    <w:rsid w:val="004A7F71"/>
    <w:rsid w:val="004B13FA"/>
    <w:rsid w:val="004B21E2"/>
    <w:rsid w:val="004B2DA1"/>
    <w:rsid w:val="004B328A"/>
    <w:rsid w:val="004B3D0C"/>
    <w:rsid w:val="004C5667"/>
    <w:rsid w:val="004E0A96"/>
    <w:rsid w:val="004E47D8"/>
    <w:rsid w:val="004E56BB"/>
    <w:rsid w:val="004E7E23"/>
    <w:rsid w:val="004F147A"/>
    <w:rsid w:val="004F2447"/>
    <w:rsid w:val="004F2991"/>
    <w:rsid w:val="004F766C"/>
    <w:rsid w:val="005013F4"/>
    <w:rsid w:val="00502A6A"/>
    <w:rsid w:val="005066B1"/>
    <w:rsid w:val="00510A54"/>
    <w:rsid w:val="00511F9F"/>
    <w:rsid w:val="00516CDC"/>
    <w:rsid w:val="0051773C"/>
    <w:rsid w:val="00520795"/>
    <w:rsid w:val="005209AB"/>
    <w:rsid w:val="0052218F"/>
    <w:rsid w:val="005223FB"/>
    <w:rsid w:val="00530D97"/>
    <w:rsid w:val="00531D46"/>
    <w:rsid w:val="00532FAD"/>
    <w:rsid w:val="00535170"/>
    <w:rsid w:val="00537ED9"/>
    <w:rsid w:val="00540210"/>
    <w:rsid w:val="00541923"/>
    <w:rsid w:val="00550567"/>
    <w:rsid w:val="0055110C"/>
    <w:rsid w:val="00560A86"/>
    <w:rsid w:val="005660A9"/>
    <w:rsid w:val="00567778"/>
    <w:rsid w:val="00570573"/>
    <w:rsid w:val="00572970"/>
    <w:rsid w:val="00574881"/>
    <w:rsid w:val="005750CB"/>
    <w:rsid w:val="0057611F"/>
    <w:rsid w:val="0058078B"/>
    <w:rsid w:val="00591271"/>
    <w:rsid w:val="005A26BD"/>
    <w:rsid w:val="005A3CA8"/>
    <w:rsid w:val="005A6673"/>
    <w:rsid w:val="005A6DB3"/>
    <w:rsid w:val="005B460C"/>
    <w:rsid w:val="005B65AE"/>
    <w:rsid w:val="005B676C"/>
    <w:rsid w:val="005C344B"/>
    <w:rsid w:val="005C3A5F"/>
    <w:rsid w:val="005C58E9"/>
    <w:rsid w:val="005C5DB0"/>
    <w:rsid w:val="005D2791"/>
    <w:rsid w:val="005D5F4D"/>
    <w:rsid w:val="005E1049"/>
    <w:rsid w:val="005E7E3C"/>
    <w:rsid w:val="005F13D1"/>
    <w:rsid w:val="005F1E3C"/>
    <w:rsid w:val="005F7714"/>
    <w:rsid w:val="00606C79"/>
    <w:rsid w:val="00614E4F"/>
    <w:rsid w:val="0062651D"/>
    <w:rsid w:val="006276BE"/>
    <w:rsid w:val="00631B3D"/>
    <w:rsid w:val="00631D59"/>
    <w:rsid w:val="0064090A"/>
    <w:rsid w:val="006447E6"/>
    <w:rsid w:val="00646C9B"/>
    <w:rsid w:val="00653F4A"/>
    <w:rsid w:val="0065603F"/>
    <w:rsid w:val="006562A3"/>
    <w:rsid w:val="006620A4"/>
    <w:rsid w:val="0066456E"/>
    <w:rsid w:val="00673CD2"/>
    <w:rsid w:val="006839E2"/>
    <w:rsid w:val="0069346F"/>
    <w:rsid w:val="00696F89"/>
    <w:rsid w:val="006976C7"/>
    <w:rsid w:val="006B0CCC"/>
    <w:rsid w:val="006B3606"/>
    <w:rsid w:val="006B4136"/>
    <w:rsid w:val="006B7776"/>
    <w:rsid w:val="006C0F15"/>
    <w:rsid w:val="006C2098"/>
    <w:rsid w:val="006C25D0"/>
    <w:rsid w:val="006C653E"/>
    <w:rsid w:val="006D0D60"/>
    <w:rsid w:val="006D4159"/>
    <w:rsid w:val="006D4759"/>
    <w:rsid w:val="006E2C00"/>
    <w:rsid w:val="006E4475"/>
    <w:rsid w:val="006E48A2"/>
    <w:rsid w:val="006E4C08"/>
    <w:rsid w:val="006E7399"/>
    <w:rsid w:val="006F4A9A"/>
    <w:rsid w:val="006F58AC"/>
    <w:rsid w:val="007058DC"/>
    <w:rsid w:val="00711605"/>
    <w:rsid w:val="00714A6E"/>
    <w:rsid w:val="0071562C"/>
    <w:rsid w:val="0071709B"/>
    <w:rsid w:val="00717990"/>
    <w:rsid w:val="0072184A"/>
    <w:rsid w:val="007225F0"/>
    <w:rsid w:val="007247FF"/>
    <w:rsid w:val="00726C9D"/>
    <w:rsid w:val="00727B03"/>
    <w:rsid w:val="007303AB"/>
    <w:rsid w:val="00732E9E"/>
    <w:rsid w:val="0073433C"/>
    <w:rsid w:val="007351E9"/>
    <w:rsid w:val="00741F7E"/>
    <w:rsid w:val="0074282E"/>
    <w:rsid w:val="00744E49"/>
    <w:rsid w:val="00745D2D"/>
    <w:rsid w:val="00746CD7"/>
    <w:rsid w:val="007501D9"/>
    <w:rsid w:val="00752F24"/>
    <w:rsid w:val="00756B16"/>
    <w:rsid w:val="007635B2"/>
    <w:rsid w:val="007641D5"/>
    <w:rsid w:val="007668F8"/>
    <w:rsid w:val="007701B9"/>
    <w:rsid w:val="00771D98"/>
    <w:rsid w:val="0077219E"/>
    <w:rsid w:val="00783A43"/>
    <w:rsid w:val="007866BD"/>
    <w:rsid w:val="00793BF2"/>
    <w:rsid w:val="00796867"/>
    <w:rsid w:val="007A5AFF"/>
    <w:rsid w:val="007A7D40"/>
    <w:rsid w:val="007B27B3"/>
    <w:rsid w:val="007B290E"/>
    <w:rsid w:val="007B3373"/>
    <w:rsid w:val="007B3D7B"/>
    <w:rsid w:val="007B4B0C"/>
    <w:rsid w:val="007B5BEC"/>
    <w:rsid w:val="007C0D2C"/>
    <w:rsid w:val="007C1FD2"/>
    <w:rsid w:val="007D5C90"/>
    <w:rsid w:val="007D5FD8"/>
    <w:rsid w:val="007E29CF"/>
    <w:rsid w:val="007E6657"/>
    <w:rsid w:val="007E7829"/>
    <w:rsid w:val="007F1DBA"/>
    <w:rsid w:val="007F2A07"/>
    <w:rsid w:val="007F35D9"/>
    <w:rsid w:val="007F4DF9"/>
    <w:rsid w:val="008016BB"/>
    <w:rsid w:val="00805D89"/>
    <w:rsid w:val="008064DB"/>
    <w:rsid w:val="00811AAE"/>
    <w:rsid w:val="008214E5"/>
    <w:rsid w:val="008230BF"/>
    <w:rsid w:val="00824B67"/>
    <w:rsid w:val="00831E32"/>
    <w:rsid w:val="008349F3"/>
    <w:rsid w:val="00836EBD"/>
    <w:rsid w:val="008418A2"/>
    <w:rsid w:val="0085055B"/>
    <w:rsid w:val="00855EED"/>
    <w:rsid w:val="00860170"/>
    <w:rsid w:val="0086149F"/>
    <w:rsid w:val="008621A4"/>
    <w:rsid w:val="008632C1"/>
    <w:rsid w:val="008648EA"/>
    <w:rsid w:val="00876F39"/>
    <w:rsid w:val="0088430A"/>
    <w:rsid w:val="0088689E"/>
    <w:rsid w:val="00890C73"/>
    <w:rsid w:val="008948A9"/>
    <w:rsid w:val="008A10C2"/>
    <w:rsid w:val="008A3A16"/>
    <w:rsid w:val="008A5CBD"/>
    <w:rsid w:val="008A70A6"/>
    <w:rsid w:val="008B3061"/>
    <w:rsid w:val="008B4351"/>
    <w:rsid w:val="008B5C9A"/>
    <w:rsid w:val="008B7591"/>
    <w:rsid w:val="008B79BB"/>
    <w:rsid w:val="008C2B2C"/>
    <w:rsid w:val="008C4FC8"/>
    <w:rsid w:val="008D0331"/>
    <w:rsid w:val="008D26A3"/>
    <w:rsid w:val="008D62ED"/>
    <w:rsid w:val="008E7229"/>
    <w:rsid w:val="00900F21"/>
    <w:rsid w:val="00902A25"/>
    <w:rsid w:val="00903A8F"/>
    <w:rsid w:val="00917E31"/>
    <w:rsid w:val="009242C8"/>
    <w:rsid w:val="00927A53"/>
    <w:rsid w:val="00927AAC"/>
    <w:rsid w:val="009424B2"/>
    <w:rsid w:val="0095578B"/>
    <w:rsid w:val="009560D9"/>
    <w:rsid w:val="00962443"/>
    <w:rsid w:val="00965196"/>
    <w:rsid w:val="00967F57"/>
    <w:rsid w:val="00971351"/>
    <w:rsid w:val="00971486"/>
    <w:rsid w:val="00972B3B"/>
    <w:rsid w:val="00975634"/>
    <w:rsid w:val="0097790A"/>
    <w:rsid w:val="0098561C"/>
    <w:rsid w:val="009857D7"/>
    <w:rsid w:val="00997A4E"/>
    <w:rsid w:val="00997E6F"/>
    <w:rsid w:val="009A098D"/>
    <w:rsid w:val="009A2609"/>
    <w:rsid w:val="009B1F58"/>
    <w:rsid w:val="009B27B6"/>
    <w:rsid w:val="009B69DE"/>
    <w:rsid w:val="009B7598"/>
    <w:rsid w:val="009B7CCE"/>
    <w:rsid w:val="009C03E3"/>
    <w:rsid w:val="009C0C4B"/>
    <w:rsid w:val="009C1EA7"/>
    <w:rsid w:val="009C41D2"/>
    <w:rsid w:val="009C4D8C"/>
    <w:rsid w:val="009C54B4"/>
    <w:rsid w:val="009D02AE"/>
    <w:rsid w:val="009D13A8"/>
    <w:rsid w:val="009D1F19"/>
    <w:rsid w:val="009D56D5"/>
    <w:rsid w:val="009E1BB8"/>
    <w:rsid w:val="009E3139"/>
    <w:rsid w:val="009F0D3F"/>
    <w:rsid w:val="009F65CC"/>
    <w:rsid w:val="00A0119C"/>
    <w:rsid w:val="00A0193E"/>
    <w:rsid w:val="00A05513"/>
    <w:rsid w:val="00A0650C"/>
    <w:rsid w:val="00A13D89"/>
    <w:rsid w:val="00A1435F"/>
    <w:rsid w:val="00A14ABB"/>
    <w:rsid w:val="00A171AA"/>
    <w:rsid w:val="00A31920"/>
    <w:rsid w:val="00A348F0"/>
    <w:rsid w:val="00A3583A"/>
    <w:rsid w:val="00A474D9"/>
    <w:rsid w:val="00A47EED"/>
    <w:rsid w:val="00A500EE"/>
    <w:rsid w:val="00A503A2"/>
    <w:rsid w:val="00A5767B"/>
    <w:rsid w:val="00A5796C"/>
    <w:rsid w:val="00A6155F"/>
    <w:rsid w:val="00A65624"/>
    <w:rsid w:val="00A658A6"/>
    <w:rsid w:val="00A67517"/>
    <w:rsid w:val="00A675AB"/>
    <w:rsid w:val="00A73615"/>
    <w:rsid w:val="00A74F17"/>
    <w:rsid w:val="00A94ED9"/>
    <w:rsid w:val="00A96293"/>
    <w:rsid w:val="00AC234D"/>
    <w:rsid w:val="00AC2A12"/>
    <w:rsid w:val="00AD10FF"/>
    <w:rsid w:val="00AD14F1"/>
    <w:rsid w:val="00AD5471"/>
    <w:rsid w:val="00AE2646"/>
    <w:rsid w:val="00AF10E0"/>
    <w:rsid w:val="00AF166B"/>
    <w:rsid w:val="00AF1CE8"/>
    <w:rsid w:val="00AF408D"/>
    <w:rsid w:val="00B002FC"/>
    <w:rsid w:val="00B05426"/>
    <w:rsid w:val="00B057E0"/>
    <w:rsid w:val="00B074F2"/>
    <w:rsid w:val="00B075B9"/>
    <w:rsid w:val="00B1106E"/>
    <w:rsid w:val="00B11537"/>
    <w:rsid w:val="00B16858"/>
    <w:rsid w:val="00B205EE"/>
    <w:rsid w:val="00B206EF"/>
    <w:rsid w:val="00B21916"/>
    <w:rsid w:val="00B21D3A"/>
    <w:rsid w:val="00B2398C"/>
    <w:rsid w:val="00B360E8"/>
    <w:rsid w:val="00B36EFF"/>
    <w:rsid w:val="00B37637"/>
    <w:rsid w:val="00B41367"/>
    <w:rsid w:val="00B425FA"/>
    <w:rsid w:val="00B42ACA"/>
    <w:rsid w:val="00B44731"/>
    <w:rsid w:val="00B51C41"/>
    <w:rsid w:val="00B51C64"/>
    <w:rsid w:val="00B5291C"/>
    <w:rsid w:val="00B54F0F"/>
    <w:rsid w:val="00B577AF"/>
    <w:rsid w:val="00B720CF"/>
    <w:rsid w:val="00B80340"/>
    <w:rsid w:val="00B8581A"/>
    <w:rsid w:val="00B85DE7"/>
    <w:rsid w:val="00B921DA"/>
    <w:rsid w:val="00B93934"/>
    <w:rsid w:val="00BA0560"/>
    <w:rsid w:val="00BA189D"/>
    <w:rsid w:val="00BA1D81"/>
    <w:rsid w:val="00BA43EE"/>
    <w:rsid w:val="00BA5CA0"/>
    <w:rsid w:val="00BB1CD3"/>
    <w:rsid w:val="00BB7F40"/>
    <w:rsid w:val="00BC178D"/>
    <w:rsid w:val="00BC1AE3"/>
    <w:rsid w:val="00BC1B43"/>
    <w:rsid w:val="00BC2840"/>
    <w:rsid w:val="00BD16FC"/>
    <w:rsid w:val="00BD655E"/>
    <w:rsid w:val="00BE26E4"/>
    <w:rsid w:val="00BE30F0"/>
    <w:rsid w:val="00BE6DE5"/>
    <w:rsid w:val="00BF024A"/>
    <w:rsid w:val="00BF3802"/>
    <w:rsid w:val="00BF68ED"/>
    <w:rsid w:val="00BF6FCB"/>
    <w:rsid w:val="00BF7E52"/>
    <w:rsid w:val="00C017A2"/>
    <w:rsid w:val="00C027C3"/>
    <w:rsid w:val="00C029E5"/>
    <w:rsid w:val="00C04648"/>
    <w:rsid w:val="00C06A9F"/>
    <w:rsid w:val="00C11986"/>
    <w:rsid w:val="00C139C0"/>
    <w:rsid w:val="00C14C63"/>
    <w:rsid w:val="00C22CDA"/>
    <w:rsid w:val="00C246D0"/>
    <w:rsid w:val="00C253D9"/>
    <w:rsid w:val="00C313FF"/>
    <w:rsid w:val="00C321FE"/>
    <w:rsid w:val="00C3286B"/>
    <w:rsid w:val="00C338CC"/>
    <w:rsid w:val="00C43D9C"/>
    <w:rsid w:val="00C444DF"/>
    <w:rsid w:val="00C46052"/>
    <w:rsid w:val="00C474A3"/>
    <w:rsid w:val="00C47A9B"/>
    <w:rsid w:val="00C47C3C"/>
    <w:rsid w:val="00C53074"/>
    <w:rsid w:val="00C607C8"/>
    <w:rsid w:val="00C60828"/>
    <w:rsid w:val="00C64A4C"/>
    <w:rsid w:val="00C65806"/>
    <w:rsid w:val="00C674E6"/>
    <w:rsid w:val="00C71515"/>
    <w:rsid w:val="00C769FD"/>
    <w:rsid w:val="00C773F4"/>
    <w:rsid w:val="00C80402"/>
    <w:rsid w:val="00C825BC"/>
    <w:rsid w:val="00C828B7"/>
    <w:rsid w:val="00C95397"/>
    <w:rsid w:val="00C96C50"/>
    <w:rsid w:val="00C9777D"/>
    <w:rsid w:val="00CA07FC"/>
    <w:rsid w:val="00CA2CE6"/>
    <w:rsid w:val="00CB229C"/>
    <w:rsid w:val="00CB79B4"/>
    <w:rsid w:val="00CC1832"/>
    <w:rsid w:val="00CC6041"/>
    <w:rsid w:val="00CD099A"/>
    <w:rsid w:val="00CD0D1E"/>
    <w:rsid w:val="00CD133B"/>
    <w:rsid w:val="00CD6585"/>
    <w:rsid w:val="00CD6BB9"/>
    <w:rsid w:val="00CE0E97"/>
    <w:rsid w:val="00CE213D"/>
    <w:rsid w:val="00CE2B70"/>
    <w:rsid w:val="00CE479F"/>
    <w:rsid w:val="00CF3F57"/>
    <w:rsid w:val="00D03AFC"/>
    <w:rsid w:val="00D06905"/>
    <w:rsid w:val="00D06B08"/>
    <w:rsid w:val="00D07AB1"/>
    <w:rsid w:val="00D10544"/>
    <w:rsid w:val="00D11443"/>
    <w:rsid w:val="00D147AC"/>
    <w:rsid w:val="00D177B2"/>
    <w:rsid w:val="00D225B1"/>
    <w:rsid w:val="00D278E5"/>
    <w:rsid w:val="00D3193C"/>
    <w:rsid w:val="00D32033"/>
    <w:rsid w:val="00D35697"/>
    <w:rsid w:val="00D366DB"/>
    <w:rsid w:val="00D456D4"/>
    <w:rsid w:val="00D45D21"/>
    <w:rsid w:val="00D467A5"/>
    <w:rsid w:val="00D46F3F"/>
    <w:rsid w:val="00D510B6"/>
    <w:rsid w:val="00D56F9A"/>
    <w:rsid w:val="00D60A3D"/>
    <w:rsid w:val="00D61319"/>
    <w:rsid w:val="00D620FB"/>
    <w:rsid w:val="00D648B0"/>
    <w:rsid w:val="00D70193"/>
    <w:rsid w:val="00D712E3"/>
    <w:rsid w:val="00D72439"/>
    <w:rsid w:val="00D73999"/>
    <w:rsid w:val="00D75E26"/>
    <w:rsid w:val="00D767EE"/>
    <w:rsid w:val="00D82031"/>
    <w:rsid w:val="00D86DE9"/>
    <w:rsid w:val="00D90806"/>
    <w:rsid w:val="00D936E9"/>
    <w:rsid w:val="00D93EDC"/>
    <w:rsid w:val="00D9463B"/>
    <w:rsid w:val="00D94713"/>
    <w:rsid w:val="00DA3E1D"/>
    <w:rsid w:val="00DA4DB5"/>
    <w:rsid w:val="00DB13AF"/>
    <w:rsid w:val="00DB2AA4"/>
    <w:rsid w:val="00DB3DED"/>
    <w:rsid w:val="00DC12A6"/>
    <w:rsid w:val="00DC5535"/>
    <w:rsid w:val="00DC5DE5"/>
    <w:rsid w:val="00DD2163"/>
    <w:rsid w:val="00DD6FB0"/>
    <w:rsid w:val="00DD7AB8"/>
    <w:rsid w:val="00DE2724"/>
    <w:rsid w:val="00DF5CCF"/>
    <w:rsid w:val="00E04DDB"/>
    <w:rsid w:val="00E05029"/>
    <w:rsid w:val="00E1002C"/>
    <w:rsid w:val="00E1013B"/>
    <w:rsid w:val="00E15689"/>
    <w:rsid w:val="00E15D27"/>
    <w:rsid w:val="00E17BD1"/>
    <w:rsid w:val="00E22460"/>
    <w:rsid w:val="00E26233"/>
    <w:rsid w:val="00E313F6"/>
    <w:rsid w:val="00E324F1"/>
    <w:rsid w:val="00E329C2"/>
    <w:rsid w:val="00E34176"/>
    <w:rsid w:val="00E34ED7"/>
    <w:rsid w:val="00E36E28"/>
    <w:rsid w:val="00E37A38"/>
    <w:rsid w:val="00E44FE8"/>
    <w:rsid w:val="00E475D8"/>
    <w:rsid w:val="00E54D6F"/>
    <w:rsid w:val="00E62F42"/>
    <w:rsid w:val="00E63E28"/>
    <w:rsid w:val="00E67A02"/>
    <w:rsid w:val="00E67AC4"/>
    <w:rsid w:val="00E70A67"/>
    <w:rsid w:val="00E72C12"/>
    <w:rsid w:val="00E73C51"/>
    <w:rsid w:val="00E75EEB"/>
    <w:rsid w:val="00E7758E"/>
    <w:rsid w:val="00E80BCE"/>
    <w:rsid w:val="00E825EC"/>
    <w:rsid w:val="00E831BE"/>
    <w:rsid w:val="00E834ED"/>
    <w:rsid w:val="00E90166"/>
    <w:rsid w:val="00E90DA8"/>
    <w:rsid w:val="00E91C00"/>
    <w:rsid w:val="00E940EE"/>
    <w:rsid w:val="00EA76BE"/>
    <w:rsid w:val="00EB2B9A"/>
    <w:rsid w:val="00EB49AD"/>
    <w:rsid w:val="00EB650E"/>
    <w:rsid w:val="00EB6837"/>
    <w:rsid w:val="00EC02EC"/>
    <w:rsid w:val="00EC1939"/>
    <w:rsid w:val="00EC542A"/>
    <w:rsid w:val="00EC59A6"/>
    <w:rsid w:val="00EC69F1"/>
    <w:rsid w:val="00ED084D"/>
    <w:rsid w:val="00EE4E0D"/>
    <w:rsid w:val="00EE615E"/>
    <w:rsid w:val="00EE72EF"/>
    <w:rsid w:val="00EE7D06"/>
    <w:rsid w:val="00EF10B8"/>
    <w:rsid w:val="00EF41CC"/>
    <w:rsid w:val="00EF683D"/>
    <w:rsid w:val="00EF75E5"/>
    <w:rsid w:val="00F036E9"/>
    <w:rsid w:val="00F04B5F"/>
    <w:rsid w:val="00F112CC"/>
    <w:rsid w:val="00F1159C"/>
    <w:rsid w:val="00F12951"/>
    <w:rsid w:val="00F21D62"/>
    <w:rsid w:val="00F24FEF"/>
    <w:rsid w:val="00F330D0"/>
    <w:rsid w:val="00F353B1"/>
    <w:rsid w:val="00F36858"/>
    <w:rsid w:val="00F408A1"/>
    <w:rsid w:val="00F43B40"/>
    <w:rsid w:val="00F443DC"/>
    <w:rsid w:val="00F4589B"/>
    <w:rsid w:val="00F46BF3"/>
    <w:rsid w:val="00F47C5C"/>
    <w:rsid w:val="00F50DEE"/>
    <w:rsid w:val="00F53213"/>
    <w:rsid w:val="00F53437"/>
    <w:rsid w:val="00F566A7"/>
    <w:rsid w:val="00F6566C"/>
    <w:rsid w:val="00F733FA"/>
    <w:rsid w:val="00F75EBE"/>
    <w:rsid w:val="00F77203"/>
    <w:rsid w:val="00F77AEB"/>
    <w:rsid w:val="00F92470"/>
    <w:rsid w:val="00F94108"/>
    <w:rsid w:val="00FA3786"/>
    <w:rsid w:val="00FA4642"/>
    <w:rsid w:val="00FA703D"/>
    <w:rsid w:val="00FB563A"/>
    <w:rsid w:val="00FB58D2"/>
    <w:rsid w:val="00FB6661"/>
    <w:rsid w:val="00FC0177"/>
    <w:rsid w:val="00FC3C86"/>
    <w:rsid w:val="00FC57FC"/>
    <w:rsid w:val="00FC6250"/>
    <w:rsid w:val="00FC71C0"/>
    <w:rsid w:val="00FE1F68"/>
    <w:rsid w:val="00FE4FDC"/>
    <w:rsid w:val="00FF115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F8204B"/>
  <w15:chartTrackingRefBased/>
  <w15:docId w15:val="{3728F233-3500-5945-98D5-854B863D78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FF1150"/>
    <w:rPr>
      <w:sz w:val="24"/>
      <w:szCs w:val="24"/>
      <w:lang w:eastAsia="en-US"/>
    </w:rPr>
  </w:style>
  <w:style w:type="paragraph" w:styleId="Titolo1">
    <w:name w:val="heading 1"/>
    <w:basedOn w:val="Normale"/>
    <w:link w:val="Titolo1Carattere"/>
    <w:uiPriority w:val="9"/>
    <w:qFormat/>
    <w:rsid w:val="00E73C51"/>
    <w:pPr>
      <w:spacing w:before="100" w:beforeAutospacing="1" w:after="100" w:afterAutospacing="1"/>
      <w:outlineLvl w:val="0"/>
    </w:pPr>
    <w:rPr>
      <w:rFonts w:ascii="Times New Roman" w:eastAsia="Times New Roman" w:hAnsi="Times New Roman"/>
      <w:b/>
      <w:bCs/>
      <w:kern w:val="36"/>
      <w:sz w:val="48"/>
      <w:szCs w:val="48"/>
      <w:lang w:eastAsia="it-IT"/>
    </w:rPr>
  </w:style>
  <w:style w:type="paragraph" w:styleId="Titolo2">
    <w:name w:val="heading 2"/>
    <w:basedOn w:val="Normale"/>
    <w:next w:val="Normale"/>
    <w:link w:val="Titolo2Carattere"/>
    <w:uiPriority w:val="9"/>
    <w:unhideWhenUsed/>
    <w:qFormat/>
    <w:rsid w:val="00E73C51"/>
    <w:pPr>
      <w:keepNext/>
      <w:keepLines/>
      <w:spacing w:before="40" w:line="259" w:lineRule="auto"/>
      <w:outlineLvl w:val="1"/>
    </w:pPr>
    <w:rPr>
      <w:rFonts w:ascii="Calibri Light" w:eastAsia="Times New Roman" w:hAnsi="Calibri Light"/>
      <w:color w:val="2F5496"/>
      <w:sz w:val="26"/>
      <w:szCs w:val="26"/>
    </w:rPr>
  </w:style>
  <w:style w:type="paragraph" w:styleId="Titolo3">
    <w:name w:val="heading 3"/>
    <w:basedOn w:val="Normale"/>
    <w:next w:val="Normale"/>
    <w:link w:val="Titolo3Carattere"/>
    <w:uiPriority w:val="9"/>
    <w:unhideWhenUsed/>
    <w:qFormat/>
    <w:rsid w:val="00401B84"/>
    <w:pPr>
      <w:keepNext/>
      <w:keepLines/>
      <w:spacing w:before="40" w:line="259" w:lineRule="auto"/>
      <w:outlineLvl w:val="2"/>
    </w:pPr>
    <w:rPr>
      <w:rFonts w:ascii="Calibri Light" w:eastAsia="Times New Roman" w:hAnsi="Calibri Light"/>
      <w:color w:val="1F3763"/>
    </w:rPr>
  </w:style>
  <w:style w:type="paragraph" w:styleId="Titolo4">
    <w:name w:val="heading 4"/>
    <w:basedOn w:val="Normale"/>
    <w:next w:val="Normale"/>
    <w:link w:val="Titolo4Carattere"/>
    <w:uiPriority w:val="9"/>
    <w:semiHidden/>
    <w:unhideWhenUsed/>
    <w:qFormat/>
    <w:rsid w:val="00C773F4"/>
    <w:pPr>
      <w:keepNext/>
      <w:keepLines/>
      <w:spacing w:before="40" w:line="259" w:lineRule="auto"/>
      <w:outlineLvl w:val="3"/>
    </w:pPr>
    <w:rPr>
      <w:rFonts w:ascii="Calibri Light" w:eastAsia="Times New Roman" w:hAnsi="Calibri Light"/>
      <w:i/>
      <w:iCs/>
      <w:color w:val="2F5496"/>
      <w:sz w:val="22"/>
      <w:szCs w:val="22"/>
    </w:rPr>
  </w:style>
  <w:style w:type="paragraph" w:styleId="Titolo6">
    <w:name w:val="heading 6"/>
    <w:basedOn w:val="Normale"/>
    <w:next w:val="Normale"/>
    <w:link w:val="Titolo6Carattere"/>
    <w:uiPriority w:val="9"/>
    <w:semiHidden/>
    <w:unhideWhenUsed/>
    <w:qFormat/>
    <w:rsid w:val="00C029E5"/>
    <w:pPr>
      <w:keepNext/>
      <w:keepLines/>
      <w:spacing w:before="40" w:line="259" w:lineRule="auto"/>
      <w:outlineLvl w:val="5"/>
    </w:pPr>
    <w:rPr>
      <w:rFonts w:ascii="Calibri Light" w:eastAsia="Times New Roman" w:hAnsi="Calibri Light"/>
      <w:color w:val="1F3763"/>
      <w:sz w:val="22"/>
      <w:szCs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51773C"/>
    <w:pPr>
      <w:ind w:left="720"/>
      <w:contextualSpacing/>
    </w:pPr>
  </w:style>
  <w:style w:type="character" w:styleId="Collegamentoipertestuale">
    <w:name w:val="Hyperlink"/>
    <w:uiPriority w:val="99"/>
    <w:unhideWhenUsed/>
    <w:rsid w:val="00D35697"/>
    <w:rPr>
      <w:color w:val="0000FF"/>
      <w:u w:val="single"/>
    </w:rPr>
  </w:style>
  <w:style w:type="paragraph" w:styleId="Testonotaapidipagina">
    <w:name w:val="footnote text"/>
    <w:aliases w:val="NOTA piè pagina,FN,fn,FT,FT Carattere,Testo nota a piè di pagina Carattere1,Testo nota a piè di pagina Carattere Carattere,Testo nota a piè di pagina Carattere2 Carattere,Testo nota a piè di pagina Carattere2,Carattere,Char1"/>
    <w:basedOn w:val="Normale"/>
    <w:link w:val="TestonotaapidipaginaCarattere"/>
    <w:uiPriority w:val="99"/>
    <w:unhideWhenUsed/>
    <w:qFormat/>
    <w:rsid w:val="003361F1"/>
    <w:rPr>
      <w:sz w:val="20"/>
      <w:szCs w:val="20"/>
    </w:rPr>
  </w:style>
  <w:style w:type="character" w:customStyle="1" w:styleId="TestonotaapidipaginaCarattere">
    <w:name w:val="Testo nota a piè di pagina Carattere"/>
    <w:aliases w:val="NOTA piè pagina Carattere,FN Carattere,fn Carattere,FT Carattere1,FT Carattere Carattere,Testo nota a piè di pagina Carattere1 Carattere,Testo nota a piè di pagina Carattere Carattere Carattere,Carattere Carattere"/>
    <w:link w:val="Testonotaapidipagina"/>
    <w:uiPriority w:val="99"/>
    <w:rsid w:val="003361F1"/>
    <w:rPr>
      <w:sz w:val="20"/>
      <w:szCs w:val="20"/>
    </w:rPr>
  </w:style>
  <w:style w:type="character" w:styleId="Rimandonotaapidipagina">
    <w:name w:val="footnote reference"/>
    <w:uiPriority w:val="99"/>
    <w:unhideWhenUsed/>
    <w:rsid w:val="003361F1"/>
    <w:rPr>
      <w:vertAlign w:val="superscript"/>
    </w:rPr>
  </w:style>
  <w:style w:type="character" w:styleId="Enfasicorsivo">
    <w:name w:val="Emphasis"/>
    <w:uiPriority w:val="20"/>
    <w:qFormat/>
    <w:rsid w:val="00CF3F57"/>
    <w:rPr>
      <w:i/>
      <w:iCs/>
    </w:rPr>
  </w:style>
  <w:style w:type="character" w:styleId="Collegamentovisitato">
    <w:name w:val="FollowedHyperlink"/>
    <w:uiPriority w:val="99"/>
    <w:semiHidden/>
    <w:unhideWhenUsed/>
    <w:rsid w:val="00267FDC"/>
    <w:rPr>
      <w:color w:val="954F72"/>
      <w:u w:val="single"/>
    </w:rPr>
  </w:style>
  <w:style w:type="character" w:customStyle="1" w:styleId="Titolo1Carattere">
    <w:name w:val="Titolo 1 Carattere"/>
    <w:link w:val="Titolo1"/>
    <w:uiPriority w:val="9"/>
    <w:rsid w:val="00E73C51"/>
    <w:rPr>
      <w:rFonts w:ascii="Times New Roman" w:eastAsia="Times New Roman" w:hAnsi="Times New Roman"/>
      <w:b/>
      <w:bCs/>
      <w:kern w:val="36"/>
      <w:sz w:val="48"/>
      <w:szCs w:val="48"/>
    </w:rPr>
  </w:style>
  <w:style w:type="character" w:customStyle="1" w:styleId="Titolo2Carattere">
    <w:name w:val="Titolo 2 Carattere"/>
    <w:link w:val="Titolo2"/>
    <w:uiPriority w:val="9"/>
    <w:rsid w:val="00E73C51"/>
    <w:rPr>
      <w:rFonts w:ascii="Calibri Light" w:eastAsia="Times New Roman" w:hAnsi="Calibri Light"/>
      <w:color w:val="2F5496"/>
      <w:sz w:val="26"/>
      <w:szCs w:val="26"/>
      <w:lang w:eastAsia="en-US"/>
    </w:rPr>
  </w:style>
  <w:style w:type="paragraph" w:styleId="NormaleWeb">
    <w:name w:val="Normal (Web)"/>
    <w:basedOn w:val="Normale"/>
    <w:uiPriority w:val="99"/>
    <w:unhideWhenUsed/>
    <w:rsid w:val="00E73C51"/>
    <w:pPr>
      <w:spacing w:before="100" w:beforeAutospacing="1" w:after="100" w:afterAutospacing="1"/>
    </w:pPr>
    <w:rPr>
      <w:rFonts w:ascii="Times New Roman" w:eastAsia="Times New Roman" w:hAnsi="Times New Roman"/>
      <w:lang w:eastAsia="it-IT"/>
    </w:rPr>
  </w:style>
  <w:style w:type="character" w:styleId="Enfasigrassetto">
    <w:name w:val="Strong"/>
    <w:uiPriority w:val="22"/>
    <w:qFormat/>
    <w:rsid w:val="00E73C51"/>
    <w:rPr>
      <w:b/>
      <w:bCs/>
    </w:rPr>
  </w:style>
  <w:style w:type="character" w:customStyle="1" w:styleId="post-date">
    <w:name w:val="post-date"/>
    <w:rsid w:val="005C5DB0"/>
  </w:style>
  <w:style w:type="character" w:customStyle="1" w:styleId="ff1">
    <w:name w:val="ff1"/>
    <w:rsid w:val="005C5DB0"/>
  </w:style>
  <w:style w:type="character" w:customStyle="1" w:styleId="a">
    <w:name w:val="_"/>
    <w:rsid w:val="005C5DB0"/>
  </w:style>
  <w:style w:type="character" w:customStyle="1" w:styleId="ff9">
    <w:name w:val="ff9"/>
    <w:rsid w:val="005C5DB0"/>
  </w:style>
  <w:style w:type="character" w:customStyle="1" w:styleId="ff4">
    <w:name w:val="ff4"/>
    <w:rsid w:val="005C5DB0"/>
  </w:style>
  <w:style w:type="character" w:customStyle="1" w:styleId="ls5">
    <w:name w:val="ls5"/>
    <w:rsid w:val="005C5DB0"/>
  </w:style>
  <w:style w:type="character" w:customStyle="1" w:styleId="ls9">
    <w:name w:val="ls9"/>
    <w:rsid w:val="005C5DB0"/>
  </w:style>
  <w:style w:type="character" w:customStyle="1" w:styleId="lsb">
    <w:name w:val="lsb"/>
    <w:rsid w:val="005C5DB0"/>
  </w:style>
  <w:style w:type="character" w:customStyle="1" w:styleId="ls0">
    <w:name w:val="ls0"/>
    <w:rsid w:val="005C5DB0"/>
  </w:style>
  <w:style w:type="character" w:customStyle="1" w:styleId="ls19">
    <w:name w:val="ls19"/>
    <w:rsid w:val="005C5DB0"/>
  </w:style>
  <w:style w:type="paragraph" w:styleId="Titolo">
    <w:name w:val="Title"/>
    <w:basedOn w:val="Normale"/>
    <w:link w:val="TitoloCarattere"/>
    <w:uiPriority w:val="10"/>
    <w:qFormat/>
    <w:rsid w:val="00746CD7"/>
    <w:pPr>
      <w:widowControl w:val="0"/>
      <w:autoSpaceDE w:val="0"/>
      <w:autoSpaceDN w:val="0"/>
      <w:spacing w:before="84"/>
      <w:ind w:left="540"/>
    </w:pPr>
    <w:rPr>
      <w:rFonts w:ascii="Times New Roman" w:eastAsia="Times New Roman" w:hAnsi="Times New Roman"/>
      <w:sz w:val="36"/>
      <w:szCs w:val="36"/>
    </w:rPr>
  </w:style>
  <w:style w:type="character" w:customStyle="1" w:styleId="TitoloCarattere">
    <w:name w:val="Titolo Carattere"/>
    <w:link w:val="Titolo"/>
    <w:uiPriority w:val="10"/>
    <w:rsid w:val="00746CD7"/>
    <w:rPr>
      <w:rFonts w:ascii="Times New Roman" w:eastAsia="Times New Roman" w:hAnsi="Times New Roman"/>
      <w:sz w:val="36"/>
      <w:szCs w:val="36"/>
      <w:lang w:eastAsia="en-US"/>
    </w:rPr>
  </w:style>
  <w:style w:type="paragraph" w:styleId="Corpotesto">
    <w:name w:val="Body Text"/>
    <w:basedOn w:val="Normale"/>
    <w:link w:val="CorpotestoCarattere"/>
    <w:uiPriority w:val="1"/>
    <w:qFormat/>
    <w:rsid w:val="00746CD7"/>
    <w:pPr>
      <w:widowControl w:val="0"/>
      <w:autoSpaceDE w:val="0"/>
      <w:autoSpaceDN w:val="0"/>
    </w:pPr>
    <w:rPr>
      <w:rFonts w:ascii="Times New Roman" w:eastAsia="Times New Roman" w:hAnsi="Times New Roman"/>
    </w:rPr>
  </w:style>
  <w:style w:type="character" w:customStyle="1" w:styleId="CorpotestoCarattere">
    <w:name w:val="Corpo testo Carattere"/>
    <w:link w:val="Corpotesto"/>
    <w:uiPriority w:val="1"/>
    <w:rsid w:val="00746CD7"/>
    <w:rPr>
      <w:rFonts w:ascii="Times New Roman" w:eastAsia="Times New Roman" w:hAnsi="Times New Roman"/>
      <w:sz w:val="24"/>
      <w:szCs w:val="24"/>
      <w:lang w:eastAsia="en-US"/>
    </w:rPr>
  </w:style>
  <w:style w:type="character" w:customStyle="1" w:styleId="Titolo6Carattere">
    <w:name w:val="Titolo 6 Carattere"/>
    <w:link w:val="Titolo6"/>
    <w:uiPriority w:val="9"/>
    <w:semiHidden/>
    <w:rsid w:val="00C029E5"/>
    <w:rPr>
      <w:rFonts w:ascii="Calibri Light" w:eastAsia="Times New Roman" w:hAnsi="Calibri Light"/>
      <w:color w:val="1F3763"/>
      <w:sz w:val="22"/>
      <w:szCs w:val="22"/>
      <w:lang w:eastAsia="en-US"/>
    </w:rPr>
  </w:style>
  <w:style w:type="character" w:customStyle="1" w:styleId="summary-text">
    <w:name w:val="summary-text"/>
    <w:rsid w:val="00C029E5"/>
  </w:style>
  <w:style w:type="character" w:customStyle="1" w:styleId="textbold1">
    <w:name w:val="textbold_1"/>
    <w:rsid w:val="006839E2"/>
  </w:style>
  <w:style w:type="character" w:customStyle="1" w:styleId="Titolo3Carattere">
    <w:name w:val="Titolo 3 Carattere"/>
    <w:link w:val="Titolo3"/>
    <w:uiPriority w:val="9"/>
    <w:rsid w:val="00401B84"/>
    <w:rPr>
      <w:rFonts w:ascii="Calibri Light" w:eastAsia="Times New Roman" w:hAnsi="Calibri Light"/>
      <w:color w:val="1F3763"/>
      <w:sz w:val="24"/>
      <w:szCs w:val="24"/>
      <w:lang w:eastAsia="en-US"/>
    </w:rPr>
  </w:style>
  <w:style w:type="character" w:customStyle="1" w:styleId="Titolo4Carattere">
    <w:name w:val="Titolo 4 Carattere"/>
    <w:link w:val="Titolo4"/>
    <w:uiPriority w:val="9"/>
    <w:semiHidden/>
    <w:rsid w:val="00C773F4"/>
    <w:rPr>
      <w:rFonts w:ascii="Calibri Light" w:eastAsia="Times New Roman" w:hAnsi="Calibri Light"/>
      <w:i/>
      <w:iCs/>
      <w:color w:val="2F5496"/>
      <w:sz w:val="22"/>
      <w:szCs w:val="22"/>
      <w:lang w:eastAsia="en-US"/>
    </w:rPr>
  </w:style>
  <w:style w:type="character" w:customStyle="1" w:styleId="ob-unit">
    <w:name w:val="ob-unit"/>
    <w:rsid w:val="00B360E8"/>
  </w:style>
  <w:style w:type="character" w:customStyle="1" w:styleId="ezoic-ad">
    <w:name w:val="ezoic-ad"/>
    <w:rsid w:val="00B360E8"/>
  </w:style>
  <w:style w:type="paragraph" w:customStyle="1" w:styleId="sottotitolo">
    <w:name w:val="sottotitolo"/>
    <w:basedOn w:val="Normale"/>
    <w:rsid w:val="00D620FB"/>
    <w:pPr>
      <w:spacing w:before="100" w:beforeAutospacing="1" w:after="100" w:afterAutospacing="1"/>
    </w:pPr>
    <w:rPr>
      <w:rFonts w:ascii="Times New Roman" w:eastAsia="Times New Roman" w:hAnsi="Times New Roman"/>
      <w:lang w:eastAsia="it-IT"/>
    </w:rPr>
  </w:style>
  <w:style w:type="character" w:styleId="Menzionenonrisolta">
    <w:name w:val="Unresolved Mention"/>
    <w:uiPriority w:val="99"/>
    <w:semiHidden/>
    <w:unhideWhenUsed/>
    <w:rsid w:val="00403F71"/>
    <w:rPr>
      <w:color w:val="605E5C"/>
      <w:shd w:val="clear" w:color="auto" w:fill="E1DFDD"/>
    </w:rPr>
  </w:style>
  <w:style w:type="character" w:customStyle="1" w:styleId="doilabel">
    <w:name w:val="doi__label"/>
    <w:rsid w:val="003443D2"/>
  </w:style>
  <w:style w:type="character" w:customStyle="1" w:styleId="greybold">
    <w:name w:val="greybold"/>
    <w:rsid w:val="00281DE2"/>
  </w:style>
  <w:style w:type="character" w:customStyle="1" w:styleId="greyitalic">
    <w:name w:val="greyitalic"/>
    <w:rsid w:val="00281DE2"/>
  </w:style>
  <w:style w:type="paragraph" w:customStyle="1" w:styleId="greytondo">
    <w:name w:val="greytondo"/>
    <w:basedOn w:val="Normale"/>
    <w:rsid w:val="00927AAC"/>
    <w:pPr>
      <w:spacing w:before="100" w:beforeAutospacing="1" w:after="100" w:afterAutospacing="1"/>
    </w:pPr>
    <w:rPr>
      <w:rFonts w:ascii="Times New Roman" w:eastAsia="Times New Roman" w:hAnsi="Times New Roman"/>
      <w:lang w:eastAsia="it-IT"/>
    </w:rPr>
  </w:style>
  <w:style w:type="character" w:customStyle="1" w:styleId="greytondo1">
    <w:name w:val="greytondo1"/>
    <w:rsid w:val="00927AAC"/>
  </w:style>
  <w:style w:type="paragraph" w:styleId="PreformattatoHTML">
    <w:name w:val="HTML Preformatted"/>
    <w:basedOn w:val="Normale"/>
    <w:link w:val="PreformattatoHTMLCarattere"/>
    <w:uiPriority w:val="99"/>
    <w:unhideWhenUsed/>
    <w:rsid w:val="006D0D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eastAsia="it-IT"/>
    </w:rPr>
  </w:style>
  <w:style w:type="character" w:customStyle="1" w:styleId="PreformattatoHTMLCarattere">
    <w:name w:val="Preformattato HTML Carattere"/>
    <w:link w:val="PreformattatoHTML"/>
    <w:uiPriority w:val="99"/>
    <w:rsid w:val="006D0D60"/>
    <w:rPr>
      <w:rFonts w:ascii="Courier New" w:eastAsia="Times New Roman" w:hAnsi="Courier New" w:cs="Courier New"/>
    </w:rPr>
  </w:style>
  <w:style w:type="paragraph" w:styleId="Intestazione">
    <w:name w:val="header"/>
    <w:basedOn w:val="Normale"/>
    <w:link w:val="IntestazioneCarattere"/>
    <w:uiPriority w:val="99"/>
    <w:unhideWhenUsed/>
    <w:rsid w:val="00D82031"/>
    <w:pPr>
      <w:tabs>
        <w:tab w:val="center" w:pos="4819"/>
        <w:tab w:val="right" w:pos="9638"/>
      </w:tabs>
    </w:pPr>
  </w:style>
  <w:style w:type="character" w:customStyle="1" w:styleId="IntestazioneCarattere">
    <w:name w:val="Intestazione Carattere"/>
    <w:link w:val="Intestazione"/>
    <w:uiPriority w:val="99"/>
    <w:rsid w:val="00D82031"/>
    <w:rPr>
      <w:sz w:val="24"/>
      <w:szCs w:val="24"/>
      <w:lang w:eastAsia="en-US"/>
    </w:rPr>
  </w:style>
  <w:style w:type="paragraph" w:styleId="Pidipagina">
    <w:name w:val="footer"/>
    <w:basedOn w:val="Normale"/>
    <w:link w:val="PidipaginaCarattere"/>
    <w:uiPriority w:val="99"/>
    <w:unhideWhenUsed/>
    <w:rsid w:val="00D82031"/>
    <w:pPr>
      <w:tabs>
        <w:tab w:val="center" w:pos="4819"/>
        <w:tab w:val="right" w:pos="9638"/>
      </w:tabs>
    </w:pPr>
  </w:style>
  <w:style w:type="character" w:customStyle="1" w:styleId="PidipaginaCarattere">
    <w:name w:val="Piè di pagina Carattere"/>
    <w:link w:val="Pidipagina"/>
    <w:uiPriority w:val="99"/>
    <w:rsid w:val="00D82031"/>
    <w:rPr>
      <w:sz w:val="24"/>
      <w:szCs w:val="24"/>
      <w:lang w:eastAsia="en-US"/>
    </w:rPr>
  </w:style>
  <w:style w:type="paragraph" w:styleId="Testofumetto">
    <w:name w:val="Balloon Text"/>
    <w:basedOn w:val="Normale"/>
    <w:link w:val="TestofumettoCarattere"/>
    <w:uiPriority w:val="99"/>
    <w:semiHidden/>
    <w:unhideWhenUsed/>
    <w:rsid w:val="0006375A"/>
    <w:rPr>
      <w:rFonts w:ascii="Segoe UI" w:hAnsi="Segoe UI" w:cs="Segoe UI"/>
      <w:sz w:val="18"/>
      <w:szCs w:val="18"/>
    </w:rPr>
  </w:style>
  <w:style w:type="character" w:customStyle="1" w:styleId="TestofumettoCarattere">
    <w:name w:val="Testo fumetto Carattere"/>
    <w:link w:val="Testofumetto"/>
    <w:uiPriority w:val="99"/>
    <w:semiHidden/>
    <w:rsid w:val="0006375A"/>
    <w:rPr>
      <w:rFonts w:ascii="Segoe UI" w:hAnsi="Segoe UI" w:cs="Segoe UI"/>
      <w:sz w:val="18"/>
      <w:szCs w:val="18"/>
      <w:lang w:eastAsia="en-US"/>
    </w:rPr>
  </w:style>
  <w:style w:type="paragraph" w:customStyle="1" w:styleId="mt-3">
    <w:name w:val="mt-3"/>
    <w:basedOn w:val="Normale"/>
    <w:rsid w:val="00074348"/>
    <w:pPr>
      <w:spacing w:before="100" w:beforeAutospacing="1" w:after="100" w:afterAutospacing="1"/>
    </w:pPr>
    <w:rPr>
      <w:rFonts w:ascii="Times New Roman" w:eastAsia="Times New Roman" w:hAnsi="Times New Roman"/>
      <w:lang w:eastAsia="it-IT"/>
    </w:rPr>
  </w:style>
  <w:style w:type="character" w:customStyle="1" w:styleId="sr-only">
    <w:name w:val="sr-only"/>
    <w:rsid w:val="00074348"/>
  </w:style>
  <w:style w:type="paragraph" w:customStyle="1" w:styleId="mt-2">
    <w:name w:val="mt-2"/>
    <w:basedOn w:val="Normale"/>
    <w:rsid w:val="002B4944"/>
    <w:pPr>
      <w:spacing w:before="100" w:beforeAutospacing="1" w:after="100" w:afterAutospacing="1"/>
    </w:pPr>
    <w:rPr>
      <w:rFonts w:ascii="Times New Roman" w:eastAsia="Times New Roman" w:hAnsi="Times New Roman"/>
      <w:lang w:eastAsia="it-IT"/>
    </w:rPr>
  </w:style>
  <w:style w:type="character" w:customStyle="1" w:styleId="byline-name">
    <w:name w:val="byline-name"/>
    <w:rsid w:val="002B4944"/>
  </w:style>
  <w:style w:type="character" w:customStyle="1" w:styleId="article-date-update">
    <w:name w:val="article-date-update"/>
    <w:rsid w:val="002B4944"/>
  </w:style>
  <w:style w:type="paragraph" w:customStyle="1" w:styleId="print-icon">
    <w:name w:val="print-icon"/>
    <w:basedOn w:val="Normale"/>
    <w:rsid w:val="00C96C50"/>
    <w:pPr>
      <w:spacing w:before="100" w:beforeAutospacing="1" w:after="100" w:afterAutospacing="1"/>
    </w:pPr>
    <w:rPr>
      <w:rFonts w:ascii="Times New Roman" w:eastAsia="Times New Roman" w:hAnsi="Times New Roman"/>
      <w:lang w:eastAsia="it-IT"/>
    </w:rPr>
  </w:style>
  <w:style w:type="paragraph" w:customStyle="1" w:styleId="email-icon">
    <w:name w:val="email-icon"/>
    <w:basedOn w:val="Normale"/>
    <w:rsid w:val="00C96C50"/>
    <w:pPr>
      <w:spacing w:before="100" w:beforeAutospacing="1" w:after="100" w:afterAutospacing="1"/>
    </w:pPr>
    <w:rPr>
      <w:rFonts w:ascii="Times New Roman" w:eastAsia="Times New Roman" w:hAnsi="Times New Roman"/>
      <w:lang w:eastAsia="it-IT"/>
    </w:rPr>
  </w:style>
  <w:style w:type="character" w:customStyle="1" w:styleId="ts-alignment-element">
    <w:name w:val="ts-alignment-element"/>
    <w:rsid w:val="00A348F0"/>
  </w:style>
  <w:style w:type="paragraph" w:styleId="Testonormale">
    <w:name w:val="Plain Text"/>
    <w:basedOn w:val="Normale"/>
    <w:link w:val="TestonormaleCarattere"/>
    <w:uiPriority w:val="99"/>
    <w:semiHidden/>
    <w:unhideWhenUsed/>
    <w:rsid w:val="00C769FD"/>
    <w:rPr>
      <w:rFonts w:eastAsiaTheme="minorHAnsi" w:cstheme="minorBidi"/>
      <w:kern w:val="2"/>
      <w:sz w:val="22"/>
      <w:szCs w:val="21"/>
      <w14:ligatures w14:val="standardContextual"/>
    </w:rPr>
  </w:style>
  <w:style w:type="character" w:customStyle="1" w:styleId="TestonormaleCarattere">
    <w:name w:val="Testo normale Carattere"/>
    <w:basedOn w:val="Carpredefinitoparagrafo"/>
    <w:link w:val="Testonormale"/>
    <w:uiPriority w:val="99"/>
    <w:semiHidden/>
    <w:rsid w:val="00C769FD"/>
    <w:rPr>
      <w:rFonts w:eastAsiaTheme="minorHAnsi" w:cstheme="minorBidi"/>
      <w:kern w:val="2"/>
      <w:sz w:val="22"/>
      <w:szCs w:val="21"/>
      <w:lang w:eastAsia="en-US"/>
      <w14:ligatures w14:val="standardContextual"/>
    </w:rPr>
  </w:style>
  <w:style w:type="paragraph" w:customStyle="1" w:styleId="Default">
    <w:name w:val="Default"/>
    <w:rsid w:val="0017322B"/>
    <w:pPr>
      <w:autoSpaceDE w:val="0"/>
      <w:autoSpaceDN w:val="0"/>
      <w:adjustRightInd w:val="0"/>
    </w:pPr>
    <w:rPr>
      <w:rFonts w:ascii="Garamond" w:hAnsi="Garamond" w:cs="Garamond"/>
      <w:color w:val="000000"/>
      <w:sz w:val="24"/>
      <w:szCs w:val="24"/>
    </w:rPr>
  </w:style>
  <w:style w:type="character" w:customStyle="1" w:styleId="y2iqfc">
    <w:name w:val="y2iqfc"/>
    <w:basedOn w:val="Carpredefinitoparagrafo"/>
    <w:rsid w:val="00136047"/>
  </w:style>
  <w:style w:type="paragraph" w:customStyle="1" w:styleId="comma">
    <w:name w:val="comma"/>
    <w:basedOn w:val="Normale"/>
    <w:rsid w:val="00133FDB"/>
    <w:pPr>
      <w:spacing w:before="100" w:beforeAutospacing="1" w:after="100" w:afterAutospacing="1"/>
    </w:pPr>
    <w:rPr>
      <w:rFonts w:ascii="Times New Roman" w:eastAsia="Times New Roman" w:hAnsi="Times New Roman"/>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8483355">
      <w:bodyDiv w:val="1"/>
      <w:marLeft w:val="0"/>
      <w:marRight w:val="0"/>
      <w:marTop w:val="0"/>
      <w:marBottom w:val="0"/>
      <w:divBdr>
        <w:top w:val="none" w:sz="0" w:space="0" w:color="auto"/>
        <w:left w:val="none" w:sz="0" w:space="0" w:color="auto"/>
        <w:bottom w:val="none" w:sz="0" w:space="0" w:color="auto"/>
        <w:right w:val="none" w:sz="0" w:space="0" w:color="auto"/>
      </w:divBdr>
      <w:divsChild>
        <w:div w:id="989599051">
          <w:marLeft w:val="0"/>
          <w:marRight w:val="0"/>
          <w:marTop w:val="0"/>
          <w:marBottom w:val="0"/>
          <w:divBdr>
            <w:top w:val="none" w:sz="0" w:space="0" w:color="auto"/>
            <w:left w:val="none" w:sz="0" w:space="0" w:color="auto"/>
            <w:bottom w:val="none" w:sz="0" w:space="0" w:color="auto"/>
            <w:right w:val="none" w:sz="0" w:space="0" w:color="auto"/>
          </w:divBdr>
        </w:div>
        <w:div w:id="2080518594">
          <w:marLeft w:val="0"/>
          <w:marRight w:val="0"/>
          <w:marTop w:val="0"/>
          <w:marBottom w:val="0"/>
          <w:divBdr>
            <w:top w:val="none" w:sz="0" w:space="0" w:color="auto"/>
            <w:left w:val="none" w:sz="0" w:space="0" w:color="auto"/>
            <w:bottom w:val="none" w:sz="0" w:space="0" w:color="auto"/>
            <w:right w:val="none" w:sz="0" w:space="0" w:color="auto"/>
          </w:divBdr>
        </w:div>
      </w:divsChild>
    </w:div>
    <w:div w:id="87506950">
      <w:bodyDiv w:val="1"/>
      <w:marLeft w:val="0"/>
      <w:marRight w:val="0"/>
      <w:marTop w:val="0"/>
      <w:marBottom w:val="0"/>
      <w:divBdr>
        <w:top w:val="none" w:sz="0" w:space="0" w:color="auto"/>
        <w:left w:val="none" w:sz="0" w:space="0" w:color="auto"/>
        <w:bottom w:val="none" w:sz="0" w:space="0" w:color="auto"/>
        <w:right w:val="none" w:sz="0" w:space="0" w:color="auto"/>
      </w:divBdr>
    </w:div>
    <w:div w:id="119805648">
      <w:bodyDiv w:val="1"/>
      <w:marLeft w:val="0"/>
      <w:marRight w:val="0"/>
      <w:marTop w:val="0"/>
      <w:marBottom w:val="0"/>
      <w:divBdr>
        <w:top w:val="none" w:sz="0" w:space="0" w:color="auto"/>
        <w:left w:val="none" w:sz="0" w:space="0" w:color="auto"/>
        <w:bottom w:val="none" w:sz="0" w:space="0" w:color="auto"/>
        <w:right w:val="none" w:sz="0" w:space="0" w:color="auto"/>
      </w:divBdr>
      <w:divsChild>
        <w:div w:id="1092094246">
          <w:marLeft w:val="0"/>
          <w:marRight w:val="0"/>
          <w:marTop w:val="0"/>
          <w:marBottom w:val="0"/>
          <w:divBdr>
            <w:top w:val="none" w:sz="0" w:space="0" w:color="auto"/>
            <w:left w:val="none" w:sz="0" w:space="0" w:color="auto"/>
            <w:bottom w:val="none" w:sz="0" w:space="0" w:color="auto"/>
            <w:right w:val="none" w:sz="0" w:space="0" w:color="auto"/>
          </w:divBdr>
        </w:div>
      </w:divsChild>
    </w:div>
    <w:div w:id="120929173">
      <w:bodyDiv w:val="1"/>
      <w:marLeft w:val="0"/>
      <w:marRight w:val="0"/>
      <w:marTop w:val="0"/>
      <w:marBottom w:val="0"/>
      <w:divBdr>
        <w:top w:val="none" w:sz="0" w:space="0" w:color="auto"/>
        <w:left w:val="none" w:sz="0" w:space="0" w:color="auto"/>
        <w:bottom w:val="none" w:sz="0" w:space="0" w:color="auto"/>
        <w:right w:val="none" w:sz="0" w:space="0" w:color="auto"/>
      </w:divBdr>
    </w:div>
    <w:div w:id="136994058">
      <w:bodyDiv w:val="1"/>
      <w:marLeft w:val="0"/>
      <w:marRight w:val="0"/>
      <w:marTop w:val="0"/>
      <w:marBottom w:val="0"/>
      <w:divBdr>
        <w:top w:val="none" w:sz="0" w:space="0" w:color="auto"/>
        <w:left w:val="none" w:sz="0" w:space="0" w:color="auto"/>
        <w:bottom w:val="none" w:sz="0" w:space="0" w:color="auto"/>
        <w:right w:val="none" w:sz="0" w:space="0" w:color="auto"/>
      </w:divBdr>
      <w:divsChild>
        <w:div w:id="1008361943">
          <w:marLeft w:val="0"/>
          <w:marRight w:val="0"/>
          <w:marTop w:val="0"/>
          <w:marBottom w:val="0"/>
          <w:divBdr>
            <w:top w:val="none" w:sz="0" w:space="0" w:color="auto"/>
            <w:left w:val="none" w:sz="0" w:space="0" w:color="auto"/>
            <w:bottom w:val="none" w:sz="0" w:space="0" w:color="auto"/>
            <w:right w:val="none" w:sz="0" w:space="0" w:color="auto"/>
          </w:divBdr>
          <w:divsChild>
            <w:div w:id="324364076">
              <w:marLeft w:val="0"/>
              <w:marRight w:val="0"/>
              <w:marTop w:val="0"/>
              <w:marBottom w:val="0"/>
              <w:divBdr>
                <w:top w:val="none" w:sz="0" w:space="0" w:color="auto"/>
                <w:left w:val="none" w:sz="0" w:space="0" w:color="auto"/>
                <w:bottom w:val="none" w:sz="0" w:space="0" w:color="auto"/>
                <w:right w:val="none" w:sz="0" w:space="0" w:color="auto"/>
              </w:divBdr>
              <w:divsChild>
                <w:div w:id="407574533">
                  <w:marLeft w:val="0"/>
                  <w:marRight w:val="0"/>
                  <w:marTop w:val="0"/>
                  <w:marBottom w:val="0"/>
                  <w:divBdr>
                    <w:top w:val="none" w:sz="0" w:space="0" w:color="auto"/>
                    <w:left w:val="none" w:sz="0" w:space="0" w:color="auto"/>
                    <w:bottom w:val="none" w:sz="0" w:space="0" w:color="auto"/>
                    <w:right w:val="none" w:sz="0" w:space="0" w:color="auto"/>
                  </w:divBdr>
                  <w:divsChild>
                    <w:div w:id="366105703">
                      <w:marLeft w:val="0"/>
                      <w:marRight w:val="0"/>
                      <w:marTop w:val="0"/>
                      <w:marBottom w:val="0"/>
                      <w:divBdr>
                        <w:top w:val="none" w:sz="0" w:space="0" w:color="auto"/>
                        <w:left w:val="none" w:sz="0" w:space="0" w:color="auto"/>
                        <w:bottom w:val="none" w:sz="0" w:space="0" w:color="auto"/>
                        <w:right w:val="none" w:sz="0" w:space="0" w:color="auto"/>
                      </w:divBdr>
                      <w:divsChild>
                        <w:div w:id="196893099">
                          <w:marLeft w:val="0"/>
                          <w:marRight w:val="0"/>
                          <w:marTop w:val="0"/>
                          <w:marBottom w:val="0"/>
                          <w:divBdr>
                            <w:top w:val="none" w:sz="0" w:space="0" w:color="auto"/>
                            <w:left w:val="none" w:sz="0" w:space="0" w:color="auto"/>
                            <w:bottom w:val="none" w:sz="0" w:space="0" w:color="auto"/>
                            <w:right w:val="none" w:sz="0" w:space="0" w:color="auto"/>
                          </w:divBdr>
                          <w:divsChild>
                            <w:div w:id="1019283327">
                              <w:marLeft w:val="0"/>
                              <w:marRight w:val="0"/>
                              <w:marTop w:val="0"/>
                              <w:marBottom w:val="0"/>
                              <w:divBdr>
                                <w:top w:val="none" w:sz="0" w:space="0" w:color="auto"/>
                                <w:left w:val="none" w:sz="0" w:space="0" w:color="auto"/>
                                <w:bottom w:val="none" w:sz="0" w:space="0" w:color="auto"/>
                                <w:right w:val="none" w:sz="0" w:space="0" w:color="auto"/>
                              </w:divBdr>
                              <w:divsChild>
                                <w:div w:id="411007116">
                                  <w:marLeft w:val="0"/>
                                  <w:marRight w:val="0"/>
                                  <w:marTop w:val="0"/>
                                  <w:marBottom w:val="0"/>
                                  <w:divBdr>
                                    <w:top w:val="none" w:sz="0" w:space="0" w:color="auto"/>
                                    <w:left w:val="none" w:sz="0" w:space="0" w:color="auto"/>
                                    <w:bottom w:val="none" w:sz="0" w:space="0" w:color="auto"/>
                                    <w:right w:val="none" w:sz="0" w:space="0" w:color="auto"/>
                                  </w:divBdr>
                                  <w:divsChild>
                                    <w:div w:id="1326084568">
                                      <w:marLeft w:val="0"/>
                                      <w:marRight w:val="0"/>
                                      <w:marTop w:val="0"/>
                                      <w:marBottom w:val="0"/>
                                      <w:divBdr>
                                        <w:top w:val="none" w:sz="0" w:space="0" w:color="auto"/>
                                        <w:left w:val="none" w:sz="0" w:space="0" w:color="auto"/>
                                        <w:bottom w:val="none" w:sz="0" w:space="0" w:color="auto"/>
                                        <w:right w:val="none" w:sz="0" w:space="0" w:color="auto"/>
                                      </w:divBdr>
                                      <w:divsChild>
                                        <w:div w:id="1315142456">
                                          <w:marLeft w:val="0"/>
                                          <w:marRight w:val="0"/>
                                          <w:marTop w:val="0"/>
                                          <w:marBottom w:val="0"/>
                                          <w:divBdr>
                                            <w:top w:val="none" w:sz="0" w:space="0" w:color="auto"/>
                                            <w:left w:val="none" w:sz="0" w:space="0" w:color="auto"/>
                                            <w:bottom w:val="none" w:sz="0" w:space="0" w:color="auto"/>
                                            <w:right w:val="none" w:sz="0" w:space="0" w:color="auto"/>
                                          </w:divBdr>
                                          <w:divsChild>
                                            <w:div w:id="1705207854">
                                              <w:marLeft w:val="0"/>
                                              <w:marRight w:val="0"/>
                                              <w:marTop w:val="0"/>
                                              <w:marBottom w:val="0"/>
                                              <w:divBdr>
                                                <w:top w:val="none" w:sz="0" w:space="0" w:color="auto"/>
                                                <w:left w:val="none" w:sz="0" w:space="0" w:color="auto"/>
                                                <w:bottom w:val="none" w:sz="0" w:space="0" w:color="auto"/>
                                                <w:right w:val="none" w:sz="0" w:space="0" w:color="auto"/>
                                              </w:divBdr>
                                              <w:divsChild>
                                                <w:div w:id="355695981">
                                                  <w:marLeft w:val="0"/>
                                                  <w:marRight w:val="0"/>
                                                  <w:marTop w:val="0"/>
                                                  <w:marBottom w:val="0"/>
                                                  <w:divBdr>
                                                    <w:top w:val="none" w:sz="0" w:space="0" w:color="auto"/>
                                                    <w:left w:val="none" w:sz="0" w:space="0" w:color="auto"/>
                                                    <w:bottom w:val="none" w:sz="0" w:space="0" w:color="auto"/>
                                                    <w:right w:val="none" w:sz="0" w:space="0" w:color="auto"/>
                                                  </w:divBdr>
                                                  <w:divsChild>
                                                    <w:div w:id="2134129779">
                                                      <w:marLeft w:val="0"/>
                                                      <w:marRight w:val="0"/>
                                                      <w:marTop w:val="0"/>
                                                      <w:marBottom w:val="0"/>
                                                      <w:divBdr>
                                                        <w:top w:val="none" w:sz="0" w:space="0" w:color="auto"/>
                                                        <w:left w:val="none" w:sz="0" w:space="0" w:color="auto"/>
                                                        <w:bottom w:val="none" w:sz="0" w:space="0" w:color="auto"/>
                                                        <w:right w:val="none" w:sz="0" w:space="0" w:color="auto"/>
                                                      </w:divBdr>
                                                      <w:divsChild>
                                                        <w:div w:id="1956935491">
                                                          <w:marLeft w:val="0"/>
                                                          <w:marRight w:val="0"/>
                                                          <w:marTop w:val="0"/>
                                                          <w:marBottom w:val="0"/>
                                                          <w:divBdr>
                                                            <w:top w:val="none" w:sz="0" w:space="0" w:color="auto"/>
                                                            <w:left w:val="none" w:sz="0" w:space="0" w:color="auto"/>
                                                            <w:bottom w:val="none" w:sz="0" w:space="0" w:color="auto"/>
                                                            <w:right w:val="none" w:sz="0" w:space="0" w:color="auto"/>
                                                          </w:divBdr>
                                                          <w:divsChild>
                                                            <w:div w:id="919602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38575172">
      <w:bodyDiv w:val="1"/>
      <w:marLeft w:val="0"/>
      <w:marRight w:val="0"/>
      <w:marTop w:val="0"/>
      <w:marBottom w:val="0"/>
      <w:divBdr>
        <w:top w:val="none" w:sz="0" w:space="0" w:color="auto"/>
        <w:left w:val="none" w:sz="0" w:space="0" w:color="auto"/>
        <w:bottom w:val="none" w:sz="0" w:space="0" w:color="auto"/>
        <w:right w:val="none" w:sz="0" w:space="0" w:color="auto"/>
      </w:divBdr>
    </w:div>
    <w:div w:id="164977527">
      <w:bodyDiv w:val="1"/>
      <w:marLeft w:val="0"/>
      <w:marRight w:val="0"/>
      <w:marTop w:val="0"/>
      <w:marBottom w:val="0"/>
      <w:divBdr>
        <w:top w:val="none" w:sz="0" w:space="0" w:color="auto"/>
        <w:left w:val="none" w:sz="0" w:space="0" w:color="auto"/>
        <w:bottom w:val="none" w:sz="0" w:space="0" w:color="auto"/>
        <w:right w:val="none" w:sz="0" w:space="0" w:color="auto"/>
      </w:divBdr>
      <w:divsChild>
        <w:div w:id="973218876">
          <w:marLeft w:val="0"/>
          <w:marRight w:val="0"/>
          <w:marTop w:val="0"/>
          <w:marBottom w:val="0"/>
          <w:divBdr>
            <w:top w:val="none" w:sz="0" w:space="0" w:color="auto"/>
            <w:left w:val="none" w:sz="0" w:space="0" w:color="auto"/>
            <w:bottom w:val="none" w:sz="0" w:space="0" w:color="auto"/>
            <w:right w:val="none" w:sz="0" w:space="0" w:color="auto"/>
          </w:divBdr>
        </w:div>
        <w:div w:id="869805758">
          <w:marLeft w:val="0"/>
          <w:marRight w:val="0"/>
          <w:marTop w:val="0"/>
          <w:marBottom w:val="0"/>
          <w:divBdr>
            <w:top w:val="none" w:sz="0" w:space="0" w:color="auto"/>
            <w:left w:val="none" w:sz="0" w:space="0" w:color="auto"/>
            <w:bottom w:val="none" w:sz="0" w:space="0" w:color="auto"/>
            <w:right w:val="none" w:sz="0" w:space="0" w:color="auto"/>
          </w:divBdr>
        </w:div>
        <w:div w:id="1017926759">
          <w:marLeft w:val="0"/>
          <w:marRight w:val="0"/>
          <w:marTop w:val="0"/>
          <w:marBottom w:val="0"/>
          <w:divBdr>
            <w:top w:val="none" w:sz="0" w:space="0" w:color="auto"/>
            <w:left w:val="none" w:sz="0" w:space="0" w:color="auto"/>
            <w:bottom w:val="none" w:sz="0" w:space="0" w:color="auto"/>
            <w:right w:val="none" w:sz="0" w:space="0" w:color="auto"/>
          </w:divBdr>
        </w:div>
      </w:divsChild>
    </w:div>
    <w:div w:id="197743955">
      <w:bodyDiv w:val="1"/>
      <w:marLeft w:val="0"/>
      <w:marRight w:val="0"/>
      <w:marTop w:val="0"/>
      <w:marBottom w:val="0"/>
      <w:divBdr>
        <w:top w:val="none" w:sz="0" w:space="0" w:color="auto"/>
        <w:left w:val="none" w:sz="0" w:space="0" w:color="auto"/>
        <w:bottom w:val="none" w:sz="0" w:space="0" w:color="auto"/>
        <w:right w:val="none" w:sz="0" w:space="0" w:color="auto"/>
      </w:divBdr>
    </w:div>
    <w:div w:id="220026049">
      <w:bodyDiv w:val="1"/>
      <w:marLeft w:val="0"/>
      <w:marRight w:val="0"/>
      <w:marTop w:val="0"/>
      <w:marBottom w:val="0"/>
      <w:divBdr>
        <w:top w:val="none" w:sz="0" w:space="0" w:color="auto"/>
        <w:left w:val="none" w:sz="0" w:space="0" w:color="auto"/>
        <w:bottom w:val="none" w:sz="0" w:space="0" w:color="auto"/>
        <w:right w:val="none" w:sz="0" w:space="0" w:color="auto"/>
      </w:divBdr>
    </w:div>
    <w:div w:id="285084760">
      <w:bodyDiv w:val="1"/>
      <w:marLeft w:val="0"/>
      <w:marRight w:val="0"/>
      <w:marTop w:val="0"/>
      <w:marBottom w:val="0"/>
      <w:divBdr>
        <w:top w:val="none" w:sz="0" w:space="0" w:color="auto"/>
        <w:left w:val="none" w:sz="0" w:space="0" w:color="auto"/>
        <w:bottom w:val="none" w:sz="0" w:space="0" w:color="auto"/>
        <w:right w:val="none" w:sz="0" w:space="0" w:color="auto"/>
      </w:divBdr>
    </w:div>
    <w:div w:id="319775774">
      <w:bodyDiv w:val="1"/>
      <w:marLeft w:val="0"/>
      <w:marRight w:val="0"/>
      <w:marTop w:val="0"/>
      <w:marBottom w:val="0"/>
      <w:divBdr>
        <w:top w:val="none" w:sz="0" w:space="0" w:color="auto"/>
        <w:left w:val="none" w:sz="0" w:space="0" w:color="auto"/>
        <w:bottom w:val="none" w:sz="0" w:space="0" w:color="auto"/>
        <w:right w:val="none" w:sz="0" w:space="0" w:color="auto"/>
      </w:divBdr>
      <w:divsChild>
        <w:div w:id="78412432">
          <w:marLeft w:val="0"/>
          <w:marRight w:val="0"/>
          <w:marTop w:val="0"/>
          <w:marBottom w:val="0"/>
          <w:divBdr>
            <w:top w:val="none" w:sz="0" w:space="0" w:color="auto"/>
            <w:left w:val="none" w:sz="0" w:space="0" w:color="auto"/>
            <w:bottom w:val="none" w:sz="0" w:space="0" w:color="auto"/>
            <w:right w:val="none" w:sz="0" w:space="0" w:color="auto"/>
          </w:divBdr>
          <w:divsChild>
            <w:div w:id="374815341">
              <w:marLeft w:val="0"/>
              <w:marRight w:val="0"/>
              <w:marTop w:val="0"/>
              <w:marBottom w:val="0"/>
              <w:divBdr>
                <w:top w:val="none" w:sz="0" w:space="0" w:color="auto"/>
                <w:left w:val="none" w:sz="0" w:space="0" w:color="auto"/>
                <w:bottom w:val="none" w:sz="0" w:space="0" w:color="auto"/>
                <w:right w:val="none" w:sz="0" w:space="0" w:color="auto"/>
              </w:divBdr>
            </w:div>
          </w:divsChild>
        </w:div>
        <w:div w:id="107433376">
          <w:marLeft w:val="0"/>
          <w:marRight w:val="0"/>
          <w:marTop w:val="0"/>
          <w:marBottom w:val="0"/>
          <w:divBdr>
            <w:top w:val="none" w:sz="0" w:space="0" w:color="auto"/>
            <w:left w:val="none" w:sz="0" w:space="0" w:color="auto"/>
            <w:bottom w:val="none" w:sz="0" w:space="0" w:color="auto"/>
            <w:right w:val="none" w:sz="0" w:space="0" w:color="auto"/>
          </w:divBdr>
        </w:div>
        <w:div w:id="1000037409">
          <w:marLeft w:val="0"/>
          <w:marRight w:val="0"/>
          <w:marTop w:val="0"/>
          <w:marBottom w:val="0"/>
          <w:divBdr>
            <w:top w:val="none" w:sz="0" w:space="0" w:color="auto"/>
            <w:left w:val="none" w:sz="0" w:space="0" w:color="auto"/>
            <w:bottom w:val="none" w:sz="0" w:space="0" w:color="auto"/>
            <w:right w:val="none" w:sz="0" w:space="0" w:color="auto"/>
          </w:divBdr>
        </w:div>
      </w:divsChild>
    </w:div>
    <w:div w:id="324893865">
      <w:bodyDiv w:val="1"/>
      <w:marLeft w:val="0"/>
      <w:marRight w:val="0"/>
      <w:marTop w:val="0"/>
      <w:marBottom w:val="0"/>
      <w:divBdr>
        <w:top w:val="none" w:sz="0" w:space="0" w:color="auto"/>
        <w:left w:val="none" w:sz="0" w:space="0" w:color="auto"/>
        <w:bottom w:val="none" w:sz="0" w:space="0" w:color="auto"/>
        <w:right w:val="none" w:sz="0" w:space="0" w:color="auto"/>
      </w:divBdr>
    </w:div>
    <w:div w:id="324894300">
      <w:bodyDiv w:val="1"/>
      <w:marLeft w:val="0"/>
      <w:marRight w:val="0"/>
      <w:marTop w:val="0"/>
      <w:marBottom w:val="0"/>
      <w:divBdr>
        <w:top w:val="none" w:sz="0" w:space="0" w:color="auto"/>
        <w:left w:val="none" w:sz="0" w:space="0" w:color="auto"/>
        <w:bottom w:val="none" w:sz="0" w:space="0" w:color="auto"/>
        <w:right w:val="none" w:sz="0" w:space="0" w:color="auto"/>
      </w:divBdr>
    </w:div>
    <w:div w:id="431240754">
      <w:bodyDiv w:val="1"/>
      <w:marLeft w:val="0"/>
      <w:marRight w:val="0"/>
      <w:marTop w:val="0"/>
      <w:marBottom w:val="0"/>
      <w:divBdr>
        <w:top w:val="none" w:sz="0" w:space="0" w:color="auto"/>
        <w:left w:val="none" w:sz="0" w:space="0" w:color="auto"/>
        <w:bottom w:val="none" w:sz="0" w:space="0" w:color="auto"/>
        <w:right w:val="none" w:sz="0" w:space="0" w:color="auto"/>
      </w:divBdr>
    </w:div>
    <w:div w:id="434784852">
      <w:bodyDiv w:val="1"/>
      <w:marLeft w:val="0"/>
      <w:marRight w:val="0"/>
      <w:marTop w:val="0"/>
      <w:marBottom w:val="0"/>
      <w:divBdr>
        <w:top w:val="none" w:sz="0" w:space="0" w:color="auto"/>
        <w:left w:val="none" w:sz="0" w:space="0" w:color="auto"/>
        <w:bottom w:val="none" w:sz="0" w:space="0" w:color="auto"/>
        <w:right w:val="none" w:sz="0" w:space="0" w:color="auto"/>
      </w:divBdr>
      <w:divsChild>
        <w:div w:id="67311765">
          <w:marLeft w:val="0"/>
          <w:marRight w:val="0"/>
          <w:marTop w:val="0"/>
          <w:marBottom w:val="0"/>
          <w:divBdr>
            <w:top w:val="none" w:sz="0" w:space="0" w:color="auto"/>
            <w:left w:val="none" w:sz="0" w:space="0" w:color="auto"/>
            <w:bottom w:val="none" w:sz="0" w:space="0" w:color="auto"/>
            <w:right w:val="none" w:sz="0" w:space="0" w:color="auto"/>
          </w:divBdr>
          <w:divsChild>
            <w:div w:id="287972381">
              <w:marLeft w:val="0"/>
              <w:marRight w:val="0"/>
              <w:marTop w:val="0"/>
              <w:marBottom w:val="0"/>
              <w:divBdr>
                <w:top w:val="none" w:sz="0" w:space="0" w:color="auto"/>
                <w:left w:val="none" w:sz="0" w:space="0" w:color="auto"/>
                <w:bottom w:val="none" w:sz="0" w:space="0" w:color="auto"/>
                <w:right w:val="none" w:sz="0" w:space="0" w:color="auto"/>
              </w:divBdr>
              <w:divsChild>
                <w:div w:id="1491209621">
                  <w:marLeft w:val="0"/>
                  <w:marRight w:val="0"/>
                  <w:marTop w:val="0"/>
                  <w:marBottom w:val="0"/>
                  <w:divBdr>
                    <w:top w:val="none" w:sz="0" w:space="0" w:color="auto"/>
                    <w:left w:val="none" w:sz="0" w:space="0" w:color="auto"/>
                    <w:bottom w:val="none" w:sz="0" w:space="0" w:color="auto"/>
                    <w:right w:val="none" w:sz="0" w:space="0" w:color="auto"/>
                  </w:divBdr>
                  <w:divsChild>
                    <w:div w:id="1398554581">
                      <w:marLeft w:val="0"/>
                      <w:marRight w:val="0"/>
                      <w:marTop w:val="0"/>
                      <w:marBottom w:val="0"/>
                      <w:divBdr>
                        <w:top w:val="none" w:sz="0" w:space="0" w:color="auto"/>
                        <w:left w:val="none" w:sz="0" w:space="0" w:color="auto"/>
                        <w:bottom w:val="none" w:sz="0" w:space="0" w:color="auto"/>
                        <w:right w:val="none" w:sz="0" w:space="0" w:color="auto"/>
                      </w:divBdr>
                      <w:divsChild>
                        <w:div w:id="1160730816">
                          <w:marLeft w:val="0"/>
                          <w:marRight w:val="0"/>
                          <w:marTop w:val="0"/>
                          <w:marBottom w:val="0"/>
                          <w:divBdr>
                            <w:top w:val="none" w:sz="0" w:space="0" w:color="auto"/>
                            <w:left w:val="none" w:sz="0" w:space="0" w:color="auto"/>
                            <w:bottom w:val="none" w:sz="0" w:space="0" w:color="auto"/>
                            <w:right w:val="none" w:sz="0" w:space="0" w:color="auto"/>
                          </w:divBdr>
                          <w:divsChild>
                            <w:div w:id="829830967">
                              <w:marLeft w:val="0"/>
                              <w:marRight w:val="0"/>
                              <w:marTop w:val="0"/>
                              <w:marBottom w:val="0"/>
                              <w:divBdr>
                                <w:top w:val="none" w:sz="0" w:space="0" w:color="auto"/>
                                <w:left w:val="none" w:sz="0" w:space="0" w:color="auto"/>
                                <w:bottom w:val="none" w:sz="0" w:space="0" w:color="auto"/>
                                <w:right w:val="none" w:sz="0" w:space="0" w:color="auto"/>
                              </w:divBdr>
                              <w:divsChild>
                                <w:div w:id="2111313846">
                                  <w:marLeft w:val="0"/>
                                  <w:marRight w:val="0"/>
                                  <w:marTop w:val="0"/>
                                  <w:marBottom w:val="0"/>
                                  <w:divBdr>
                                    <w:top w:val="none" w:sz="0" w:space="0" w:color="auto"/>
                                    <w:left w:val="none" w:sz="0" w:space="0" w:color="auto"/>
                                    <w:bottom w:val="none" w:sz="0" w:space="0" w:color="auto"/>
                                    <w:right w:val="none" w:sz="0" w:space="0" w:color="auto"/>
                                  </w:divBdr>
                                  <w:divsChild>
                                    <w:div w:id="1743871359">
                                      <w:marLeft w:val="0"/>
                                      <w:marRight w:val="0"/>
                                      <w:marTop w:val="0"/>
                                      <w:marBottom w:val="0"/>
                                      <w:divBdr>
                                        <w:top w:val="none" w:sz="0" w:space="0" w:color="auto"/>
                                        <w:left w:val="none" w:sz="0" w:space="0" w:color="auto"/>
                                        <w:bottom w:val="none" w:sz="0" w:space="0" w:color="auto"/>
                                        <w:right w:val="none" w:sz="0" w:space="0" w:color="auto"/>
                                      </w:divBdr>
                                      <w:divsChild>
                                        <w:div w:id="1286471919">
                                          <w:marLeft w:val="0"/>
                                          <w:marRight w:val="0"/>
                                          <w:marTop w:val="0"/>
                                          <w:marBottom w:val="0"/>
                                          <w:divBdr>
                                            <w:top w:val="none" w:sz="0" w:space="0" w:color="auto"/>
                                            <w:left w:val="none" w:sz="0" w:space="0" w:color="auto"/>
                                            <w:bottom w:val="none" w:sz="0" w:space="0" w:color="auto"/>
                                            <w:right w:val="none" w:sz="0" w:space="0" w:color="auto"/>
                                          </w:divBdr>
                                          <w:divsChild>
                                            <w:div w:id="197007263">
                                              <w:marLeft w:val="0"/>
                                              <w:marRight w:val="0"/>
                                              <w:marTop w:val="0"/>
                                              <w:marBottom w:val="0"/>
                                              <w:divBdr>
                                                <w:top w:val="none" w:sz="0" w:space="0" w:color="auto"/>
                                                <w:left w:val="none" w:sz="0" w:space="0" w:color="auto"/>
                                                <w:bottom w:val="none" w:sz="0" w:space="0" w:color="auto"/>
                                                <w:right w:val="none" w:sz="0" w:space="0" w:color="auto"/>
                                              </w:divBdr>
                                              <w:divsChild>
                                                <w:div w:id="1723560454">
                                                  <w:marLeft w:val="0"/>
                                                  <w:marRight w:val="0"/>
                                                  <w:marTop w:val="0"/>
                                                  <w:marBottom w:val="0"/>
                                                  <w:divBdr>
                                                    <w:top w:val="none" w:sz="0" w:space="0" w:color="auto"/>
                                                    <w:left w:val="none" w:sz="0" w:space="0" w:color="auto"/>
                                                    <w:bottom w:val="none" w:sz="0" w:space="0" w:color="auto"/>
                                                    <w:right w:val="none" w:sz="0" w:space="0" w:color="auto"/>
                                                  </w:divBdr>
                                                  <w:divsChild>
                                                    <w:div w:id="984505069">
                                                      <w:marLeft w:val="0"/>
                                                      <w:marRight w:val="0"/>
                                                      <w:marTop w:val="0"/>
                                                      <w:marBottom w:val="0"/>
                                                      <w:divBdr>
                                                        <w:top w:val="none" w:sz="0" w:space="0" w:color="auto"/>
                                                        <w:left w:val="none" w:sz="0" w:space="0" w:color="auto"/>
                                                        <w:bottom w:val="none" w:sz="0" w:space="0" w:color="auto"/>
                                                        <w:right w:val="none" w:sz="0" w:space="0" w:color="auto"/>
                                                      </w:divBdr>
                                                      <w:divsChild>
                                                        <w:div w:id="1024134817">
                                                          <w:marLeft w:val="0"/>
                                                          <w:marRight w:val="0"/>
                                                          <w:marTop w:val="0"/>
                                                          <w:marBottom w:val="0"/>
                                                          <w:divBdr>
                                                            <w:top w:val="none" w:sz="0" w:space="0" w:color="auto"/>
                                                            <w:left w:val="none" w:sz="0" w:space="0" w:color="auto"/>
                                                            <w:bottom w:val="none" w:sz="0" w:space="0" w:color="auto"/>
                                                            <w:right w:val="none" w:sz="0" w:space="0" w:color="auto"/>
                                                          </w:divBdr>
                                                          <w:divsChild>
                                                            <w:div w:id="1763144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457071489">
      <w:bodyDiv w:val="1"/>
      <w:marLeft w:val="0"/>
      <w:marRight w:val="0"/>
      <w:marTop w:val="0"/>
      <w:marBottom w:val="0"/>
      <w:divBdr>
        <w:top w:val="none" w:sz="0" w:space="0" w:color="auto"/>
        <w:left w:val="none" w:sz="0" w:space="0" w:color="auto"/>
        <w:bottom w:val="none" w:sz="0" w:space="0" w:color="auto"/>
        <w:right w:val="none" w:sz="0" w:space="0" w:color="auto"/>
      </w:divBdr>
    </w:div>
    <w:div w:id="496849300">
      <w:bodyDiv w:val="1"/>
      <w:marLeft w:val="0"/>
      <w:marRight w:val="0"/>
      <w:marTop w:val="0"/>
      <w:marBottom w:val="0"/>
      <w:divBdr>
        <w:top w:val="none" w:sz="0" w:space="0" w:color="auto"/>
        <w:left w:val="none" w:sz="0" w:space="0" w:color="auto"/>
        <w:bottom w:val="none" w:sz="0" w:space="0" w:color="auto"/>
        <w:right w:val="none" w:sz="0" w:space="0" w:color="auto"/>
      </w:divBdr>
    </w:div>
    <w:div w:id="554585353">
      <w:bodyDiv w:val="1"/>
      <w:marLeft w:val="0"/>
      <w:marRight w:val="0"/>
      <w:marTop w:val="0"/>
      <w:marBottom w:val="0"/>
      <w:divBdr>
        <w:top w:val="none" w:sz="0" w:space="0" w:color="auto"/>
        <w:left w:val="none" w:sz="0" w:space="0" w:color="auto"/>
        <w:bottom w:val="none" w:sz="0" w:space="0" w:color="auto"/>
        <w:right w:val="none" w:sz="0" w:space="0" w:color="auto"/>
      </w:divBdr>
    </w:div>
    <w:div w:id="558133601">
      <w:bodyDiv w:val="1"/>
      <w:marLeft w:val="0"/>
      <w:marRight w:val="0"/>
      <w:marTop w:val="0"/>
      <w:marBottom w:val="0"/>
      <w:divBdr>
        <w:top w:val="none" w:sz="0" w:space="0" w:color="auto"/>
        <w:left w:val="none" w:sz="0" w:space="0" w:color="auto"/>
        <w:bottom w:val="none" w:sz="0" w:space="0" w:color="auto"/>
        <w:right w:val="none" w:sz="0" w:space="0" w:color="auto"/>
      </w:divBdr>
    </w:div>
    <w:div w:id="571307778">
      <w:bodyDiv w:val="1"/>
      <w:marLeft w:val="0"/>
      <w:marRight w:val="0"/>
      <w:marTop w:val="0"/>
      <w:marBottom w:val="0"/>
      <w:divBdr>
        <w:top w:val="none" w:sz="0" w:space="0" w:color="auto"/>
        <w:left w:val="none" w:sz="0" w:space="0" w:color="auto"/>
        <w:bottom w:val="none" w:sz="0" w:space="0" w:color="auto"/>
        <w:right w:val="none" w:sz="0" w:space="0" w:color="auto"/>
      </w:divBdr>
    </w:div>
    <w:div w:id="597447024">
      <w:bodyDiv w:val="1"/>
      <w:marLeft w:val="0"/>
      <w:marRight w:val="0"/>
      <w:marTop w:val="0"/>
      <w:marBottom w:val="0"/>
      <w:divBdr>
        <w:top w:val="none" w:sz="0" w:space="0" w:color="auto"/>
        <w:left w:val="none" w:sz="0" w:space="0" w:color="auto"/>
        <w:bottom w:val="none" w:sz="0" w:space="0" w:color="auto"/>
        <w:right w:val="none" w:sz="0" w:space="0" w:color="auto"/>
      </w:divBdr>
    </w:div>
    <w:div w:id="603070750">
      <w:bodyDiv w:val="1"/>
      <w:marLeft w:val="0"/>
      <w:marRight w:val="0"/>
      <w:marTop w:val="0"/>
      <w:marBottom w:val="0"/>
      <w:divBdr>
        <w:top w:val="none" w:sz="0" w:space="0" w:color="auto"/>
        <w:left w:val="none" w:sz="0" w:space="0" w:color="auto"/>
        <w:bottom w:val="none" w:sz="0" w:space="0" w:color="auto"/>
        <w:right w:val="none" w:sz="0" w:space="0" w:color="auto"/>
      </w:divBdr>
    </w:div>
    <w:div w:id="623080998">
      <w:bodyDiv w:val="1"/>
      <w:marLeft w:val="0"/>
      <w:marRight w:val="0"/>
      <w:marTop w:val="0"/>
      <w:marBottom w:val="0"/>
      <w:divBdr>
        <w:top w:val="none" w:sz="0" w:space="0" w:color="auto"/>
        <w:left w:val="none" w:sz="0" w:space="0" w:color="auto"/>
        <w:bottom w:val="none" w:sz="0" w:space="0" w:color="auto"/>
        <w:right w:val="none" w:sz="0" w:space="0" w:color="auto"/>
      </w:divBdr>
    </w:div>
    <w:div w:id="629366168">
      <w:bodyDiv w:val="1"/>
      <w:marLeft w:val="0"/>
      <w:marRight w:val="0"/>
      <w:marTop w:val="0"/>
      <w:marBottom w:val="0"/>
      <w:divBdr>
        <w:top w:val="none" w:sz="0" w:space="0" w:color="auto"/>
        <w:left w:val="none" w:sz="0" w:space="0" w:color="auto"/>
        <w:bottom w:val="none" w:sz="0" w:space="0" w:color="auto"/>
        <w:right w:val="none" w:sz="0" w:space="0" w:color="auto"/>
      </w:divBdr>
    </w:div>
    <w:div w:id="641815438">
      <w:bodyDiv w:val="1"/>
      <w:marLeft w:val="0"/>
      <w:marRight w:val="0"/>
      <w:marTop w:val="0"/>
      <w:marBottom w:val="0"/>
      <w:divBdr>
        <w:top w:val="none" w:sz="0" w:space="0" w:color="auto"/>
        <w:left w:val="none" w:sz="0" w:space="0" w:color="auto"/>
        <w:bottom w:val="none" w:sz="0" w:space="0" w:color="auto"/>
        <w:right w:val="none" w:sz="0" w:space="0" w:color="auto"/>
      </w:divBdr>
    </w:div>
    <w:div w:id="656616412">
      <w:bodyDiv w:val="1"/>
      <w:marLeft w:val="0"/>
      <w:marRight w:val="0"/>
      <w:marTop w:val="0"/>
      <w:marBottom w:val="0"/>
      <w:divBdr>
        <w:top w:val="none" w:sz="0" w:space="0" w:color="auto"/>
        <w:left w:val="none" w:sz="0" w:space="0" w:color="auto"/>
        <w:bottom w:val="none" w:sz="0" w:space="0" w:color="auto"/>
        <w:right w:val="none" w:sz="0" w:space="0" w:color="auto"/>
      </w:divBdr>
    </w:div>
    <w:div w:id="657615664">
      <w:bodyDiv w:val="1"/>
      <w:marLeft w:val="0"/>
      <w:marRight w:val="0"/>
      <w:marTop w:val="0"/>
      <w:marBottom w:val="0"/>
      <w:divBdr>
        <w:top w:val="none" w:sz="0" w:space="0" w:color="auto"/>
        <w:left w:val="none" w:sz="0" w:space="0" w:color="auto"/>
        <w:bottom w:val="none" w:sz="0" w:space="0" w:color="auto"/>
        <w:right w:val="none" w:sz="0" w:space="0" w:color="auto"/>
      </w:divBdr>
    </w:div>
    <w:div w:id="672953998">
      <w:bodyDiv w:val="1"/>
      <w:marLeft w:val="0"/>
      <w:marRight w:val="0"/>
      <w:marTop w:val="0"/>
      <w:marBottom w:val="0"/>
      <w:divBdr>
        <w:top w:val="none" w:sz="0" w:space="0" w:color="auto"/>
        <w:left w:val="none" w:sz="0" w:space="0" w:color="auto"/>
        <w:bottom w:val="none" w:sz="0" w:space="0" w:color="auto"/>
        <w:right w:val="none" w:sz="0" w:space="0" w:color="auto"/>
      </w:divBdr>
    </w:div>
    <w:div w:id="686834535">
      <w:bodyDiv w:val="1"/>
      <w:marLeft w:val="0"/>
      <w:marRight w:val="0"/>
      <w:marTop w:val="0"/>
      <w:marBottom w:val="0"/>
      <w:divBdr>
        <w:top w:val="none" w:sz="0" w:space="0" w:color="auto"/>
        <w:left w:val="none" w:sz="0" w:space="0" w:color="auto"/>
        <w:bottom w:val="none" w:sz="0" w:space="0" w:color="auto"/>
        <w:right w:val="none" w:sz="0" w:space="0" w:color="auto"/>
      </w:divBdr>
      <w:divsChild>
        <w:div w:id="322007816">
          <w:marLeft w:val="0"/>
          <w:marRight w:val="0"/>
          <w:marTop w:val="0"/>
          <w:marBottom w:val="0"/>
          <w:divBdr>
            <w:top w:val="none" w:sz="0" w:space="0" w:color="auto"/>
            <w:left w:val="none" w:sz="0" w:space="0" w:color="auto"/>
            <w:bottom w:val="none" w:sz="0" w:space="0" w:color="auto"/>
            <w:right w:val="none" w:sz="0" w:space="0" w:color="auto"/>
          </w:divBdr>
        </w:div>
      </w:divsChild>
    </w:div>
    <w:div w:id="693652976">
      <w:bodyDiv w:val="1"/>
      <w:marLeft w:val="0"/>
      <w:marRight w:val="0"/>
      <w:marTop w:val="0"/>
      <w:marBottom w:val="0"/>
      <w:divBdr>
        <w:top w:val="none" w:sz="0" w:space="0" w:color="auto"/>
        <w:left w:val="none" w:sz="0" w:space="0" w:color="auto"/>
        <w:bottom w:val="none" w:sz="0" w:space="0" w:color="auto"/>
        <w:right w:val="none" w:sz="0" w:space="0" w:color="auto"/>
      </w:divBdr>
    </w:div>
    <w:div w:id="734279610">
      <w:bodyDiv w:val="1"/>
      <w:marLeft w:val="0"/>
      <w:marRight w:val="0"/>
      <w:marTop w:val="0"/>
      <w:marBottom w:val="0"/>
      <w:divBdr>
        <w:top w:val="none" w:sz="0" w:space="0" w:color="auto"/>
        <w:left w:val="none" w:sz="0" w:space="0" w:color="auto"/>
        <w:bottom w:val="none" w:sz="0" w:space="0" w:color="auto"/>
        <w:right w:val="none" w:sz="0" w:space="0" w:color="auto"/>
      </w:divBdr>
    </w:div>
    <w:div w:id="743069392">
      <w:bodyDiv w:val="1"/>
      <w:marLeft w:val="0"/>
      <w:marRight w:val="0"/>
      <w:marTop w:val="0"/>
      <w:marBottom w:val="0"/>
      <w:divBdr>
        <w:top w:val="none" w:sz="0" w:space="0" w:color="auto"/>
        <w:left w:val="none" w:sz="0" w:space="0" w:color="auto"/>
        <w:bottom w:val="none" w:sz="0" w:space="0" w:color="auto"/>
        <w:right w:val="none" w:sz="0" w:space="0" w:color="auto"/>
      </w:divBdr>
    </w:div>
    <w:div w:id="771704187">
      <w:bodyDiv w:val="1"/>
      <w:marLeft w:val="0"/>
      <w:marRight w:val="0"/>
      <w:marTop w:val="0"/>
      <w:marBottom w:val="0"/>
      <w:divBdr>
        <w:top w:val="none" w:sz="0" w:space="0" w:color="auto"/>
        <w:left w:val="none" w:sz="0" w:space="0" w:color="auto"/>
        <w:bottom w:val="none" w:sz="0" w:space="0" w:color="auto"/>
        <w:right w:val="none" w:sz="0" w:space="0" w:color="auto"/>
      </w:divBdr>
    </w:div>
    <w:div w:id="810828734">
      <w:bodyDiv w:val="1"/>
      <w:marLeft w:val="0"/>
      <w:marRight w:val="0"/>
      <w:marTop w:val="0"/>
      <w:marBottom w:val="0"/>
      <w:divBdr>
        <w:top w:val="none" w:sz="0" w:space="0" w:color="auto"/>
        <w:left w:val="none" w:sz="0" w:space="0" w:color="auto"/>
        <w:bottom w:val="none" w:sz="0" w:space="0" w:color="auto"/>
        <w:right w:val="none" w:sz="0" w:space="0" w:color="auto"/>
      </w:divBdr>
    </w:div>
    <w:div w:id="828641774">
      <w:bodyDiv w:val="1"/>
      <w:marLeft w:val="0"/>
      <w:marRight w:val="0"/>
      <w:marTop w:val="0"/>
      <w:marBottom w:val="0"/>
      <w:divBdr>
        <w:top w:val="none" w:sz="0" w:space="0" w:color="auto"/>
        <w:left w:val="none" w:sz="0" w:space="0" w:color="auto"/>
        <w:bottom w:val="none" w:sz="0" w:space="0" w:color="auto"/>
        <w:right w:val="none" w:sz="0" w:space="0" w:color="auto"/>
      </w:divBdr>
    </w:div>
    <w:div w:id="899483735">
      <w:bodyDiv w:val="1"/>
      <w:marLeft w:val="0"/>
      <w:marRight w:val="0"/>
      <w:marTop w:val="0"/>
      <w:marBottom w:val="0"/>
      <w:divBdr>
        <w:top w:val="none" w:sz="0" w:space="0" w:color="auto"/>
        <w:left w:val="none" w:sz="0" w:space="0" w:color="auto"/>
        <w:bottom w:val="none" w:sz="0" w:space="0" w:color="auto"/>
        <w:right w:val="none" w:sz="0" w:space="0" w:color="auto"/>
      </w:divBdr>
    </w:div>
    <w:div w:id="912397576">
      <w:bodyDiv w:val="1"/>
      <w:marLeft w:val="0"/>
      <w:marRight w:val="0"/>
      <w:marTop w:val="0"/>
      <w:marBottom w:val="0"/>
      <w:divBdr>
        <w:top w:val="none" w:sz="0" w:space="0" w:color="auto"/>
        <w:left w:val="none" w:sz="0" w:space="0" w:color="auto"/>
        <w:bottom w:val="none" w:sz="0" w:space="0" w:color="auto"/>
        <w:right w:val="none" w:sz="0" w:space="0" w:color="auto"/>
      </w:divBdr>
    </w:div>
    <w:div w:id="913781531">
      <w:bodyDiv w:val="1"/>
      <w:marLeft w:val="0"/>
      <w:marRight w:val="0"/>
      <w:marTop w:val="0"/>
      <w:marBottom w:val="0"/>
      <w:divBdr>
        <w:top w:val="none" w:sz="0" w:space="0" w:color="auto"/>
        <w:left w:val="none" w:sz="0" w:space="0" w:color="auto"/>
        <w:bottom w:val="none" w:sz="0" w:space="0" w:color="auto"/>
        <w:right w:val="none" w:sz="0" w:space="0" w:color="auto"/>
      </w:divBdr>
    </w:div>
    <w:div w:id="938374904">
      <w:bodyDiv w:val="1"/>
      <w:marLeft w:val="0"/>
      <w:marRight w:val="0"/>
      <w:marTop w:val="0"/>
      <w:marBottom w:val="0"/>
      <w:divBdr>
        <w:top w:val="none" w:sz="0" w:space="0" w:color="auto"/>
        <w:left w:val="none" w:sz="0" w:space="0" w:color="auto"/>
        <w:bottom w:val="none" w:sz="0" w:space="0" w:color="auto"/>
        <w:right w:val="none" w:sz="0" w:space="0" w:color="auto"/>
      </w:divBdr>
    </w:div>
    <w:div w:id="960841908">
      <w:bodyDiv w:val="1"/>
      <w:marLeft w:val="0"/>
      <w:marRight w:val="0"/>
      <w:marTop w:val="0"/>
      <w:marBottom w:val="0"/>
      <w:divBdr>
        <w:top w:val="none" w:sz="0" w:space="0" w:color="auto"/>
        <w:left w:val="none" w:sz="0" w:space="0" w:color="auto"/>
        <w:bottom w:val="none" w:sz="0" w:space="0" w:color="auto"/>
        <w:right w:val="none" w:sz="0" w:space="0" w:color="auto"/>
      </w:divBdr>
    </w:div>
    <w:div w:id="1052466650">
      <w:bodyDiv w:val="1"/>
      <w:marLeft w:val="0"/>
      <w:marRight w:val="0"/>
      <w:marTop w:val="0"/>
      <w:marBottom w:val="0"/>
      <w:divBdr>
        <w:top w:val="none" w:sz="0" w:space="0" w:color="auto"/>
        <w:left w:val="none" w:sz="0" w:space="0" w:color="auto"/>
        <w:bottom w:val="none" w:sz="0" w:space="0" w:color="auto"/>
        <w:right w:val="none" w:sz="0" w:space="0" w:color="auto"/>
      </w:divBdr>
    </w:div>
    <w:div w:id="1052771718">
      <w:bodyDiv w:val="1"/>
      <w:marLeft w:val="0"/>
      <w:marRight w:val="0"/>
      <w:marTop w:val="0"/>
      <w:marBottom w:val="0"/>
      <w:divBdr>
        <w:top w:val="none" w:sz="0" w:space="0" w:color="auto"/>
        <w:left w:val="none" w:sz="0" w:space="0" w:color="auto"/>
        <w:bottom w:val="none" w:sz="0" w:space="0" w:color="auto"/>
        <w:right w:val="none" w:sz="0" w:space="0" w:color="auto"/>
      </w:divBdr>
    </w:div>
    <w:div w:id="1076787100">
      <w:bodyDiv w:val="1"/>
      <w:marLeft w:val="0"/>
      <w:marRight w:val="0"/>
      <w:marTop w:val="0"/>
      <w:marBottom w:val="0"/>
      <w:divBdr>
        <w:top w:val="none" w:sz="0" w:space="0" w:color="auto"/>
        <w:left w:val="none" w:sz="0" w:space="0" w:color="auto"/>
        <w:bottom w:val="none" w:sz="0" w:space="0" w:color="auto"/>
        <w:right w:val="none" w:sz="0" w:space="0" w:color="auto"/>
      </w:divBdr>
    </w:div>
    <w:div w:id="1106732696">
      <w:bodyDiv w:val="1"/>
      <w:marLeft w:val="0"/>
      <w:marRight w:val="0"/>
      <w:marTop w:val="0"/>
      <w:marBottom w:val="0"/>
      <w:divBdr>
        <w:top w:val="none" w:sz="0" w:space="0" w:color="auto"/>
        <w:left w:val="none" w:sz="0" w:space="0" w:color="auto"/>
        <w:bottom w:val="none" w:sz="0" w:space="0" w:color="auto"/>
        <w:right w:val="none" w:sz="0" w:space="0" w:color="auto"/>
      </w:divBdr>
      <w:divsChild>
        <w:div w:id="567962078">
          <w:marLeft w:val="0"/>
          <w:marRight w:val="0"/>
          <w:marTop w:val="0"/>
          <w:marBottom w:val="0"/>
          <w:divBdr>
            <w:top w:val="none" w:sz="0" w:space="0" w:color="auto"/>
            <w:left w:val="none" w:sz="0" w:space="0" w:color="auto"/>
            <w:bottom w:val="none" w:sz="0" w:space="0" w:color="auto"/>
            <w:right w:val="none" w:sz="0" w:space="0" w:color="auto"/>
          </w:divBdr>
          <w:divsChild>
            <w:div w:id="895702326">
              <w:marLeft w:val="0"/>
              <w:marRight w:val="0"/>
              <w:marTop w:val="0"/>
              <w:marBottom w:val="0"/>
              <w:divBdr>
                <w:top w:val="none" w:sz="0" w:space="0" w:color="auto"/>
                <w:left w:val="none" w:sz="0" w:space="0" w:color="auto"/>
                <w:bottom w:val="none" w:sz="0" w:space="0" w:color="auto"/>
                <w:right w:val="none" w:sz="0" w:space="0" w:color="auto"/>
              </w:divBdr>
            </w:div>
          </w:divsChild>
        </w:div>
        <w:div w:id="733551653">
          <w:marLeft w:val="0"/>
          <w:marRight w:val="0"/>
          <w:marTop w:val="150"/>
          <w:marBottom w:val="300"/>
          <w:divBdr>
            <w:top w:val="none" w:sz="0" w:space="0" w:color="auto"/>
            <w:left w:val="none" w:sz="0" w:space="0" w:color="auto"/>
            <w:bottom w:val="none" w:sz="0" w:space="0" w:color="auto"/>
            <w:right w:val="none" w:sz="0" w:space="0" w:color="auto"/>
          </w:divBdr>
          <w:divsChild>
            <w:div w:id="232129210">
              <w:marLeft w:val="0"/>
              <w:marRight w:val="0"/>
              <w:marTop w:val="0"/>
              <w:marBottom w:val="0"/>
              <w:divBdr>
                <w:top w:val="none" w:sz="0" w:space="0" w:color="auto"/>
                <w:left w:val="none" w:sz="0" w:space="0" w:color="auto"/>
                <w:bottom w:val="none" w:sz="0" w:space="0" w:color="auto"/>
                <w:right w:val="none" w:sz="0" w:space="0" w:color="auto"/>
              </w:divBdr>
              <w:divsChild>
                <w:div w:id="504396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4884990">
          <w:marLeft w:val="0"/>
          <w:marRight w:val="0"/>
          <w:marTop w:val="0"/>
          <w:marBottom w:val="480"/>
          <w:divBdr>
            <w:top w:val="none" w:sz="0" w:space="0" w:color="auto"/>
            <w:left w:val="none" w:sz="0" w:space="0" w:color="auto"/>
            <w:bottom w:val="none" w:sz="0" w:space="0" w:color="auto"/>
            <w:right w:val="none" w:sz="0" w:space="0" w:color="auto"/>
          </w:divBdr>
        </w:div>
        <w:div w:id="1159615088">
          <w:marLeft w:val="0"/>
          <w:marRight w:val="0"/>
          <w:marTop w:val="0"/>
          <w:marBottom w:val="0"/>
          <w:divBdr>
            <w:top w:val="none" w:sz="0" w:space="0" w:color="auto"/>
            <w:left w:val="none" w:sz="0" w:space="0" w:color="auto"/>
            <w:bottom w:val="none" w:sz="0" w:space="0" w:color="auto"/>
            <w:right w:val="none" w:sz="0" w:space="0" w:color="auto"/>
          </w:divBdr>
        </w:div>
        <w:div w:id="1200976338">
          <w:marLeft w:val="0"/>
          <w:marRight w:val="0"/>
          <w:marTop w:val="0"/>
          <w:marBottom w:val="0"/>
          <w:divBdr>
            <w:top w:val="none" w:sz="0" w:space="0" w:color="auto"/>
            <w:left w:val="none" w:sz="0" w:space="0" w:color="auto"/>
            <w:bottom w:val="none" w:sz="0" w:space="0" w:color="auto"/>
            <w:right w:val="none" w:sz="0" w:space="0" w:color="auto"/>
          </w:divBdr>
        </w:div>
      </w:divsChild>
    </w:div>
    <w:div w:id="1167553922">
      <w:bodyDiv w:val="1"/>
      <w:marLeft w:val="0"/>
      <w:marRight w:val="0"/>
      <w:marTop w:val="0"/>
      <w:marBottom w:val="0"/>
      <w:divBdr>
        <w:top w:val="none" w:sz="0" w:space="0" w:color="auto"/>
        <w:left w:val="none" w:sz="0" w:space="0" w:color="auto"/>
        <w:bottom w:val="none" w:sz="0" w:space="0" w:color="auto"/>
        <w:right w:val="none" w:sz="0" w:space="0" w:color="auto"/>
      </w:divBdr>
    </w:div>
    <w:div w:id="1190024866">
      <w:bodyDiv w:val="1"/>
      <w:marLeft w:val="0"/>
      <w:marRight w:val="0"/>
      <w:marTop w:val="0"/>
      <w:marBottom w:val="0"/>
      <w:divBdr>
        <w:top w:val="none" w:sz="0" w:space="0" w:color="auto"/>
        <w:left w:val="none" w:sz="0" w:space="0" w:color="auto"/>
        <w:bottom w:val="none" w:sz="0" w:space="0" w:color="auto"/>
        <w:right w:val="none" w:sz="0" w:space="0" w:color="auto"/>
      </w:divBdr>
    </w:div>
    <w:div w:id="1206916538">
      <w:bodyDiv w:val="1"/>
      <w:marLeft w:val="0"/>
      <w:marRight w:val="0"/>
      <w:marTop w:val="0"/>
      <w:marBottom w:val="0"/>
      <w:divBdr>
        <w:top w:val="none" w:sz="0" w:space="0" w:color="auto"/>
        <w:left w:val="none" w:sz="0" w:space="0" w:color="auto"/>
        <w:bottom w:val="none" w:sz="0" w:space="0" w:color="auto"/>
        <w:right w:val="none" w:sz="0" w:space="0" w:color="auto"/>
      </w:divBdr>
    </w:div>
    <w:div w:id="1232736006">
      <w:bodyDiv w:val="1"/>
      <w:marLeft w:val="0"/>
      <w:marRight w:val="0"/>
      <w:marTop w:val="0"/>
      <w:marBottom w:val="0"/>
      <w:divBdr>
        <w:top w:val="none" w:sz="0" w:space="0" w:color="auto"/>
        <w:left w:val="none" w:sz="0" w:space="0" w:color="auto"/>
        <w:bottom w:val="none" w:sz="0" w:space="0" w:color="auto"/>
        <w:right w:val="none" w:sz="0" w:space="0" w:color="auto"/>
      </w:divBdr>
    </w:div>
    <w:div w:id="1359507416">
      <w:bodyDiv w:val="1"/>
      <w:marLeft w:val="0"/>
      <w:marRight w:val="0"/>
      <w:marTop w:val="0"/>
      <w:marBottom w:val="0"/>
      <w:divBdr>
        <w:top w:val="none" w:sz="0" w:space="0" w:color="auto"/>
        <w:left w:val="none" w:sz="0" w:space="0" w:color="auto"/>
        <w:bottom w:val="none" w:sz="0" w:space="0" w:color="auto"/>
        <w:right w:val="none" w:sz="0" w:space="0" w:color="auto"/>
      </w:divBdr>
    </w:div>
    <w:div w:id="1369332197">
      <w:bodyDiv w:val="1"/>
      <w:marLeft w:val="0"/>
      <w:marRight w:val="0"/>
      <w:marTop w:val="0"/>
      <w:marBottom w:val="0"/>
      <w:divBdr>
        <w:top w:val="none" w:sz="0" w:space="0" w:color="auto"/>
        <w:left w:val="none" w:sz="0" w:space="0" w:color="auto"/>
        <w:bottom w:val="none" w:sz="0" w:space="0" w:color="auto"/>
        <w:right w:val="none" w:sz="0" w:space="0" w:color="auto"/>
      </w:divBdr>
    </w:div>
    <w:div w:id="1369642437">
      <w:bodyDiv w:val="1"/>
      <w:marLeft w:val="0"/>
      <w:marRight w:val="0"/>
      <w:marTop w:val="0"/>
      <w:marBottom w:val="0"/>
      <w:divBdr>
        <w:top w:val="none" w:sz="0" w:space="0" w:color="auto"/>
        <w:left w:val="none" w:sz="0" w:space="0" w:color="auto"/>
        <w:bottom w:val="none" w:sz="0" w:space="0" w:color="auto"/>
        <w:right w:val="none" w:sz="0" w:space="0" w:color="auto"/>
      </w:divBdr>
      <w:divsChild>
        <w:div w:id="857699900">
          <w:marLeft w:val="0"/>
          <w:marRight w:val="0"/>
          <w:marTop w:val="0"/>
          <w:marBottom w:val="0"/>
          <w:divBdr>
            <w:top w:val="none" w:sz="0" w:space="0" w:color="auto"/>
            <w:left w:val="none" w:sz="0" w:space="0" w:color="auto"/>
            <w:bottom w:val="none" w:sz="0" w:space="0" w:color="auto"/>
            <w:right w:val="none" w:sz="0" w:space="0" w:color="auto"/>
          </w:divBdr>
        </w:div>
        <w:div w:id="1176337709">
          <w:marLeft w:val="0"/>
          <w:marRight w:val="0"/>
          <w:marTop w:val="0"/>
          <w:marBottom w:val="0"/>
          <w:divBdr>
            <w:top w:val="none" w:sz="0" w:space="0" w:color="auto"/>
            <w:left w:val="none" w:sz="0" w:space="0" w:color="auto"/>
            <w:bottom w:val="none" w:sz="0" w:space="0" w:color="auto"/>
            <w:right w:val="none" w:sz="0" w:space="0" w:color="auto"/>
          </w:divBdr>
        </w:div>
        <w:div w:id="1973435935">
          <w:marLeft w:val="0"/>
          <w:marRight w:val="0"/>
          <w:marTop w:val="0"/>
          <w:marBottom w:val="0"/>
          <w:divBdr>
            <w:top w:val="none" w:sz="0" w:space="0" w:color="auto"/>
            <w:left w:val="none" w:sz="0" w:space="0" w:color="auto"/>
            <w:bottom w:val="none" w:sz="0" w:space="0" w:color="auto"/>
            <w:right w:val="none" w:sz="0" w:space="0" w:color="auto"/>
          </w:divBdr>
          <w:divsChild>
            <w:div w:id="823157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4505631">
      <w:bodyDiv w:val="1"/>
      <w:marLeft w:val="0"/>
      <w:marRight w:val="0"/>
      <w:marTop w:val="0"/>
      <w:marBottom w:val="0"/>
      <w:divBdr>
        <w:top w:val="none" w:sz="0" w:space="0" w:color="auto"/>
        <w:left w:val="none" w:sz="0" w:space="0" w:color="auto"/>
        <w:bottom w:val="none" w:sz="0" w:space="0" w:color="auto"/>
        <w:right w:val="none" w:sz="0" w:space="0" w:color="auto"/>
      </w:divBdr>
    </w:div>
    <w:div w:id="1392120597">
      <w:bodyDiv w:val="1"/>
      <w:marLeft w:val="0"/>
      <w:marRight w:val="0"/>
      <w:marTop w:val="0"/>
      <w:marBottom w:val="0"/>
      <w:divBdr>
        <w:top w:val="none" w:sz="0" w:space="0" w:color="auto"/>
        <w:left w:val="none" w:sz="0" w:space="0" w:color="auto"/>
        <w:bottom w:val="none" w:sz="0" w:space="0" w:color="auto"/>
        <w:right w:val="none" w:sz="0" w:space="0" w:color="auto"/>
      </w:divBdr>
    </w:div>
    <w:div w:id="1430737174">
      <w:bodyDiv w:val="1"/>
      <w:marLeft w:val="0"/>
      <w:marRight w:val="0"/>
      <w:marTop w:val="0"/>
      <w:marBottom w:val="0"/>
      <w:divBdr>
        <w:top w:val="none" w:sz="0" w:space="0" w:color="auto"/>
        <w:left w:val="none" w:sz="0" w:space="0" w:color="auto"/>
        <w:bottom w:val="none" w:sz="0" w:space="0" w:color="auto"/>
        <w:right w:val="none" w:sz="0" w:space="0" w:color="auto"/>
      </w:divBdr>
    </w:div>
    <w:div w:id="1452019521">
      <w:bodyDiv w:val="1"/>
      <w:marLeft w:val="0"/>
      <w:marRight w:val="0"/>
      <w:marTop w:val="0"/>
      <w:marBottom w:val="0"/>
      <w:divBdr>
        <w:top w:val="none" w:sz="0" w:space="0" w:color="auto"/>
        <w:left w:val="none" w:sz="0" w:space="0" w:color="auto"/>
        <w:bottom w:val="none" w:sz="0" w:space="0" w:color="auto"/>
        <w:right w:val="none" w:sz="0" w:space="0" w:color="auto"/>
      </w:divBdr>
    </w:div>
    <w:div w:id="1464496427">
      <w:bodyDiv w:val="1"/>
      <w:marLeft w:val="0"/>
      <w:marRight w:val="0"/>
      <w:marTop w:val="0"/>
      <w:marBottom w:val="0"/>
      <w:divBdr>
        <w:top w:val="none" w:sz="0" w:space="0" w:color="auto"/>
        <w:left w:val="none" w:sz="0" w:space="0" w:color="auto"/>
        <w:bottom w:val="none" w:sz="0" w:space="0" w:color="auto"/>
        <w:right w:val="none" w:sz="0" w:space="0" w:color="auto"/>
      </w:divBdr>
    </w:div>
    <w:div w:id="1469931366">
      <w:bodyDiv w:val="1"/>
      <w:marLeft w:val="0"/>
      <w:marRight w:val="0"/>
      <w:marTop w:val="0"/>
      <w:marBottom w:val="0"/>
      <w:divBdr>
        <w:top w:val="none" w:sz="0" w:space="0" w:color="auto"/>
        <w:left w:val="none" w:sz="0" w:space="0" w:color="auto"/>
        <w:bottom w:val="none" w:sz="0" w:space="0" w:color="auto"/>
        <w:right w:val="none" w:sz="0" w:space="0" w:color="auto"/>
      </w:divBdr>
    </w:div>
    <w:div w:id="1500389289">
      <w:bodyDiv w:val="1"/>
      <w:marLeft w:val="0"/>
      <w:marRight w:val="0"/>
      <w:marTop w:val="0"/>
      <w:marBottom w:val="0"/>
      <w:divBdr>
        <w:top w:val="none" w:sz="0" w:space="0" w:color="auto"/>
        <w:left w:val="none" w:sz="0" w:space="0" w:color="auto"/>
        <w:bottom w:val="none" w:sz="0" w:space="0" w:color="auto"/>
        <w:right w:val="none" w:sz="0" w:space="0" w:color="auto"/>
      </w:divBdr>
    </w:div>
    <w:div w:id="1533346175">
      <w:bodyDiv w:val="1"/>
      <w:marLeft w:val="0"/>
      <w:marRight w:val="0"/>
      <w:marTop w:val="0"/>
      <w:marBottom w:val="0"/>
      <w:divBdr>
        <w:top w:val="none" w:sz="0" w:space="0" w:color="auto"/>
        <w:left w:val="none" w:sz="0" w:space="0" w:color="auto"/>
        <w:bottom w:val="none" w:sz="0" w:space="0" w:color="auto"/>
        <w:right w:val="none" w:sz="0" w:space="0" w:color="auto"/>
      </w:divBdr>
    </w:div>
    <w:div w:id="1617176165">
      <w:bodyDiv w:val="1"/>
      <w:marLeft w:val="0"/>
      <w:marRight w:val="0"/>
      <w:marTop w:val="0"/>
      <w:marBottom w:val="0"/>
      <w:divBdr>
        <w:top w:val="none" w:sz="0" w:space="0" w:color="auto"/>
        <w:left w:val="none" w:sz="0" w:space="0" w:color="auto"/>
        <w:bottom w:val="none" w:sz="0" w:space="0" w:color="auto"/>
        <w:right w:val="none" w:sz="0" w:space="0" w:color="auto"/>
      </w:divBdr>
    </w:div>
    <w:div w:id="1633823433">
      <w:bodyDiv w:val="1"/>
      <w:marLeft w:val="0"/>
      <w:marRight w:val="0"/>
      <w:marTop w:val="0"/>
      <w:marBottom w:val="0"/>
      <w:divBdr>
        <w:top w:val="none" w:sz="0" w:space="0" w:color="auto"/>
        <w:left w:val="none" w:sz="0" w:space="0" w:color="auto"/>
        <w:bottom w:val="none" w:sz="0" w:space="0" w:color="auto"/>
        <w:right w:val="none" w:sz="0" w:space="0" w:color="auto"/>
      </w:divBdr>
    </w:div>
    <w:div w:id="1649631973">
      <w:bodyDiv w:val="1"/>
      <w:marLeft w:val="0"/>
      <w:marRight w:val="0"/>
      <w:marTop w:val="0"/>
      <w:marBottom w:val="0"/>
      <w:divBdr>
        <w:top w:val="none" w:sz="0" w:space="0" w:color="auto"/>
        <w:left w:val="none" w:sz="0" w:space="0" w:color="auto"/>
        <w:bottom w:val="none" w:sz="0" w:space="0" w:color="auto"/>
        <w:right w:val="none" w:sz="0" w:space="0" w:color="auto"/>
      </w:divBdr>
      <w:divsChild>
        <w:div w:id="139658943">
          <w:marLeft w:val="-210"/>
          <w:marRight w:val="-210"/>
          <w:marTop w:val="0"/>
          <w:marBottom w:val="0"/>
          <w:divBdr>
            <w:top w:val="none" w:sz="0" w:space="0" w:color="auto"/>
            <w:left w:val="none" w:sz="0" w:space="0" w:color="auto"/>
            <w:bottom w:val="none" w:sz="0" w:space="0" w:color="auto"/>
            <w:right w:val="none" w:sz="0" w:space="0" w:color="auto"/>
          </w:divBdr>
          <w:divsChild>
            <w:div w:id="1497652791">
              <w:marLeft w:val="0"/>
              <w:marRight w:val="0"/>
              <w:marTop w:val="0"/>
              <w:marBottom w:val="0"/>
              <w:divBdr>
                <w:top w:val="none" w:sz="0" w:space="0" w:color="auto"/>
                <w:left w:val="none" w:sz="0" w:space="0" w:color="auto"/>
                <w:bottom w:val="none" w:sz="0" w:space="0" w:color="auto"/>
                <w:right w:val="none" w:sz="0" w:space="0" w:color="auto"/>
              </w:divBdr>
              <w:divsChild>
                <w:div w:id="2112161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0391341">
          <w:marLeft w:val="0"/>
          <w:marRight w:val="0"/>
          <w:marTop w:val="0"/>
          <w:marBottom w:val="0"/>
          <w:divBdr>
            <w:top w:val="none" w:sz="0" w:space="0" w:color="auto"/>
            <w:left w:val="none" w:sz="0" w:space="0" w:color="auto"/>
            <w:bottom w:val="none" w:sz="0" w:space="0" w:color="auto"/>
            <w:right w:val="none" w:sz="0" w:space="0" w:color="auto"/>
          </w:divBdr>
          <w:divsChild>
            <w:div w:id="1802646770">
              <w:marLeft w:val="-210"/>
              <w:marRight w:val="-210"/>
              <w:marTop w:val="0"/>
              <w:marBottom w:val="0"/>
              <w:divBdr>
                <w:top w:val="none" w:sz="0" w:space="0" w:color="auto"/>
                <w:left w:val="none" w:sz="0" w:space="0" w:color="auto"/>
                <w:bottom w:val="none" w:sz="0" w:space="0" w:color="auto"/>
                <w:right w:val="none" w:sz="0" w:space="0" w:color="auto"/>
              </w:divBdr>
              <w:divsChild>
                <w:div w:id="8341485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3583944">
      <w:bodyDiv w:val="1"/>
      <w:marLeft w:val="0"/>
      <w:marRight w:val="0"/>
      <w:marTop w:val="0"/>
      <w:marBottom w:val="0"/>
      <w:divBdr>
        <w:top w:val="none" w:sz="0" w:space="0" w:color="auto"/>
        <w:left w:val="none" w:sz="0" w:space="0" w:color="auto"/>
        <w:bottom w:val="none" w:sz="0" w:space="0" w:color="auto"/>
        <w:right w:val="none" w:sz="0" w:space="0" w:color="auto"/>
      </w:divBdr>
    </w:div>
    <w:div w:id="1722173909">
      <w:bodyDiv w:val="1"/>
      <w:marLeft w:val="0"/>
      <w:marRight w:val="0"/>
      <w:marTop w:val="0"/>
      <w:marBottom w:val="0"/>
      <w:divBdr>
        <w:top w:val="none" w:sz="0" w:space="0" w:color="auto"/>
        <w:left w:val="none" w:sz="0" w:space="0" w:color="auto"/>
        <w:bottom w:val="none" w:sz="0" w:space="0" w:color="auto"/>
        <w:right w:val="none" w:sz="0" w:space="0" w:color="auto"/>
      </w:divBdr>
    </w:div>
    <w:div w:id="1738045617">
      <w:bodyDiv w:val="1"/>
      <w:marLeft w:val="0"/>
      <w:marRight w:val="0"/>
      <w:marTop w:val="0"/>
      <w:marBottom w:val="0"/>
      <w:divBdr>
        <w:top w:val="none" w:sz="0" w:space="0" w:color="auto"/>
        <w:left w:val="none" w:sz="0" w:space="0" w:color="auto"/>
        <w:bottom w:val="none" w:sz="0" w:space="0" w:color="auto"/>
        <w:right w:val="none" w:sz="0" w:space="0" w:color="auto"/>
      </w:divBdr>
    </w:div>
    <w:div w:id="1776973375">
      <w:bodyDiv w:val="1"/>
      <w:marLeft w:val="0"/>
      <w:marRight w:val="0"/>
      <w:marTop w:val="0"/>
      <w:marBottom w:val="0"/>
      <w:divBdr>
        <w:top w:val="none" w:sz="0" w:space="0" w:color="auto"/>
        <w:left w:val="none" w:sz="0" w:space="0" w:color="auto"/>
        <w:bottom w:val="none" w:sz="0" w:space="0" w:color="auto"/>
        <w:right w:val="none" w:sz="0" w:space="0" w:color="auto"/>
      </w:divBdr>
    </w:div>
    <w:div w:id="1777558323">
      <w:bodyDiv w:val="1"/>
      <w:marLeft w:val="0"/>
      <w:marRight w:val="0"/>
      <w:marTop w:val="0"/>
      <w:marBottom w:val="0"/>
      <w:divBdr>
        <w:top w:val="none" w:sz="0" w:space="0" w:color="auto"/>
        <w:left w:val="none" w:sz="0" w:space="0" w:color="auto"/>
        <w:bottom w:val="none" w:sz="0" w:space="0" w:color="auto"/>
        <w:right w:val="none" w:sz="0" w:space="0" w:color="auto"/>
      </w:divBdr>
    </w:div>
    <w:div w:id="1816143132">
      <w:bodyDiv w:val="1"/>
      <w:marLeft w:val="0"/>
      <w:marRight w:val="0"/>
      <w:marTop w:val="0"/>
      <w:marBottom w:val="0"/>
      <w:divBdr>
        <w:top w:val="none" w:sz="0" w:space="0" w:color="auto"/>
        <w:left w:val="none" w:sz="0" w:space="0" w:color="auto"/>
        <w:bottom w:val="none" w:sz="0" w:space="0" w:color="auto"/>
        <w:right w:val="none" w:sz="0" w:space="0" w:color="auto"/>
      </w:divBdr>
    </w:div>
    <w:div w:id="1845822678">
      <w:bodyDiv w:val="1"/>
      <w:marLeft w:val="0"/>
      <w:marRight w:val="0"/>
      <w:marTop w:val="0"/>
      <w:marBottom w:val="0"/>
      <w:divBdr>
        <w:top w:val="none" w:sz="0" w:space="0" w:color="auto"/>
        <w:left w:val="none" w:sz="0" w:space="0" w:color="auto"/>
        <w:bottom w:val="none" w:sz="0" w:space="0" w:color="auto"/>
        <w:right w:val="none" w:sz="0" w:space="0" w:color="auto"/>
      </w:divBdr>
    </w:div>
    <w:div w:id="1889029742">
      <w:bodyDiv w:val="1"/>
      <w:marLeft w:val="0"/>
      <w:marRight w:val="0"/>
      <w:marTop w:val="0"/>
      <w:marBottom w:val="0"/>
      <w:divBdr>
        <w:top w:val="none" w:sz="0" w:space="0" w:color="auto"/>
        <w:left w:val="none" w:sz="0" w:space="0" w:color="auto"/>
        <w:bottom w:val="none" w:sz="0" w:space="0" w:color="auto"/>
        <w:right w:val="none" w:sz="0" w:space="0" w:color="auto"/>
      </w:divBdr>
    </w:div>
    <w:div w:id="1908372478">
      <w:bodyDiv w:val="1"/>
      <w:marLeft w:val="0"/>
      <w:marRight w:val="0"/>
      <w:marTop w:val="0"/>
      <w:marBottom w:val="0"/>
      <w:divBdr>
        <w:top w:val="none" w:sz="0" w:space="0" w:color="auto"/>
        <w:left w:val="none" w:sz="0" w:space="0" w:color="auto"/>
        <w:bottom w:val="none" w:sz="0" w:space="0" w:color="auto"/>
        <w:right w:val="none" w:sz="0" w:space="0" w:color="auto"/>
      </w:divBdr>
    </w:div>
    <w:div w:id="1985313322">
      <w:bodyDiv w:val="1"/>
      <w:marLeft w:val="0"/>
      <w:marRight w:val="0"/>
      <w:marTop w:val="0"/>
      <w:marBottom w:val="0"/>
      <w:divBdr>
        <w:top w:val="none" w:sz="0" w:space="0" w:color="auto"/>
        <w:left w:val="none" w:sz="0" w:space="0" w:color="auto"/>
        <w:bottom w:val="none" w:sz="0" w:space="0" w:color="auto"/>
        <w:right w:val="none" w:sz="0" w:space="0" w:color="auto"/>
      </w:divBdr>
    </w:div>
    <w:div w:id="2006546572">
      <w:bodyDiv w:val="1"/>
      <w:marLeft w:val="0"/>
      <w:marRight w:val="0"/>
      <w:marTop w:val="0"/>
      <w:marBottom w:val="0"/>
      <w:divBdr>
        <w:top w:val="none" w:sz="0" w:space="0" w:color="auto"/>
        <w:left w:val="none" w:sz="0" w:space="0" w:color="auto"/>
        <w:bottom w:val="none" w:sz="0" w:space="0" w:color="auto"/>
        <w:right w:val="none" w:sz="0" w:space="0" w:color="auto"/>
      </w:divBdr>
      <w:divsChild>
        <w:div w:id="55125728">
          <w:marLeft w:val="0"/>
          <w:marRight w:val="0"/>
          <w:marTop w:val="0"/>
          <w:marBottom w:val="0"/>
          <w:divBdr>
            <w:top w:val="none" w:sz="0" w:space="0" w:color="auto"/>
            <w:left w:val="none" w:sz="0" w:space="0" w:color="auto"/>
            <w:bottom w:val="none" w:sz="0" w:space="0" w:color="auto"/>
            <w:right w:val="none" w:sz="0" w:space="0" w:color="auto"/>
          </w:divBdr>
        </w:div>
        <w:div w:id="163471264">
          <w:marLeft w:val="0"/>
          <w:marRight w:val="0"/>
          <w:marTop w:val="0"/>
          <w:marBottom w:val="0"/>
          <w:divBdr>
            <w:top w:val="none" w:sz="0" w:space="0" w:color="auto"/>
            <w:left w:val="none" w:sz="0" w:space="0" w:color="auto"/>
            <w:bottom w:val="none" w:sz="0" w:space="0" w:color="auto"/>
            <w:right w:val="none" w:sz="0" w:space="0" w:color="auto"/>
          </w:divBdr>
        </w:div>
        <w:div w:id="205139446">
          <w:marLeft w:val="0"/>
          <w:marRight w:val="0"/>
          <w:marTop w:val="0"/>
          <w:marBottom w:val="0"/>
          <w:divBdr>
            <w:top w:val="none" w:sz="0" w:space="0" w:color="auto"/>
            <w:left w:val="none" w:sz="0" w:space="0" w:color="auto"/>
            <w:bottom w:val="none" w:sz="0" w:space="0" w:color="auto"/>
            <w:right w:val="none" w:sz="0" w:space="0" w:color="auto"/>
          </w:divBdr>
        </w:div>
        <w:div w:id="417216468">
          <w:marLeft w:val="0"/>
          <w:marRight w:val="0"/>
          <w:marTop w:val="0"/>
          <w:marBottom w:val="0"/>
          <w:divBdr>
            <w:top w:val="none" w:sz="0" w:space="0" w:color="auto"/>
            <w:left w:val="none" w:sz="0" w:space="0" w:color="auto"/>
            <w:bottom w:val="none" w:sz="0" w:space="0" w:color="auto"/>
            <w:right w:val="none" w:sz="0" w:space="0" w:color="auto"/>
          </w:divBdr>
        </w:div>
        <w:div w:id="674916262">
          <w:marLeft w:val="0"/>
          <w:marRight w:val="0"/>
          <w:marTop w:val="0"/>
          <w:marBottom w:val="0"/>
          <w:divBdr>
            <w:top w:val="none" w:sz="0" w:space="0" w:color="auto"/>
            <w:left w:val="none" w:sz="0" w:space="0" w:color="auto"/>
            <w:bottom w:val="none" w:sz="0" w:space="0" w:color="auto"/>
            <w:right w:val="none" w:sz="0" w:space="0" w:color="auto"/>
          </w:divBdr>
        </w:div>
        <w:div w:id="878973593">
          <w:marLeft w:val="0"/>
          <w:marRight w:val="0"/>
          <w:marTop w:val="0"/>
          <w:marBottom w:val="0"/>
          <w:divBdr>
            <w:top w:val="none" w:sz="0" w:space="0" w:color="auto"/>
            <w:left w:val="none" w:sz="0" w:space="0" w:color="auto"/>
            <w:bottom w:val="none" w:sz="0" w:space="0" w:color="auto"/>
            <w:right w:val="none" w:sz="0" w:space="0" w:color="auto"/>
          </w:divBdr>
        </w:div>
        <w:div w:id="890658192">
          <w:marLeft w:val="0"/>
          <w:marRight w:val="0"/>
          <w:marTop w:val="0"/>
          <w:marBottom w:val="0"/>
          <w:divBdr>
            <w:top w:val="none" w:sz="0" w:space="0" w:color="auto"/>
            <w:left w:val="none" w:sz="0" w:space="0" w:color="auto"/>
            <w:bottom w:val="none" w:sz="0" w:space="0" w:color="auto"/>
            <w:right w:val="none" w:sz="0" w:space="0" w:color="auto"/>
          </w:divBdr>
        </w:div>
        <w:div w:id="931160127">
          <w:marLeft w:val="0"/>
          <w:marRight w:val="0"/>
          <w:marTop w:val="0"/>
          <w:marBottom w:val="0"/>
          <w:divBdr>
            <w:top w:val="none" w:sz="0" w:space="0" w:color="auto"/>
            <w:left w:val="none" w:sz="0" w:space="0" w:color="auto"/>
            <w:bottom w:val="none" w:sz="0" w:space="0" w:color="auto"/>
            <w:right w:val="none" w:sz="0" w:space="0" w:color="auto"/>
          </w:divBdr>
        </w:div>
        <w:div w:id="944726135">
          <w:marLeft w:val="0"/>
          <w:marRight w:val="0"/>
          <w:marTop w:val="0"/>
          <w:marBottom w:val="0"/>
          <w:divBdr>
            <w:top w:val="none" w:sz="0" w:space="0" w:color="auto"/>
            <w:left w:val="none" w:sz="0" w:space="0" w:color="auto"/>
            <w:bottom w:val="none" w:sz="0" w:space="0" w:color="auto"/>
            <w:right w:val="none" w:sz="0" w:space="0" w:color="auto"/>
          </w:divBdr>
        </w:div>
        <w:div w:id="1082723844">
          <w:marLeft w:val="0"/>
          <w:marRight w:val="0"/>
          <w:marTop w:val="0"/>
          <w:marBottom w:val="0"/>
          <w:divBdr>
            <w:top w:val="none" w:sz="0" w:space="0" w:color="auto"/>
            <w:left w:val="none" w:sz="0" w:space="0" w:color="auto"/>
            <w:bottom w:val="none" w:sz="0" w:space="0" w:color="auto"/>
            <w:right w:val="none" w:sz="0" w:space="0" w:color="auto"/>
          </w:divBdr>
        </w:div>
        <w:div w:id="1232349705">
          <w:marLeft w:val="0"/>
          <w:marRight w:val="0"/>
          <w:marTop w:val="0"/>
          <w:marBottom w:val="0"/>
          <w:divBdr>
            <w:top w:val="none" w:sz="0" w:space="0" w:color="auto"/>
            <w:left w:val="none" w:sz="0" w:space="0" w:color="auto"/>
            <w:bottom w:val="none" w:sz="0" w:space="0" w:color="auto"/>
            <w:right w:val="none" w:sz="0" w:space="0" w:color="auto"/>
          </w:divBdr>
        </w:div>
        <w:div w:id="1431504646">
          <w:marLeft w:val="0"/>
          <w:marRight w:val="0"/>
          <w:marTop w:val="0"/>
          <w:marBottom w:val="0"/>
          <w:divBdr>
            <w:top w:val="none" w:sz="0" w:space="0" w:color="auto"/>
            <w:left w:val="none" w:sz="0" w:space="0" w:color="auto"/>
            <w:bottom w:val="none" w:sz="0" w:space="0" w:color="auto"/>
            <w:right w:val="none" w:sz="0" w:space="0" w:color="auto"/>
          </w:divBdr>
        </w:div>
        <w:div w:id="1554341122">
          <w:marLeft w:val="0"/>
          <w:marRight w:val="0"/>
          <w:marTop w:val="0"/>
          <w:marBottom w:val="0"/>
          <w:divBdr>
            <w:top w:val="none" w:sz="0" w:space="0" w:color="auto"/>
            <w:left w:val="none" w:sz="0" w:space="0" w:color="auto"/>
            <w:bottom w:val="none" w:sz="0" w:space="0" w:color="auto"/>
            <w:right w:val="none" w:sz="0" w:space="0" w:color="auto"/>
          </w:divBdr>
        </w:div>
        <w:div w:id="1684630088">
          <w:marLeft w:val="0"/>
          <w:marRight w:val="0"/>
          <w:marTop w:val="0"/>
          <w:marBottom w:val="0"/>
          <w:divBdr>
            <w:top w:val="none" w:sz="0" w:space="0" w:color="auto"/>
            <w:left w:val="none" w:sz="0" w:space="0" w:color="auto"/>
            <w:bottom w:val="none" w:sz="0" w:space="0" w:color="auto"/>
            <w:right w:val="none" w:sz="0" w:space="0" w:color="auto"/>
          </w:divBdr>
        </w:div>
        <w:div w:id="1695810133">
          <w:marLeft w:val="0"/>
          <w:marRight w:val="0"/>
          <w:marTop w:val="0"/>
          <w:marBottom w:val="0"/>
          <w:divBdr>
            <w:top w:val="none" w:sz="0" w:space="0" w:color="auto"/>
            <w:left w:val="none" w:sz="0" w:space="0" w:color="auto"/>
            <w:bottom w:val="none" w:sz="0" w:space="0" w:color="auto"/>
            <w:right w:val="none" w:sz="0" w:space="0" w:color="auto"/>
          </w:divBdr>
        </w:div>
        <w:div w:id="1794320530">
          <w:marLeft w:val="0"/>
          <w:marRight w:val="0"/>
          <w:marTop w:val="0"/>
          <w:marBottom w:val="0"/>
          <w:divBdr>
            <w:top w:val="none" w:sz="0" w:space="0" w:color="auto"/>
            <w:left w:val="none" w:sz="0" w:space="0" w:color="auto"/>
            <w:bottom w:val="none" w:sz="0" w:space="0" w:color="auto"/>
            <w:right w:val="none" w:sz="0" w:space="0" w:color="auto"/>
          </w:divBdr>
        </w:div>
        <w:div w:id="1812601318">
          <w:marLeft w:val="0"/>
          <w:marRight w:val="0"/>
          <w:marTop w:val="0"/>
          <w:marBottom w:val="0"/>
          <w:divBdr>
            <w:top w:val="none" w:sz="0" w:space="0" w:color="auto"/>
            <w:left w:val="none" w:sz="0" w:space="0" w:color="auto"/>
            <w:bottom w:val="none" w:sz="0" w:space="0" w:color="auto"/>
            <w:right w:val="none" w:sz="0" w:space="0" w:color="auto"/>
          </w:divBdr>
        </w:div>
        <w:div w:id="1910921193">
          <w:marLeft w:val="0"/>
          <w:marRight w:val="0"/>
          <w:marTop w:val="0"/>
          <w:marBottom w:val="0"/>
          <w:divBdr>
            <w:top w:val="none" w:sz="0" w:space="0" w:color="auto"/>
            <w:left w:val="none" w:sz="0" w:space="0" w:color="auto"/>
            <w:bottom w:val="none" w:sz="0" w:space="0" w:color="auto"/>
            <w:right w:val="none" w:sz="0" w:space="0" w:color="auto"/>
          </w:divBdr>
        </w:div>
        <w:div w:id="1913732996">
          <w:marLeft w:val="0"/>
          <w:marRight w:val="0"/>
          <w:marTop w:val="0"/>
          <w:marBottom w:val="0"/>
          <w:divBdr>
            <w:top w:val="none" w:sz="0" w:space="0" w:color="auto"/>
            <w:left w:val="none" w:sz="0" w:space="0" w:color="auto"/>
            <w:bottom w:val="none" w:sz="0" w:space="0" w:color="auto"/>
            <w:right w:val="none" w:sz="0" w:space="0" w:color="auto"/>
          </w:divBdr>
        </w:div>
        <w:div w:id="1914585986">
          <w:marLeft w:val="0"/>
          <w:marRight w:val="0"/>
          <w:marTop w:val="0"/>
          <w:marBottom w:val="0"/>
          <w:divBdr>
            <w:top w:val="none" w:sz="0" w:space="0" w:color="auto"/>
            <w:left w:val="none" w:sz="0" w:space="0" w:color="auto"/>
            <w:bottom w:val="none" w:sz="0" w:space="0" w:color="auto"/>
            <w:right w:val="none" w:sz="0" w:space="0" w:color="auto"/>
          </w:divBdr>
        </w:div>
        <w:div w:id="1984046189">
          <w:marLeft w:val="0"/>
          <w:marRight w:val="0"/>
          <w:marTop w:val="0"/>
          <w:marBottom w:val="0"/>
          <w:divBdr>
            <w:top w:val="none" w:sz="0" w:space="0" w:color="auto"/>
            <w:left w:val="none" w:sz="0" w:space="0" w:color="auto"/>
            <w:bottom w:val="none" w:sz="0" w:space="0" w:color="auto"/>
            <w:right w:val="none" w:sz="0" w:space="0" w:color="auto"/>
          </w:divBdr>
        </w:div>
        <w:div w:id="2071270144">
          <w:marLeft w:val="0"/>
          <w:marRight w:val="0"/>
          <w:marTop w:val="0"/>
          <w:marBottom w:val="0"/>
          <w:divBdr>
            <w:top w:val="none" w:sz="0" w:space="0" w:color="auto"/>
            <w:left w:val="none" w:sz="0" w:space="0" w:color="auto"/>
            <w:bottom w:val="none" w:sz="0" w:space="0" w:color="auto"/>
            <w:right w:val="none" w:sz="0" w:space="0" w:color="auto"/>
          </w:divBdr>
        </w:div>
        <w:div w:id="2085566537">
          <w:marLeft w:val="0"/>
          <w:marRight w:val="0"/>
          <w:marTop w:val="0"/>
          <w:marBottom w:val="0"/>
          <w:divBdr>
            <w:top w:val="none" w:sz="0" w:space="0" w:color="auto"/>
            <w:left w:val="none" w:sz="0" w:space="0" w:color="auto"/>
            <w:bottom w:val="none" w:sz="0" w:space="0" w:color="auto"/>
            <w:right w:val="none" w:sz="0" w:space="0" w:color="auto"/>
          </w:divBdr>
        </w:div>
        <w:div w:id="2121334899">
          <w:marLeft w:val="0"/>
          <w:marRight w:val="0"/>
          <w:marTop w:val="0"/>
          <w:marBottom w:val="0"/>
          <w:divBdr>
            <w:top w:val="none" w:sz="0" w:space="0" w:color="auto"/>
            <w:left w:val="none" w:sz="0" w:space="0" w:color="auto"/>
            <w:bottom w:val="none" w:sz="0" w:space="0" w:color="auto"/>
            <w:right w:val="none" w:sz="0" w:space="0" w:color="auto"/>
          </w:divBdr>
        </w:div>
      </w:divsChild>
    </w:div>
    <w:div w:id="2052463177">
      <w:bodyDiv w:val="1"/>
      <w:marLeft w:val="0"/>
      <w:marRight w:val="0"/>
      <w:marTop w:val="0"/>
      <w:marBottom w:val="0"/>
      <w:divBdr>
        <w:top w:val="none" w:sz="0" w:space="0" w:color="auto"/>
        <w:left w:val="none" w:sz="0" w:space="0" w:color="auto"/>
        <w:bottom w:val="none" w:sz="0" w:space="0" w:color="auto"/>
        <w:right w:val="none" w:sz="0" w:space="0" w:color="auto"/>
      </w:divBdr>
    </w:div>
    <w:div w:id="2064673927">
      <w:bodyDiv w:val="1"/>
      <w:marLeft w:val="0"/>
      <w:marRight w:val="0"/>
      <w:marTop w:val="0"/>
      <w:marBottom w:val="0"/>
      <w:divBdr>
        <w:top w:val="none" w:sz="0" w:space="0" w:color="auto"/>
        <w:left w:val="none" w:sz="0" w:space="0" w:color="auto"/>
        <w:bottom w:val="none" w:sz="0" w:space="0" w:color="auto"/>
        <w:right w:val="none" w:sz="0" w:space="0" w:color="auto"/>
      </w:divBdr>
    </w:div>
    <w:div w:id="2097357353">
      <w:bodyDiv w:val="1"/>
      <w:marLeft w:val="0"/>
      <w:marRight w:val="0"/>
      <w:marTop w:val="0"/>
      <w:marBottom w:val="0"/>
      <w:divBdr>
        <w:top w:val="none" w:sz="0" w:space="0" w:color="auto"/>
        <w:left w:val="none" w:sz="0" w:space="0" w:color="auto"/>
        <w:bottom w:val="none" w:sz="0" w:space="0" w:color="auto"/>
        <w:right w:val="none" w:sz="0" w:space="0" w:color="auto"/>
      </w:divBdr>
    </w:div>
    <w:div w:id="21354402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s>
</file>

<file path=word/_rels/footnotes.xml.rels><?xml version="1.0" encoding="UTF-8" standalone="yes"?>
<Relationships xmlns="http://schemas.openxmlformats.org/package/2006/relationships"><Relationship Id="rId2" Type="http://schemas.openxmlformats.org/officeDocument/2006/relationships/hyperlink" Target="http://www.dontgigup.eu/wp-content/uploads/2020/05/State_of_the_Art_Report.pdf" TargetMode="External"/><Relationship Id="rId1" Type="http://schemas.openxmlformats.org/officeDocument/2006/relationships/hyperlink" Target="https://acelg.uva.nl/content/news/2019/08/simon-deakin-on-how-to-build-adataset-of-labour-laws-with-global-reach.html?cb"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o" ma:contentTypeID="0x010100D4C68CE7646BA347A101DFBEF066E975" ma:contentTypeVersion="13" ma:contentTypeDescription="Creare un nuovo documento." ma:contentTypeScope="" ma:versionID="f17a7488848e152d0d5368eb14e5d876">
  <xsd:schema xmlns:xsd="http://www.w3.org/2001/XMLSchema" xmlns:xs="http://www.w3.org/2001/XMLSchema" xmlns:p="http://schemas.microsoft.com/office/2006/metadata/properties" xmlns:ns3="9a536f0b-aa8c-407c-8def-cd362d2cdfad" xmlns:ns4="b1a9100a-0d37-4a2a-9e4c-e6d1a22e5d27" targetNamespace="http://schemas.microsoft.com/office/2006/metadata/properties" ma:root="true" ma:fieldsID="e520b6c11105eaa6c72dc081bf435a99" ns3:_="" ns4:_="">
    <xsd:import namespace="9a536f0b-aa8c-407c-8def-cd362d2cdfad"/>
    <xsd:import namespace="b1a9100a-0d37-4a2a-9e4c-e6d1a22e5d27"/>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MediaServiceLocation"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a536f0b-aa8c-407c-8def-cd362d2cdf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MediaServiceLocation" ma:index="19" nillable="true" ma:displayName="Location" ma:indexed="true" ma:internalName="MediaServiceLocation" ma:readOnly="true">
      <xsd:simpleType>
        <xsd:restriction base="dms:Text"/>
      </xsd:simpleType>
    </xsd:element>
    <xsd:element name="_activity" ma:index="20"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1a9100a-0d37-4a2a-9e4c-e6d1a22e5d27" elementFormDefault="qualified">
    <xsd:import namespace="http://schemas.microsoft.com/office/2006/documentManagement/types"/>
    <xsd:import namespace="http://schemas.microsoft.com/office/infopath/2007/PartnerControls"/>
    <xsd:element name="SharedWithUsers" ma:index="10"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Condiviso con dettagli" ma:internalName="SharedWithDetails" ma:readOnly="true">
      <xsd:simpleType>
        <xsd:restriction base="dms:Note">
          <xsd:maxLength value="255"/>
        </xsd:restriction>
      </xsd:simpleType>
    </xsd:element>
    <xsd:element name="SharingHintHash" ma:index="12" nillable="true" ma:displayName="Hash suggerimento condivisione"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B3E356B-EFBA-4CEC-B74B-8F29843EC93B}">
  <ds:schemaRefs>
    <ds:schemaRef ds:uri="http://schemas.microsoft.com/sharepoint/v3/contenttype/forms"/>
  </ds:schemaRefs>
</ds:datastoreItem>
</file>

<file path=customXml/itemProps2.xml><?xml version="1.0" encoding="utf-8"?>
<ds:datastoreItem xmlns:ds="http://schemas.openxmlformats.org/officeDocument/2006/customXml" ds:itemID="{69BD8235-2ED5-4ED2-8789-B12C12FF95E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a536f0b-aa8c-407c-8def-cd362d2cdfad"/>
    <ds:schemaRef ds:uri="b1a9100a-0d37-4a2a-9e4c-e6d1a22e5d2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18ED1FD-6685-43FF-BC63-F483C815A2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2078</TotalTime>
  <Pages>21</Pages>
  <Words>8045</Words>
  <Characters>45861</Characters>
  <Application>Microsoft Office Word</Application>
  <DocSecurity>0</DocSecurity>
  <Lines>382</Lines>
  <Paragraphs>107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53799</CharactersWithSpaces>
  <SharedDoc>false</SharedDoc>
  <HLinks>
    <vt:vector size="78" baseType="variant">
      <vt:variant>
        <vt:i4>64</vt:i4>
      </vt:variant>
      <vt:variant>
        <vt:i4>0</vt:i4>
      </vt:variant>
      <vt:variant>
        <vt:i4>0</vt:i4>
      </vt:variant>
      <vt:variant>
        <vt:i4>5</vt:i4>
      </vt:variant>
      <vt:variant>
        <vt:lpwstr>https://www.istat.it/</vt:lpwstr>
      </vt:variant>
      <vt:variant>
        <vt:lpwstr/>
      </vt:variant>
      <vt:variant>
        <vt:i4>7012463</vt:i4>
      </vt:variant>
      <vt:variant>
        <vt:i4>33</vt:i4>
      </vt:variant>
      <vt:variant>
        <vt:i4>0</vt:i4>
      </vt:variant>
      <vt:variant>
        <vt:i4>5</vt:i4>
      </vt:variant>
      <vt:variant>
        <vt:lpwstr>http://www.federalismi.it/</vt:lpwstr>
      </vt:variant>
      <vt:variant>
        <vt:lpwstr/>
      </vt:variant>
      <vt:variant>
        <vt:i4>4587590</vt:i4>
      </vt:variant>
      <vt:variant>
        <vt:i4>30</vt:i4>
      </vt:variant>
      <vt:variant>
        <vt:i4>0</vt:i4>
      </vt:variant>
      <vt:variant>
        <vt:i4>5</vt:i4>
      </vt:variant>
      <vt:variant>
        <vt:lpwstr>chrome-extension://efaidnbmnnnibpcajpcglclefindmkaj/https:/csdle.lex.unict.it/sites/default/files/Documenti/WorkingPapers/20150211-102026_Copia-di-fenoglio-n239_2015itpdf.pdf</vt:lpwstr>
      </vt:variant>
      <vt:variant>
        <vt:lpwstr/>
      </vt:variant>
      <vt:variant>
        <vt:i4>4063353</vt:i4>
      </vt:variant>
      <vt:variant>
        <vt:i4>27</vt:i4>
      </vt:variant>
      <vt:variant>
        <vt:i4>0</vt:i4>
      </vt:variant>
      <vt:variant>
        <vt:i4>5</vt:i4>
      </vt:variant>
      <vt:variant>
        <vt:lpwstr>https://www.accredia.it/documenti/</vt:lpwstr>
      </vt:variant>
      <vt:variant>
        <vt:lpwstr/>
      </vt:variant>
      <vt:variant>
        <vt:i4>5242969</vt:i4>
      </vt:variant>
      <vt:variant>
        <vt:i4>24</vt:i4>
      </vt:variant>
      <vt:variant>
        <vt:i4>0</vt:i4>
      </vt:variant>
      <vt:variant>
        <vt:i4>5</vt:i4>
      </vt:variant>
      <vt:variant>
        <vt:lpwstr>https://www.fondazionebrodolini.it/pubblicazioni/working-papers/conciliare-vita-e-lavoro-verso-un-welfare-plurale</vt:lpwstr>
      </vt:variant>
      <vt:variant>
        <vt:lpwstr/>
      </vt:variant>
      <vt:variant>
        <vt:i4>6815860</vt:i4>
      </vt:variant>
      <vt:variant>
        <vt:i4>21</vt:i4>
      </vt:variant>
      <vt:variant>
        <vt:i4>0</vt:i4>
      </vt:variant>
      <vt:variant>
        <vt:i4>5</vt:i4>
      </vt:variant>
      <vt:variant>
        <vt:lpwstr>chrome-extension://efaidnbmnnnibpcajpcglclefindmkaj/https:/csdle.lex.unict.it/sites/default/files/Documenti/WorkingPapers/20200526-055114_Tinti_n419-2020itpdf.pdf</vt:lpwstr>
      </vt:variant>
      <vt:variant>
        <vt:lpwstr/>
      </vt:variant>
      <vt:variant>
        <vt:i4>1966099</vt:i4>
      </vt:variant>
      <vt:variant>
        <vt:i4>18</vt:i4>
      </vt:variant>
      <vt:variant>
        <vt:i4>0</vt:i4>
      </vt:variant>
      <vt:variant>
        <vt:i4>5</vt:i4>
      </vt:variant>
      <vt:variant>
        <vt:lpwstr>https://www.italianequalitynetwork.it/strategia-ue-per-la-parita-di-genere-2020-2025</vt:lpwstr>
      </vt:variant>
      <vt:variant>
        <vt:lpwstr/>
      </vt:variant>
      <vt:variant>
        <vt:i4>6160397</vt:i4>
      </vt:variant>
      <vt:variant>
        <vt:i4>15</vt:i4>
      </vt:variant>
      <vt:variant>
        <vt:i4>0</vt:i4>
      </vt:variant>
      <vt:variant>
        <vt:i4>5</vt:i4>
      </vt:variant>
      <vt:variant>
        <vt:lpwstr>https://www.lavorodirittieuropa.it/dottrina/parita-e-non-discriminazione/1229-il-problematico-allargamento-della-nozione-di-discriminazione-nel-codice-delle-pari-opportunita</vt:lpwstr>
      </vt:variant>
      <vt:variant>
        <vt:lpwstr/>
      </vt:variant>
      <vt:variant>
        <vt:i4>262154</vt:i4>
      </vt:variant>
      <vt:variant>
        <vt:i4>12</vt:i4>
      </vt:variant>
      <vt:variant>
        <vt:i4>0</vt:i4>
      </vt:variant>
      <vt:variant>
        <vt:i4>5</vt:i4>
      </vt:variant>
      <vt:variant>
        <vt:lpwstr>https://www.labourlawcommunity.org/dialoghi/legge-n-162-2021-modifiche-al-codice-di-pari</vt:lpwstr>
      </vt:variant>
      <vt:variant>
        <vt:lpwstr/>
      </vt:variant>
      <vt:variant>
        <vt:i4>1245257</vt:i4>
      </vt:variant>
      <vt:variant>
        <vt:i4>9</vt:i4>
      </vt:variant>
      <vt:variant>
        <vt:i4>0</vt:i4>
      </vt:variant>
      <vt:variant>
        <vt:i4>5</vt:i4>
      </vt:variant>
      <vt:variant>
        <vt:lpwstr>https://www.lavorodirittieuropa.it/dottrina/parita-e-non-discriminazione/1145-la-parita-di-genere-al-tempo-del-pnrr-tra-trasparenza-certificazione-e-misure-premiali</vt:lpwstr>
      </vt:variant>
      <vt:variant>
        <vt:lpwstr/>
      </vt:variant>
      <vt:variant>
        <vt:i4>6619171</vt:i4>
      </vt:variant>
      <vt:variant>
        <vt:i4>6</vt:i4>
      </vt:variant>
      <vt:variant>
        <vt:i4>0</vt:i4>
      </vt:variant>
      <vt:variant>
        <vt:i4>5</vt:i4>
      </vt:variant>
      <vt:variant>
        <vt:lpwstr>https://www.lavorodirittieuropa.it/dottrina/parita-e-non-discriminazione/1233-la-certificazione-della-parita-di-genere-volano-per-i-diritti-e-per-il-business-come-ottenerla-e-conservarla</vt:lpwstr>
      </vt:variant>
      <vt:variant>
        <vt:lpwstr/>
      </vt:variant>
      <vt:variant>
        <vt:i4>4587590</vt:i4>
      </vt:variant>
      <vt:variant>
        <vt:i4>3</vt:i4>
      </vt:variant>
      <vt:variant>
        <vt:i4>0</vt:i4>
      </vt:variant>
      <vt:variant>
        <vt:i4>5</vt:i4>
      </vt:variant>
      <vt:variant>
        <vt:lpwstr>chrome-extension://efaidnbmnnnibpcajpcglclefindmkaj/https:/csdle.lex.unict.it/sites/default/files/Documenti/WorkingPapers/20150211-102026_Copia-di-fenoglio-n239_2015itpdf.pdf</vt:lpwstr>
      </vt:variant>
      <vt:variant>
        <vt:lpwstr/>
      </vt:variant>
      <vt:variant>
        <vt:i4>6160397</vt:i4>
      </vt:variant>
      <vt:variant>
        <vt:i4>0</vt:i4>
      </vt:variant>
      <vt:variant>
        <vt:i4>0</vt:i4>
      </vt:variant>
      <vt:variant>
        <vt:i4>5</vt:i4>
      </vt:variant>
      <vt:variant>
        <vt:lpwstr>https://www.lavorodirittieuropa.it/dottrina/parita-e-non-discriminazione/1229-il-problematico-allargamento-della-nozione-di-discriminazione-nel-codice-delle-pari-opportunita</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 Lamberti</dc:creator>
  <cp:keywords/>
  <dc:description/>
  <cp:lastModifiedBy>Matteo Luccisano</cp:lastModifiedBy>
  <cp:revision>52</cp:revision>
  <cp:lastPrinted>2023-03-21T08:29:00Z</cp:lastPrinted>
  <dcterms:created xsi:type="dcterms:W3CDTF">2023-06-02T13:09:00Z</dcterms:created>
  <dcterms:modified xsi:type="dcterms:W3CDTF">2023-07-28T15:50:00Z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0x010100D4C68CE7646BA347A101DFBEF066E975</vt:lpwstr>
  </property>
  <property fmtid="{D5CDD505-2E9C-101B-9397-08002B2CF9AE}" pid="3" name="_activity">
    <vt:lpwstr/>
  </property>
</Properties>
</file>