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5834" w:rsidRDefault="00295834">
      <w:pPr>
        <w:rPr>
          <w:lang w:val="en-US"/>
        </w:rPr>
      </w:pPr>
      <w:r w:rsidRPr="00335A7D">
        <w:rPr>
          <w:lang w:val="en-US"/>
        </w:rPr>
        <w:t xml:space="preserve">Title: </w:t>
      </w:r>
      <w:r w:rsidRPr="00C77C45">
        <w:rPr>
          <w:b/>
          <w:lang w:val="en-US"/>
        </w:rPr>
        <w:t>High Risk Follicular Lymphoma patients: how to identify and how to treat.</w:t>
      </w:r>
    </w:p>
    <w:p w:rsidR="00295834" w:rsidRDefault="00295834">
      <w:pPr>
        <w:rPr>
          <w:lang w:val="en-US"/>
        </w:rPr>
      </w:pPr>
    </w:p>
    <w:p w:rsidR="00295834" w:rsidRPr="00335A7D" w:rsidRDefault="00295834">
      <w:r w:rsidRPr="00335A7D">
        <w:t>Stefano Luminari</w:t>
      </w:r>
      <w:r w:rsidR="00B62EC1">
        <w:t xml:space="preserve"> (1,2)</w:t>
      </w:r>
      <w:r w:rsidRPr="00335A7D">
        <w:t xml:space="preserve">, Francesco </w:t>
      </w:r>
      <w:proofErr w:type="gramStart"/>
      <w:r w:rsidRPr="00335A7D">
        <w:t>Merli</w:t>
      </w:r>
      <w:r w:rsidR="00B62EC1">
        <w:t>(</w:t>
      </w:r>
      <w:proofErr w:type="gramEnd"/>
      <w:r w:rsidR="00B62EC1">
        <w:t>1)</w:t>
      </w:r>
    </w:p>
    <w:p w:rsidR="00295834" w:rsidRPr="00335A7D" w:rsidRDefault="00295834"/>
    <w:p w:rsidR="00295834" w:rsidRPr="00335A7D" w:rsidRDefault="00295834">
      <w:pPr>
        <w:rPr>
          <w:b/>
        </w:rPr>
      </w:pPr>
      <w:proofErr w:type="spellStart"/>
      <w:r w:rsidRPr="00335A7D">
        <w:rPr>
          <w:b/>
        </w:rPr>
        <w:t>Affiliation</w:t>
      </w:r>
      <w:r w:rsidR="00B62EC1">
        <w:rPr>
          <w:b/>
        </w:rPr>
        <w:t>s</w:t>
      </w:r>
      <w:proofErr w:type="spellEnd"/>
    </w:p>
    <w:p w:rsidR="00295834" w:rsidRPr="00B62EC1" w:rsidRDefault="00B62EC1" w:rsidP="00B62EC1">
      <w:pPr>
        <w:pStyle w:val="ListParagraph"/>
        <w:numPr>
          <w:ilvl w:val="0"/>
          <w:numId w:val="1"/>
        </w:numPr>
      </w:pPr>
      <w:proofErr w:type="spellStart"/>
      <w:r w:rsidRPr="00B62EC1">
        <w:t>Hematology</w:t>
      </w:r>
      <w:proofErr w:type="spellEnd"/>
      <w:r w:rsidRPr="00B62EC1">
        <w:t xml:space="preserve">, Azienda Sanitaria locale IRCCS Reggio Emilia, </w:t>
      </w:r>
      <w:proofErr w:type="spellStart"/>
      <w:r w:rsidRPr="00B62EC1">
        <w:t>Italy</w:t>
      </w:r>
      <w:proofErr w:type="spellEnd"/>
    </w:p>
    <w:p w:rsidR="00B62EC1" w:rsidRPr="00B62EC1" w:rsidRDefault="00B62EC1" w:rsidP="00B62EC1">
      <w:pPr>
        <w:pStyle w:val="ListParagraph"/>
        <w:numPr>
          <w:ilvl w:val="0"/>
          <w:numId w:val="1"/>
        </w:numPr>
        <w:rPr>
          <w:lang w:val="en-US"/>
        </w:rPr>
      </w:pPr>
      <w:r w:rsidRPr="00B62EC1">
        <w:rPr>
          <w:lang w:val="en-US"/>
        </w:rPr>
        <w:t xml:space="preserve">Department of Diagnostic, Clinical and Public Health medicine, University of Modena and Reggio Emilia, Reggio </w:t>
      </w:r>
      <w:proofErr w:type="spellStart"/>
      <w:r w:rsidRPr="00B62EC1">
        <w:rPr>
          <w:lang w:val="en-US"/>
        </w:rPr>
        <w:t>Emiloia</w:t>
      </w:r>
      <w:proofErr w:type="spellEnd"/>
      <w:r w:rsidRPr="00B62EC1">
        <w:rPr>
          <w:lang w:val="en-US"/>
        </w:rPr>
        <w:t>, Italy</w:t>
      </w:r>
    </w:p>
    <w:p w:rsidR="00B62EC1" w:rsidRPr="00B62EC1" w:rsidRDefault="00B62EC1">
      <w:pPr>
        <w:rPr>
          <w:b/>
          <w:lang w:val="en-US"/>
        </w:rPr>
      </w:pPr>
    </w:p>
    <w:p w:rsidR="00B62EC1" w:rsidRPr="00B62EC1" w:rsidRDefault="00B62EC1">
      <w:pPr>
        <w:rPr>
          <w:b/>
          <w:lang w:val="en-US"/>
        </w:rPr>
      </w:pPr>
    </w:p>
    <w:p w:rsidR="00B62EC1" w:rsidRPr="00B62EC1" w:rsidRDefault="00B62EC1">
      <w:pPr>
        <w:rPr>
          <w:b/>
          <w:lang w:val="en-US"/>
        </w:rPr>
      </w:pPr>
    </w:p>
    <w:p w:rsidR="00295834" w:rsidRPr="00335A7D" w:rsidRDefault="00295834">
      <w:pPr>
        <w:rPr>
          <w:b/>
          <w:lang w:val="en-US"/>
        </w:rPr>
      </w:pPr>
      <w:r w:rsidRPr="00335A7D">
        <w:rPr>
          <w:b/>
          <w:lang w:val="en-US"/>
        </w:rPr>
        <w:t>Corresponding author</w:t>
      </w:r>
    </w:p>
    <w:p w:rsidR="00295834" w:rsidRPr="0017693A" w:rsidRDefault="00B62EC1">
      <w:pPr>
        <w:rPr>
          <w:lang w:val="en-US"/>
        </w:rPr>
      </w:pPr>
      <w:r w:rsidRPr="0017693A">
        <w:rPr>
          <w:lang w:val="en-US"/>
        </w:rPr>
        <w:t xml:space="preserve">Dr. Francesco </w:t>
      </w:r>
      <w:proofErr w:type="spellStart"/>
      <w:r w:rsidRPr="0017693A">
        <w:rPr>
          <w:lang w:val="en-US"/>
        </w:rPr>
        <w:t>Merli</w:t>
      </w:r>
      <w:proofErr w:type="spellEnd"/>
    </w:p>
    <w:p w:rsidR="00B62EC1" w:rsidRPr="0017693A" w:rsidRDefault="00B62EC1">
      <w:pPr>
        <w:rPr>
          <w:lang w:val="en-US"/>
        </w:rPr>
      </w:pPr>
      <w:r w:rsidRPr="0017693A">
        <w:rPr>
          <w:lang w:val="en-US"/>
        </w:rPr>
        <w:t>Hematology unit</w:t>
      </w:r>
    </w:p>
    <w:p w:rsidR="00B62EC1" w:rsidRDefault="00B62EC1">
      <w:r w:rsidRPr="00B62EC1">
        <w:t xml:space="preserve">Azienda Sanitaria locale IRCCS Reggio Emilia, </w:t>
      </w:r>
      <w:proofErr w:type="spellStart"/>
      <w:r w:rsidRPr="00B62EC1">
        <w:t>Italy</w:t>
      </w:r>
      <w:proofErr w:type="spellEnd"/>
    </w:p>
    <w:p w:rsidR="00B62EC1" w:rsidRDefault="00B62EC1">
      <w:r>
        <w:t xml:space="preserve">Viale Risorgimento 80, </w:t>
      </w:r>
    </w:p>
    <w:p w:rsidR="00B62EC1" w:rsidRDefault="00B62EC1">
      <w:r>
        <w:t xml:space="preserve">42123, Reggio Emilia, </w:t>
      </w:r>
    </w:p>
    <w:p w:rsidR="00B62EC1" w:rsidRDefault="00B62EC1"/>
    <w:p w:rsidR="00B62EC1" w:rsidRPr="0017693A" w:rsidRDefault="00B62EC1">
      <w:proofErr w:type="gramStart"/>
      <w:r w:rsidRPr="0017693A">
        <w:t>email</w:t>
      </w:r>
      <w:proofErr w:type="gramEnd"/>
      <w:r w:rsidRPr="0017693A">
        <w:t xml:space="preserve">: </w:t>
      </w:r>
      <w:hyperlink r:id="rId8" w:history="1">
        <w:r w:rsidRPr="0017693A">
          <w:rPr>
            <w:rStyle w:val="Hyperlink"/>
          </w:rPr>
          <w:t>francesco.merli@ausl.re.it</w:t>
        </w:r>
      </w:hyperlink>
    </w:p>
    <w:p w:rsidR="00B62EC1" w:rsidRPr="00B62EC1" w:rsidRDefault="00B62EC1">
      <w:pPr>
        <w:rPr>
          <w:lang w:val="en-US"/>
        </w:rPr>
      </w:pPr>
      <w:proofErr w:type="spellStart"/>
      <w:r>
        <w:rPr>
          <w:lang w:val="en-US"/>
        </w:rPr>
        <w:t>tel</w:t>
      </w:r>
      <w:proofErr w:type="spellEnd"/>
      <w:r>
        <w:rPr>
          <w:lang w:val="en-US"/>
        </w:rPr>
        <w:t xml:space="preserve"> +39 0522 296623</w:t>
      </w:r>
    </w:p>
    <w:p w:rsidR="00B62EC1" w:rsidRPr="00B62EC1" w:rsidRDefault="00B62EC1">
      <w:pPr>
        <w:rPr>
          <w:b/>
          <w:lang w:val="en-US"/>
        </w:rPr>
      </w:pPr>
    </w:p>
    <w:p w:rsidR="00B62EC1" w:rsidRPr="00B62EC1" w:rsidRDefault="00B62EC1">
      <w:pPr>
        <w:rPr>
          <w:b/>
          <w:lang w:val="en-US"/>
        </w:rPr>
      </w:pPr>
    </w:p>
    <w:p w:rsidR="00295834" w:rsidRPr="00335A7D" w:rsidRDefault="00295834">
      <w:pPr>
        <w:rPr>
          <w:b/>
          <w:lang w:val="en-US"/>
        </w:rPr>
      </w:pPr>
      <w:r w:rsidRPr="00335A7D">
        <w:rPr>
          <w:b/>
          <w:lang w:val="en-US"/>
        </w:rPr>
        <w:t>Key word</w:t>
      </w:r>
    </w:p>
    <w:p w:rsidR="00295834" w:rsidRPr="00B62EC1" w:rsidRDefault="00B62EC1">
      <w:pPr>
        <w:rPr>
          <w:lang w:val="en-US"/>
        </w:rPr>
      </w:pPr>
      <w:r w:rsidRPr="00B62EC1">
        <w:rPr>
          <w:lang w:val="en-US"/>
        </w:rPr>
        <w:t xml:space="preserve">Follicular Lymphoma, Prognosis, Prognostic factors, High risk, early progression, </w:t>
      </w:r>
    </w:p>
    <w:p w:rsidR="00B62EC1" w:rsidRPr="00B62EC1" w:rsidRDefault="00B62EC1">
      <w:pPr>
        <w:rPr>
          <w:lang w:val="en-US"/>
        </w:rPr>
      </w:pPr>
    </w:p>
    <w:p w:rsidR="00295834" w:rsidRPr="00335A7D" w:rsidRDefault="00295834">
      <w:pPr>
        <w:rPr>
          <w:b/>
          <w:lang w:val="en-US"/>
        </w:rPr>
      </w:pPr>
      <w:r w:rsidRPr="00335A7D">
        <w:rPr>
          <w:b/>
          <w:lang w:val="en-US"/>
        </w:rPr>
        <w:t>Running title</w:t>
      </w:r>
    </w:p>
    <w:p w:rsidR="00295834" w:rsidRPr="00B62EC1" w:rsidRDefault="00B62EC1">
      <w:pPr>
        <w:rPr>
          <w:lang w:val="en-US"/>
        </w:rPr>
      </w:pPr>
      <w:r w:rsidRPr="00B62EC1">
        <w:rPr>
          <w:lang w:val="en-US"/>
        </w:rPr>
        <w:t>High risk Follicular Lymphoma</w:t>
      </w:r>
    </w:p>
    <w:p w:rsidR="00B62EC1" w:rsidRPr="00335A7D" w:rsidRDefault="00B62EC1">
      <w:pPr>
        <w:rPr>
          <w:b/>
          <w:lang w:val="en-US"/>
        </w:rPr>
      </w:pPr>
    </w:p>
    <w:p w:rsidR="00295834" w:rsidRDefault="00295834">
      <w:pPr>
        <w:rPr>
          <w:b/>
          <w:lang w:val="en-US"/>
        </w:rPr>
      </w:pPr>
      <w:r w:rsidRPr="00335A7D">
        <w:rPr>
          <w:b/>
          <w:lang w:val="en-US"/>
        </w:rPr>
        <w:t xml:space="preserve">Abstract </w:t>
      </w:r>
    </w:p>
    <w:p w:rsidR="00295834" w:rsidRPr="00B62EC1" w:rsidRDefault="00B62EC1">
      <w:pPr>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 xml:space="preserve">During the last 15 years the outcome of patients </w:t>
      </w:r>
      <w:r>
        <w:rPr>
          <w:rFonts w:ascii="Arial" w:hAnsi="Arial" w:cs="Arial"/>
          <w:bCs/>
          <w:color w:val="222222"/>
          <w:shd w:val="clear" w:color="auto" w:fill="FFFFFF"/>
          <w:lang w:val="en-US"/>
        </w:rPr>
        <w:t xml:space="preserve">with follicular lymphoma (FL) </w:t>
      </w:r>
      <w:r w:rsidRPr="0025576A">
        <w:rPr>
          <w:rFonts w:ascii="Arial" w:hAnsi="Arial" w:cs="Arial"/>
          <w:bCs/>
          <w:color w:val="222222"/>
          <w:shd w:val="clear" w:color="auto" w:fill="FFFFFF"/>
          <w:lang w:val="en-US"/>
        </w:rPr>
        <w:t>has dramatic</w:t>
      </w:r>
      <w:r>
        <w:rPr>
          <w:rFonts w:ascii="Arial" w:hAnsi="Arial" w:cs="Arial"/>
          <w:bCs/>
          <w:color w:val="222222"/>
          <w:shd w:val="clear" w:color="auto" w:fill="FFFFFF"/>
          <w:lang w:val="en-US"/>
        </w:rPr>
        <w:t>ally</w:t>
      </w:r>
      <w:r w:rsidRPr="0025576A">
        <w:rPr>
          <w:rFonts w:ascii="Arial" w:hAnsi="Arial" w:cs="Arial"/>
          <w:bCs/>
          <w:color w:val="222222"/>
          <w:shd w:val="clear" w:color="auto" w:fill="FFFFFF"/>
          <w:lang w:val="en-US"/>
        </w:rPr>
        <w:t xml:space="preserve"> improved mainly as a result of effective therapies and of a better understanding of lymphoma biology.</w:t>
      </w:r>
      <w:r>
        <w:rPr>
          <w:rFonts w:ascii="Arial" w:hAnsi="Arial" w:cs="Arial"/>
          <w:bCs/>
          <w:color w:val="222222"/>
          <w:shd w:val="clear" w:color="auto" w:fill="FFFFFF"/>
          <w:lang w:val="en-US"/>
        </w:rPr>
        <w:t xml:space="preserve"> Although with standard treatment Progression Free S</w:t>
      </w:r>
      <w:r w:rsidRPr="0025576A">
        <w:rPr>
          <w:rFonts w:ascii="Arial" w:hAnsi="Arial" w:cs="Arial"/>
          <w:bCs/>
          <w:color w:val="222222"/>
          <w:shd w:val="clear" w:color="auto" w:fill="FFFFFF"/>
          <w:lang w:val="en-US"/>
        </w:rPr>
        <w:t xml:space="preserve">urvival </w:t>
      </w:r>
      <w:r>
        <w:rPr>
          <w:rFonts w:ascii="Arial" w:hAnsi="Arial" w:cs="Arial"/>
          <w:bCs/>
          <w:color w:val="222222"/>
          <w:shd w:val="clear" w:color="auto" w:fill="FFFFFF"/>
          <w:lang w:val="en-US"/>
        </w:rPr>
        <w:t>is approximately 10 years and Overall Survival</w:t>
      </w:r>
      <w:r w:rsidRPr="0025576A">
        <w:rPr>
          <w:rFonts w:ascii="Arial" w:hAnsi="Arial" w:cs="Arial"/>
          <w:bCs/>
          <w:color w:val="222222"/>
          <w:shd w:val="clear" w:color="auto" w:fill="FFFFFF"/>
          <w:lang w:val="en-US"/>
        </w:rPr>
        <w:t xml:space="preserve"> upwards of 20 years</w:t>
      </w:r>
      <w:r>
        <w:rPr>
          <w:rFonts w:ascii="Arial" w:hAnsi="Arial" w:cs="Arial"/>
          <w:bCs/>
          <w:color w:val="222222"/>
          <w:shd w:val="clear" w:color="auto" w:fill="FFFFFF"/>
          <w:lang w:val="en-US"/>
        </w:rPr>
        <w:t xml:space="preserve"> </w:t>
      </w:r>
      <w:r w:rsidRPr="0025576A">
        <w:rPr>
          <w:rFonts w:ascii="Arial" w:hAnsi="Arial" w:cs="Arial"/>
          <w:bCs/>
          <w:color w:val="222222"/>
          <w:shd w:val="clear" w:color="auto" w:fill="FFFFFF"/>
          <w:lang w:val="en-US"/>
        </w:rPr>
        <w:t>high heterogeneity exists in the clinical behavior of the individual patient and a significant proportion</w:t>
      </w:r>
      <w:r>
        <w:rPr>
          <w:rFonts w:ascii="Arial" w:hAnsi="Arial" w:cs="Arial"/>
          <w:bCs/>
          <w:color w:val="222222"/>
          <w:shd w:val="clear" w:color="auto" w:fill="FFFFFF"/>
          <w:lang w:val="en-US"/>
        </w:rPr>
        <w:t xml:space="preserve"> of subjects are diagnosed </w:t>
      </w:r>
      <w:r w:rsidRPr="0025576A">
        <w:rPr>
          <w:rFonts w:ascii="Arial" w:hAnsi="Arial" w:cs="Arial"/>
          <w:bCs/>
          <w:color w:val="222222"/>
          <w:shd w:val="clear" w:color="auto" w:fill="FFFFFF"/>
          <w:lang w:val="en-US"/>
        </w:rPr>
        <w:t>with high</w:t>
      </w:r>
      <w:r>
        <w:rPr>
          <w:rFonts w:ascii="Arial" w:hAnsi="Arial" w:cs="Arial"/>
          <w:bCs/>
          <w:color w:val="222222"/>
          <w:shd w:val="clear" w:color="auto" w:fill="FFFFFF"/>
          <w:lang w:val="en-US"/>
        </w:rPr>
        <w:t>er and earlier</w:t>
      </w:r>
      <w:r w:rsidRPr="0025576A">
        <w:rPr>
          <w:rFonts w:ascii="Arial" w:hAnsi="Arial" w:cs="Arial"/>
          <w:bCs/>
          <w:color w:val="222222"/>
          <w:shd w:val="clear" w:color="auto" w:fill="FFFFFF"/>
          <w:lang w:val="en-US"/>
        </w:rPr>
        <w:t xml:space="preserve"> risk of dying from FL within few years from the diagnosis</w:t>
      </w:r>
      <w:r>
        <w:rPr>
          <w:rFonts w:ascii="Arial" w:hAnsi="Arial" w:cs="Arial"/>
          <w:bCs/>
          <w:color w:val="222222"/>
          <w:shd w:val="clear" w:color="auto" w:fill="FFFFFF"/>
          <w:lang w:val="en-US"/>
        </w:rPr>
        <w:t xml:space="preserve"> exist</w:t>
      </w:r>
      <w:r w:rsidRPr="0025576A">
        <w:rPr>
          <w:rFonts w:ascii="Arial" w:hAnsi="Arial" w:cs="Arial"/>
          <w:bCs/>
          <w:color w:val="222222"/>
          <w:shd w:val="clear" w:color="auto" w:fill="FFFFFF"/>
          <w:lang w:val="en-US"/>
        </w:rPr>
        <w:t>.</w:t>
      </w:r>
      <w:r w:rsidRPr="00B62EC1">
        <w:rPr>
          <w:rFonts w:ascii="Arial" w:hAnsi="Arial" w:cs="Arial"/>
          <w:bCs/>
          <w:color w:val="222222"/>
          <w:shd w:val="clear" w:color="auto" w:fill="FFFFFF"/>
          <w:lang w:val="en-US"/>
        </w:rPr>
        <w:t xml:space="preserve"> </w:t>
      </w:r>
      <w:r w:rsidRPr="0025576A">
        <w:rPr>
          <w:rFonts w:ascii="Arial" w:hAnsi="Arial" w:cs="Arial"/>
          <w:bCs/>
          <w:color w:val="222222"/>
          <w:shd w:val="clear" w:color="auto" w:fill="FFFFFF"/>
          <w:lang w:val="en-US"/>
        </w:rPr>
        <w:t>In this article we provide an overview of available prognostic tools that can be used to identify high risk patients with FL and describe which therapies are av</w:t>
      </w:r>
      <w:r>
        <w:rPr>
          <w:rFonts w:ascii="Arial" w:hAnsi="Arial" w:cs="Arial"/>
          <w:bCs/>
          <w:color w:val="222222"/>
          <w:shd w:val="clear" w:color="auto" w:fill="FFFFFF"/>
          <w:lang w:val="en-US"/>
        </w:rPr>
        <w:t>ailable and can be</w:t>
      </w:r>
      <w:r w:rsidRPr="0025576A">
        <w:rPr>
          <w:rFonts w:ascii="Arial" w:hAnsi="Arial" w:cs="Arial"/>
          <w:bCs/>
          <w:color w:val="222222"/>
          <w:shd w:val="clear" w:color="auto" w:fill="FFFFFF"/>
          <w:lang w:val="en-US"/>
        </w:rPr>
        <w:t xml:space="preserve"> recommended options for this group of hard to treat FL patients.</w:t>
      </w:r>
    </w:p>
    <w:p w:rsidR="00295834" w:rsidRDefault="00295834">
      <w:pPr>
        <w:rPr>
          <w:b/>
          <w:lang w:val="en-US"/>
        </w:rPr>
      </w:pPr>
    </w:p>
    <w:p w:rsidR="00B62EC1" w:rsidRDefault="00B62EC1">
      <w:pPr>
        <w:rPr>
          <w:b/>
          <w:lang w:val="en-US"/>
        </w:rPr>
      </w:pPr>
      <w:r>
        <w:rPr>
          <w:b/>
          <w:lang w:val="en-US"/>
        </w:rPr>
        <w:br w:type="page"/>
      </w:r>
    </w:p>
    <w:p w:rsidR="00295834" w:rsidRDefault="00295834">
      <w:pPr>
        <w:rPr>
          <w:b/>
          <w:lang w:val="en-US"/>
        </w:rPr>
      </w:pPr>
      <w:r>
        <w:rPr>
          <w:b/>
          <w:lang w:val="en-US"/>
        </w:rPr>
        <w:lastRenderedPageBreak/>
        <w:t>Introduction</w:t>
      </w:r>
    </w:p>
    <w:p w:rsidR="00295834" w:rsidRDefault="00295834">
      <w:pPr>
        <w:rPr>
          <w:b/>
          <w:lang w:val="en-US"/>
        </w:rPr>
      </w:pP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 xml:space="preserve">Follicular Lymphoma (FL) is the most frequent subtype among indolent B-cell Non Hodgkin Lymphomas (NHL) and it is typically diagnosed during the 5th to 6th decades </w:t>
      </w:r>
      <w:r w:rsidRPr="0025576A">
        <w:rPr>
          <w:rFonts w:ascii="Arial" w:hAnsi="Arial" w:cs="Arial"/>
          <w:bCs/>
          <w:color w:val="222222"/>
          <w:shd w:val="clear" w:color="auto" w:fill="FFFFFF"/>
          <w:lang w:val="en-US"/>
        </w:rPr>
        <w:fldChar w:fldCharType="begin" w:fldLock="1"/>
      </w:r>
      <w:r w:rsidRPr="0025576A">
        <w:rPr>
          <w:rFonts w:ascii="Arial" w:hAnsi="Arial" w:cs="Arial"/>
          <w:bCs/>
          <w:color w:val="222222"/>
          <w:shd w:val="clear" w:color="auto" w:fill="FFFFFF"/>
          <w:lang w:val="en-US"/>
        </w:rPr>
        <w:instrText>ADDIN CSL_CITATION { "citationItems" : [ { "id" : "ITEM-1", "itemData" : { "DOI" : "10.1182/blood-2016-01-643569", "ISBN" : "3014808040", "ISSN" : "15280020", "PMID" : "26980727", "abstract" : "A revision of the nearly 8-year-old World Health Organization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 "author" : [ { "dropping-particle" : "", "family" : "Swerdlow", "given" : "Steven H.", "non-dropping-particle" : "", "parse-names" : false, "suffix" : "" }, { "dropping-particle" : "", "family" : "Campo", "given" : "Elias", "non-dropping-particle" : "", "parse-names" : false, "suffix" : "" }, { "dropping-particle" : "", "family" : "Pileri", "given" : "Stefano A.", "non-dropping-particle" : "", "parse-names" : false, "suffix" : "" }, { "dropping-particle" : "", "family" : "Lee Harris", "given" : "Nancy", "non-dropping-particle" : "", "parse-names" : false, "suffix" : "" }, { "dropping-particle" : "", "family" : "Stein", "given" : "Harald", "non-dropping-particle" : "", "parse-names" : false, "suffix" : "" }, { "dropping-particle" : "", "family" : "Siebert", "given" : "Reiner", "non-dropping-particle" : "", "parse-names" : false, "suffix" : "" }, { "dropping-particle" : "", "family" : "Advani", "given" : "Ranjana", "non-dropping-particle" : "", "parse-names" : false, "suffix" : "" }, { "dropping-particle" : "", "family" : "Ghielmini", "given" : "Michele", "non-dropping-particle" : "", "parse-names" : false, "suffix" : "" }, { "dropping-particle" : "", "family" : "Salles", "given" : "Gilles A.", "non-dropping-particle" : "", "parse-names" : false, "suffix" : "" }, { "dropping-particle" : "", "family" : "Zelenetz", "given" : "Andrew D.", "non-dropping-particle" : "", "parse-names" : false, "suffix" : "" }, { "dropping-particle" : "", "family" : "Jaffe", "given" : "Elaine S.", "non-dropping-particle" : "", "parse-names" : false, "suffix" : "" } ], "container-title" : "Blood", "id" : "ITEM-1", "issue" : "20", "issued" : { "date-parts" : [ [ "2016" ] ] }, "page" : "2375-2390", "title" : "The 2016 revision of the World Health Organization classification of lymphoid neoplasms", "type" : "article", "volume" : "127" }, "uris" : [ "http://www.mendeley.com/documents/?uuid=c5e5ae26-469b-4b58-aee3-eb0c810682d1", "http://www.mendeley.com/documents/?uuid=e165503b-1799-4122-9080-cab618be60ea" ] } ], "mendeley" : { "formattedCitation" : "(1)", "plainTextFormattedCitation" : "(1)", "previouslyFormattedCitation" : "(1)" }, "properties" : { "noteIndex" : 0 }, "schema" : "https://github.com/citation-style-language/schema/raw/master/csl-citation.json" }</w:instrText>
      </w:r>
      <w:r w:rsidRPr="0025576A">
        <w:rPr>
          <w:rFonts w:ascii="Arial" w:hAnsi="Arial" w:cs="Arial"/>
          <w:bCs/>
          <w:color w:val="222222"/>
          <w:shd w:val="clear" w:color="auto" w:fill="FFFFFF"/>
          <w:lang w:val="en-US"/>
        </w:rPr>
        <w:fldChar w:fldCharType="separate"/>
      </w:r>
      <w:r w:rsidRPr="0025576A">
        <w:rPr>
          <w:rFonts w:ascii="Arial" w:hAnsi="Arial" w:cs="Arial"/>
          <w:bCs/>
          <w:noProof/>
          <w:color w:val="222222"/>
          <w:shd w:val="clear" w:color="auto" w:fill="FFFFFF"/>
          <w:lang w:val="en-US"/>
        </w:rPr>
        <w:t>(1)</w:t>
      </w:r>
      <w:r w:rsidRPr="0025576A">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During the last 15 years the outcome of FL patients has dramatic</w:t>
      </w:r>
      <w:r>
        <w:rPr>
          <w:rFonts w:ascii="Arial" w:hAnsi="Arial" w:cs="Arial"/>
          <w:bCs/>
          <w:color w:val="222222"/>
          <w:shd w:val="clear" w:color="auto" w:fill="FFFFFF"/>
          <w:lang w:val="en-US"/>
        </w:rPr>
        <w:t>ally</w:t>
      </w:r>
      <w:r w:rsidRPr="0025576A">
        <w:rPr>
          <w:rFonts w:ascii="Arial" w:hAnsi="Arial" w:cs="Arial"/>
          <w:bCs/>
          <w:color w:val="222222"/>
          <w:shd w:val="clear" w:color="auto" w:fill="FFFFFF"/>
          <w:lang w:val="en-US"/>
        </w:rPr>
        <w:t xml:space="preserve"> improved mainly as a result of effective therapies and of a better understanding of lymphoma biology. Standard treatment for patients with advanced stage disease requires the combination of chemotherapy with anti CD20 immunotherapy. R-CHOP or R-</w:t>
      </w:r>
      <w:proofErr w:type="spellStart"/>
      <w:r w:rsidRPr="0025576A">
        <w:rPr>
          <w:rFonts w:ascii="Arial" w:hAnsi="Arial" w:cs="Arial"/>
          <w:bCs/>
          <w:color w:val="222222"/>
          <w:shd w:val="clear" w:color="auto" w:fill="FFFFFF"/>
          <w:lang w:val="en-US"/>
        </w:rPr>
        <w:t>Bendamustine</w:t>
      </w:r>
      <w:proofErr w:type="spellEnd"/>
      <w:r w:rsidRPr="0025576A">
        <w:rPr>
          <w:rFonts w:ascii="Arial" w:hAnsi="Arial" w:cs="Arial"/>
          <w:bCs/>
          <w:color w:val="222222"/>
          <w:shd w:val="clear" w:color="auto" w:fill="FFFFFF"/>
          <w:lang w:val="en-US"/>
        </w:rPr>
        <w:t xml:space="preserve"> regimens are alternative options with similar anti-lymphoma activity and with a different toxicity profile that can be followed by rituximab maintenance and allow</w:t>
      </w:r>
      <w:r>
        <w:rPr>
          <w:rFonts w:ascii="Arial" w:hAnsi="Arial" w:cs="Arial"/>
          <w:bCs/>
          <w:color w:val="222222"/>
          <w:shd w:val="clear" w:color="auto" w:fill="FFFFFF"/>
          <w:lang w:val="en-US"/>
        </w:rPr>
        <w:t xml:space="preserve"> an</w:t>
      </w:r>
      <w:r w:rsidRPr="0025576A">
        <w:rPr>
          <w:rFonts w:ascii="Arial" w:hAnsi="Arial" w:cs="Arial"/>
          <w:bCs/>
          <w:color w:val="222222"/>
          <w:shd w:val="clear" w:color="auto" w:fill="FFFFFF"/>
          <w:lang w:val="en-US"/>
        </w:rPr>
        <w:t xml:space="preserve"> excellent disease control that transl</w:t>
      </w:r>
      <w:r>
        <w:rPr>
          <w:rFonts w:ascii="Arial" w:hAnsi="Arial" w:cs="Arial"/>
          <w:bCs/>
          <w:color w:val="222222"/>
          <w:shd w:val="clear" w:color="auto" w:fill="FFFFFF"/>
          <w:lang w:val="en-US"/>
        </w:rPr>
        <w:t>ates into a median Progression Free S</w:t>
      </w:r>
      <w:r w:rsidRPr="0025576A">
        <w:rPr>
          <w:rFonts w:ascii="Arial" w:hAnsi="Arial" w:cs="Arial"/>
          <w:bCs/>
          <w:color w:val="222222"/>
          <w:shd w:val="clear" w:color="auto" w:fill="FFFFFF"/>
          <w:lang w:val="en-US"/>
        </w:rPr>
        <w:t>urvival (PFS)</w:t>
      </w:r>
      <w:r>
        <w:rPr>
          <w:rFonts w:ascii="Arial" w:hAnsi="Arial" w:cs="Arial"/>
          <w:bCs/>
          <w:color w:val="222222"/>
          <w:shd w:val="clear" w:color="auto" w:fill="FFFFFF"/>
          <w:lang w:val="en-US"/>
        </w:rPr>
        <w:t xml:space="preserve"> of approximately 10 years and Overall S</w:t>
      </w:r>
      <w:r w:rsidRPr="0025576A">
        <w:rPr>
          <w:rFonts w:ascii="Arial" w:hAnsi="Arial" w:cs="Arial"/>
          <w:bCs/>
          <w:color w:val="222222"/>
          <w:shd w:val="clear" w:color="auto" w:fill="FFFFFF"/>
          <w:lang w:val="en-US"/>
        </w:rPr>
        <w:t xml:space="preserve">urvival (OS) upwards of 20 years </w:t>
      </w:r>
      <w:r>
        <w:rPr>
          <w:rFonts w:ascii="Arial" w:hAnsi="Arial" w:cs="Arial"/>
          <w:bCs/>
          <w:color w:val="222222"/>
          <w:shd w:val="clear" w:color="auto" w:fill="FFFFFF"/>
          <w:lang w:val="en-US"/>
        </w:rPr>
        <w:fldChar w:fldCharType="begin" w:fldLock="1"/>
      </w:r>
      <w:r>
        <w:rPr>
          <w:rFonts w:ascii="Arial" w:hAnsi="Arial" w:cs="Arial"/>
          <w:bCs/>
          <w:color w:val="222222"/>
          <w:shd w:val="clear" w:color="auto" w:fill="FFFFFF"/>
          <w:lang w:val="en-US"/>
        </w:rPr>
        <w:instrText>ADDIN CSL_CITATION { "citationItems" : [ { "id" : "ITEM-1", "itemData" : { "DOI" : "10.1200/JCO.2017.74.1652", "ISSN" : "15277755", "PMID" : "29095677", "abstract" : "Purpose The FOLL05 trial compared R-CVP (rituximab plus cyclophosphamide, vincristine, and prednisone) with R-CHOP (rituximab plus cyclophosphamide, doxorubicin, vincristine, and prednisone) and R-FM (rituximab plus fludarabine and mitoxantrone) regimens without rituximab maintenance as initial therapy for patients with advanced-stage follicular lymphoma (FL). A previous analysis with a median follow-up of 34 months showed a superior 3-year time to treatment failure, the primary study end point, with R-CHOP and R-FM versus R-CVP and showed R-CHOP to have a better risk-benefit ratio in terms of toxicity than R-FM. We report a post hoc analysis of this trial after a median follow-up of 7 years. Patients and Methods Of the 534 enrolled patients, 504 were evaluable. At the time of analysis, the median follow-up was 84 months (range, 1 to 119 months). Results The 8-year time to treatment failure and progression-free survival rates were 44% (95% CI, 39% to 49%) and 48% (95% CI, 43% to 53%), respectively. The hazard ratio for progression-free survival adjusted by FL International Prognostic Index 2 versus R-CVP was 0.73 for R-CHOP (95% CI, 0.54 to 0.98; P = .037) and 0.67 for R-FM (95% CI, 0.50 to 0.91; P = .009). The 8-year overall survival (OS) rate was 83% (95% CI, 79% to 87%), with no significant differences among study arms. Overall, we observed a higher risk of dying as a result of causes unrelated to lymphoma progression with R-FM versus R-CVP. Conclusion With an 83% 8-year OS rate, long-term follow-up of the FOLL05 trial confirms the favorable outcome of patients with advanced-stage FL treated with immunochemotherapy. The three study arms had similar OS but different activity and toxicity profiles. Patients initially treated with R-CVP had a higher risk of lymphoma progression compared with those receiving R-CHOP, as well as a higher risk of requiring additional therapy.", "author" : [ { "dropping-particle" : "", "family" : "Luminari", "given" : "Stefano", "non-dropping-particle" : "", "parse-names" : false, "suffix" : "" }, { "dropping-particle" : "", "family" : "Ferrari", "given" : "Angela", "non-dropping-particle" : "", "parse-names" : false, "suffix" : "" }, { "dropping-particle" : "", "family" : "Manni", "given" : "Martina", "non-dropping-particle" : "", "parse-names" : false, "suffix" : "" }, { "dropping-particle" : "", "family" : "Dondi", "given" : "Alessandra", "non-dropping-particle" : "", "parse-names" : false, "suffix" : "" }, { "dropping-particle" : "", "family" : "Chiarenza", "given" : "Annalisa", "non-dropping-particle" : "", "parse-names" : false, "suffix" : "" }, { "dropping-particle" : "", "family" : "Merli", "given" : "Francesco", "non-dropping-particle" : "", "parse-names" : false, "suffix" : "" }, { "dropping-particle" : "", "family" : "Rusconi", "given" : "Chiara", "non-dropping-particle" : "", "parse-names" : false, "suffix" : "" }, { "dropping-particle" : "", "family" : "Tarantino", "given" : "Vittoria", "non-dropping-particle" : "", "parse-names" : false, "suffix" : "" }, { "dropping-particle" : "", "family" : "Tucci", "given" : "Alessandra", "non-dropping-particle" : "", "parse-names" : false, "suffix" : "" }, { "dropping-particle" : "", "family" : "Vitolo", "given" : "Umberto", "non-dropping-particle" : "", "parse-names" : false, "suffix" : "" }, { "dropping-particle" : "", "family" : "Kovalchuk", "given" : "Sofia", "non-dropping-particle" : "", "parse-names" : false, "suffix" : "" }, { "dropping-particle" : "", "family" : "Angelucci", "given" : "Emanuele", "non-dropping-particle" : "", "parse-names" : false, "suffix" : "" }, { "dropping-particle" : "", "family" : "Pulsoni", "given" : "Alessandro", "non-dropping-particle" : "", "parse-names" : false, "suffix" : "" }, { "dropping-particle" : "", "family" : "Arcaini", "given" : "Luca", "non-dropping-particle" : "", "parse-names" : false, "suffix" : "" }, { "dropping-particle" : "", "family" : "Angrilli", "given" : "Francesco", "non-dropping-particle" : "", "parse-names" : false, "suffix" : "" }, { "dropping-particle" : "", "family" : "Gaidano", "given" : "Gianluca", "non-dropping-particle" : "", "parse-names" : false, "suffix" : "" }, { "dropping-particle" : "", "family" : "Stelitano", "given" : "Caterina", "non-dropping-particle" : "", "parse-names" : false, "suffix" : "" }, { "dropping-particle" : "", "family" : "Bertoldero", "given" : "Giovanni", "non-dropping-particle" : "", "parse-names" : false, "suffix" : "" }, { "dropping-particle" : "", "family" : "Cascavilla", "given" : "Nicola", "non-dropping-particle" : "", "parse-names" : false, "suffix" : "" }, { "dropping-particle" : "", "family" : "Salvi", "given" : "Flavia", "non-dropping-particle" : "", "parse-names" : false, "suffix" : "" }, { "dropping-particle" : "", "family" : "Ferreri", "given" : "And\u0155es J.M.", "non-dropping-particle" : "", "parse-names" : false, "suffix" : "" }, { "dropping-particle" : "", "family" : "Vallisa", "given" : "Daniele", "non-dropping-particle" : "", "parse-names" : false, "suffix" : "" }, { "dropping-particle" : "", "family" : "Marcheselli", "given" : "Luigi", "non-dropping-particle" : "", "parse-names" : false, "suffix" : "" }, { "dropping-particle" : "", "family" : "Federico", "given" : "Massimo", "non-dropping-particle" : "", "parse-names" : false, "suffix" : "" } ], "container-title" : "Journal of Clinical Oncology", "id" : "ITEM-1", "issue" : "7", "issued" : { "date-parts" : [ [ "2018" ] ] }, "page" : "689-696", "title" : "Long-Term results of the FOLL05 trial comparing R-CVP Versus R-CHOP versus R-FM for the initial treatment of patients with advanced-stage symptomatic follicular lymphoma", "type" : "article-journal", "volume" : "36" }, "uris" : [ "http://www.mendeley.com/documents/?uuid=7ac06ab5-3fdd-413c-9ad9-a74790970790", "http://www.mendeley.com/documents/?uuid=2bd7a898-e09d-4c8f-ba4a-c753c3025f32" ] }, { "id" : "ITEM-2", "itemData" : { "DOI" : "10.1016/S0140-6736(10)62175-7", "ISBN" : "1474-547X (Electronic)\\n0140-6736 (Linking)", "ISSN" : "01406736", "PMID" : "21176949", "abstract" : "Patients with follicular lymphoma can have long survival times, but disease progression typically occurs 3-5 years after initial treatment. We assessed the potential benefit of 2 years of rituximab maintenance after first-line treatment in patients with follicular lymphoma receiving a rituximab plus chemotherapy regimen. The randomised, open-label PRIMA study was undertaken in 223 centres in 25 countries. 1217 patients with previously untreated follicular lymphoma needing systemic therapy received one of three non-randomised immunochemotherapy induction regimens used in routine practice. 1019 patients achieving a complete or partial response were then randomly assigned to receive 2 years of rituximab maintenance therapy (375 mg/m2every 8 weeks) or observation. Treatment was assigned equally by centralised block randomisation, stratified by induction regimen, response, region, and centre. Neither the participants nor those giving the interventions, assessing outcomes, and analysing data were masked to group assignments. The primary endpoint was progression-free survival (PFS). Analysis was by intention to treat. This trial is registered with ClinicalTrials.gov, number NCT00140582. 505 patients were assigned to rituximab maintenance and 513 to observation (one patient died during randomisation). With a median follow-up of 36 months (IQR 30-42), PFS was 74\u00b79 (95 CI 70\u00b79-78\u00b79) in the rituximab maintenance group (130 patients progressed) and 57\u00b76 (53\u00b72-62\u00b70) in the observation group (218 progressed; hazard ratio [HR] 0\u00b755, 95 CI 0\u00b744-0\u00b768, p&lt;0\u00b70001). 2 years after randomisation, 361 patients (71\u00b75) in the rituximab maintenance group were in complete or unconfirmed complete response versus 268 (52\u00b72) in the observation group (p=0\u00b70001). Overall survival did not differ significantly between groups (HR 0\u00b787, 95 CI 0\u00b751-1\u00b747). Grade 3 and 4 adverse events were recorded in 121 patients (24) in the rituximab maintenance group and 84 (17) in the observation group (risk ratio 1\u00b746, 95 CI 1\u00b714-1\u00b787; p=0\u00b70026). Infections (grades 2-4) were the most common adverse event, occurring in 197 (39) and 123 (24) patients, respectively (risk ratio 1\u00b762, 95 CI 1\u00b735-1\u00b796; p&lt;0\u00b70001). 2 years of rituximab maintenance therapy after immunochemotherapy as first-line treatment for follicular lymphoma significantly improves PFS. Groupe d'Etude des Lymphomes de l'Adulte (GELA) and F Hoffmann-La Roche. \u00a9 2011 Elsevier Ltd.", "author" : [ { "dropping-particle" : "", "family" : "Salles", "given" : "Gilles", "non-dropping-particle" : "", "parse-names" : false, "suffix" : "" }, { "dropping-particle" : "", "family" : "Seymour", "given" : "John Francis", "non-dropping-particle" : "", "parse-names" : false, "suffix" : "" }, { "dropping-particle" : "", "family" : "Offner", "given" : "Fritz", "non-dropping-particle" : "", "parse-names" : false, "suffix" : "" }, { "dropping-particle" : "", "family" : "L\u00f3pez-Guillermo", "given" : "Armando", "non-dropping-particle" : "", "parse-names" : false, "suffix" : "" }, { "dropping-particle" : "", "family" : "Belada", "given" : "David", "non-dropping-particle" : "", "parse-names" : false, "suffix" : "" }, { "dropping-particle" : "", "family" : "Xerri", "given" : "Luc", "non-dropping-particle" : "", "parse-names" : false, "suffix" : "" }, { "dropping-particle" : "", "family" : "Feugier", "given" : "Pierre", "non-dropping-particle" : "", "parse-names" : false, "suffix" : "" }, { "dropping-particle" : "", "family" : "Bouabdallah", "given" : "R\u00e9da", "non-dropping-particle" : "", "parse-names" : false, "suffix" : "" }, { "dropping-particle" : "", "family" : "Catalano", "given" : "John Vincent", "non-dropping-particle" : "", "parse-names" : false, "suffix" : "" }, { "dropping-particle" : "", "family" : "Brice", "given" : "Pauline", "non-dropping-particle" : "", "parse-names" : false, "suffix" : "" }, { "dropping-particle" : "", "family" : "Caballero", "given" : "Dolores", "non-dropping-particle" : "", "parse-names" : false, "suffix" : "" }, { "dropping-particle" : "", "family" : "Haioun", "given" : "Corinne", "non-dropping-particle" : "", "parse-names" : false, "suffix" : "" }, { "dropping-particle" : "", "family" : "Pedersen", "given" : "Lars Moller", "non-dropping-particle" : "", "parse-names" : false, "suffix" : "" }, { "dropping-particle" : "", "family" : "Delmer", "given" : "Alain", "non-dropping-particle" : "", "parse-names" : false, "suffix" : "" }, { "dropping-particle" : "", "family" : "Simpson", "given" : "David", "non-dropping-particle" : "", "parse-names" : false, "suffix" : "" }, { "dropping-particle" : "", "family" : "Leppa", "given" : "Sirpa", "non-dropping-particle" : "", "parse-names" : false, "suffix" : "" }, { "dropping-particle" : "", "family" : "Soubeyran", "given" : "Pierre", "non-dropping-particle" : "", "parse-names" : false, "suffix" : "" }, { "dropping-particle" : "", "family" : "Hagenbeek", "given" : "Anton", "non-dropping-particle" : "", "parse-names" : false, "suffix" : "" }, { "dropping-particle" : "", "family" : "Casasnovas", "given" : "Olivier", "non-dropping-particle" : "", "parse-names" : false, "suffix" : "" }, { "dropping-particle" : "", "family" : "Intragumtornchai", "given" : "Tanin", "non-dropping-particle" : "", "parse-names" : false, "suffix" : "" }, { "dropping-particle" : "", "family" : "Ferm\u00e9", "given" : "Christophe", "non-dropping-particle" : "", "parse-names" : false, "suffix" : "" }, { "dropping-particle" : "", "family" : "Silva", "given" : "Maria Gomes", "non-dropping-particle" : "Da", "parse-names" : false, "suffix" : "" }, { "dropping-particle" : "", "family" : "Sebban", "given" : "Catherine", "non-dropping-particle" : "", "parse-names" : false, "suffix" : "" }, { "dropping-particle" : "", "family" : "Lister", "given" : "Andrew", "non-dropping-particle" : "", "parse-names" : false, "suffix" : "" }, { "dropping-particle" : "", "family" : "Estell", "given" : "Jane A.", "non-dropping-particle" : "", "parse-names" : false, "suffix" : "" }, { "dropping-particle" : "", "family" : "Milone", "given" : "Gustavo", "non-dropping-particle" : "", "parse-names" : false, "suffix" : "" }, { "dropping-particle" : "", "family" : "Sonet", "given" : "Anne", "non-dropping-particle" : "", "parse-names" : false, "suffix" : "" }, { "dropping-particle" : "", "family" : "Mendila", "given" : "Myriam", "non-dropping-particle" : "", "parse-names" : false, "suffix" : "" }, { "dropping-particle" : "", "family" : "Coiffier", "given" : "Bertrand", "non-dropping-particle" : "", "parse-names" : false, "suffix" : "" }, { "dropping-particle" : "", "family" : "Tilly", "given" : "Herv\u00e9", "non-dropping-particle" : "", "parse-names" : false, "suffix" : "" } ], "container-title" : "The Lancet", "id" : "ITEM-2", "issue" : "9759", "issued" : { "date-parts" : [ [ "2011" ] ] }, "page" : "42-51", "title" : "Rituximab maintenance for 2 years in patients with high tumour burden follicular lymphoma responding to rituximab plus chemotherapy (PRIMA): A phase 3, randomised controlled trial", "type" : "article-journal", "volume" : "377" }, "uris" : [ "http://www.mendeley.com/documents/?uuid=32740ae6-7e9e-4e66-aaad-fef9c28c07eb" ] }, { "id" : "ITEM-3", "itemData" : { "DOI" : "10.1016/S0140-6736(12)61763-2", "ISSN" : "0140-6736", "abstract" : "SummaryBackground Rituximab plus chemotherapy, most often CHOP (cyclophosphamide, doxorubicin, vincristine, and prednisone), is the first-line standard of care for patients with advanced indolent lymphoma, and for elderly patients with mantle-cell lymphoma. Bendamustine plus rituximab is effective for relapsed or refractory disease. We compared bendamustine plus rituximab with CHOP plus rituximab (R-CHOP) as first-line treatment for patients with indolent and mantle-cell lymphomas. Methods We did a prospective, multicentre, randomised, open-label, non-inferiority trial at 81 centres in Germany between Sept 1, 2003, and Aug 31, 2008. Patients aged 18 years or older with a WHO performance status of 2 or less were eligible if they had newly diagnosed stage III or IV indolent or mantle-cell lymphoma. Patients were stratified by histological lymphoma subtype, then randomly assigned according to a prespecified randomisation list to receive either intravenous bendamustine (90 mg/m2 on days 1 and 2 of a 4-week cycle) or CHOP (cycles every 3 weeks of cyclophosphamide 750 mg/m2, doxorubicin 50 mg/m2, and vincristine 1\u00b74 mg/m2 on day 1, and prednisone 100 mg/day for 5 days) for a maximum of six cycles. Patients in both groups received rituximab 375 mg/m2 on day 1 of each cycle. Patients and treating physicians were not masked to treatment allocation. The primary endpoint was progression-free survival, with a non-inferiority margin of 10%. Analysis was per protocol. This study is registered with ClinicalTrials.gov, number NCT00991211, and the Federal Institute for Drugs and Medical Devices of Germany, BfArM 4021335. Findings 274 patients were assigned to bendamustine plus rituximab (261 assessed) and 275 to R-CHOP (253 assessed). At median follow-up of 45 months (IQR 25\u201357), median progression-free survival was significantly longer in the bendamustine plus rituximab group than in the R-CHOP group (69\u00b75 months [26\u00b71 to not yet reached] vs 31\u00b72 months [15\u00b72\u201365\u00b77]; hazard ratio 0\u00b758, 95% CI 0\u00b744\u20130\u00b774; p&amp;lt;0\u00b70001). Bendamustine plus rituximab was better tolerated than R-CHOP, with lower rates of alopecia (0 patients vs 245 (100%) of 245 patients who recieved \u22653 cycles; p&amp;lt;0\u00b70001), haematological toxicity (77 [30%] vs 173 [68%]; p&amp;lt;0\u00b70001), infections (96 [37%] vs 127 [50%]); p=0\u00b70025), peripheral neuropathy (18 [7%] vs 73 [29%]; p&amp;lt;0\u00b70001), and stomatitis (16 [6%] vs 47 [19%]; p&amp;lt;0\u00b70001). Erythematous skin reactions were more common in patients in the bendamus\u2026", "author" : [ { "dropping-particle" : "", "family" : "Rummel", "given" : "Mathias J", "non-dropping-particle" : "", "parse-names" : false, "suffix" : "" }, { "dropping-particle" : "", "family" : "Niederle", "given" : "Norbert", "non-dropping-particle" : "", "parse-names" : false, "suffix" : "" }, { "dropping-particle" : "", "family" : "Maschmeyer", "given" : "Georg", "non-dropping-particle" : "", "parse-names" : false, "suffix" : "" }, { "dropping-particle" : "", "family" : "Banat", "given" : "G Andre", "non-dropping-particle" : "", "parse-names" : false, "suffix" : "" }, { "dropping-particle" : "Von", "family" : "Gr\u00fcnhagen", "given" : "Ulrich", "non-dropping-particle" : "", "parse-names" : false, "suffix" : "" }, { "dropping-particle" : "", "family" : "Losem", "given" : "Christoph", "non-dropping-particle" : "", "parse-names" : false, "suffix" : "" }, { "dropping-particle" : "", "family" : "Kofahl-krause", "given" : "Dorothea", "non-dropping-particle" : "", "parse-names" : false, "suffix" : "" }, { "dropping-particle" : "", "family" : "Heil", "given" : "Gerhard", "non-dropping-particle" : "", "parse-names" : false, "suffix" : "" }, { "dropping-particle" : "", "family" : "Welslau", "given" : "Manfred", "non-dropping-particle" : "", "parse-names" : false, "suffix" : "" }, { "dropping-particle" : "", "family" : "Balser", "given" : "Christina", "non-dropping-particle" : "", "parse-names" : false, "suffix" : "" }, { "dropping-particle" : "", "family" : "Kaiser", "given" : "Ulrich", "non-dropping-particle" : "", "parse-names" : false, "suffix" : "" }, { "dropping-particle" : "", "family" : "Weidmann", "given" : "Eckhart", "non-dropping-particle" : "", "parse-names" : false, "suffix" : "" }, { "dropping-particle" : "", "family" : "D\u00fcrk", "given" : "Heinz", "non-dropping-particle" : "", "parse-names" : false, "suffix" : "" }, { "dropping-particle" : "", "family" : "Ballo", "given" : "Harald", "non-dropping-particle" : "", "parse-names" : false, "suffix" : "" }, { "dropping-particle" : "", "family" : "Stauch", "given" : "Martina", "non-dropping-particle" : "", "parse-names" : false, "suffix" : "" }, { "dropping-particle" : "", "family" : "Roller", "given" : "Fritz", "non-dropping-particle" : "", "parse-names" : false, "suffix" : "" } ], "container-title" : "The Lancet", "id" : "ITEM-3", "issue" : "9873", "issued" : { "date-parts" : [ [ "2013" ] ] }, "page" : "1203-1210", "title" : "Bendamustine plus rituximab versus CHOP plus rituximab as fi rst-line treatment for patients with indolent and randomised , phase 3 non-inferiority trial", "type" : "article-journal", "volume" : "381" }, "uris" : [ "http://www.mendeley.com/documents/?uuid=3b141f4c-7f4f-437c-a478-7141ece11fa4" ] }, { "id" : "ITEM-4", "itemData" : { "DOI" : "10.1182/blood-2013-11-531327", "ISBN" : "1528-0020 (Electronic)\\n0006-4971 (Linking)", "ISSN" : "15280020", "PMID" : "24591201", "abstract" : "This randomized, noninferiority (NI), global, phase 3 study evaluated the efficacy and safety of bendamustine plus rituximab (BR) vs a standard rituximab-chemotherapy regimen (rituximab plus cyclophosphamide, doxorubicin, vincristine, and prednisone [R-CHOP] or rituximab plus cyclophosphamide, vincristine, and prednisone [R-CVP]) for treatment-naive patients with indolent non-Hodgkin's lymphoma or mantle cell lymphoma. Investigators preassigned the standard treatment regimen they considered most appropriate for each patient; patients were randomized to receive BR (n = 224) or standard therapy (R-CHOP/R-CVP, n = 223) for 6 cycles; 2 additional cycles were permitted at investigator discretion. Response was assessed by a blinded independent review committee. BR was noninferior to R-CHOP/R-CVP, as assessed by the primary end point of complete response rate (31% vs 25%, respectively; P = .0225 for NI [0.88 margin]). The overall response rates for BR and R-CHOP/R-CVP were 97% and 91%, respectively (P = .0102). Incidences of vomiting and drug-hypersensitivity reactions were significantly higher in patients treated with BR (P &lt; .05), and incidences of peripheral neuropathy/paresthesia and alopecia were significantly higher in patients treated with standard-therapy regimens (P &lt; .05). These data indicate BR is noninferior to standard therapy with regard to clinical response with an acceptable safety profile. This trial was registered at www.clinicaltrials.gov as #NCT00877006.", "author" : [ { "dropping-particle" : "", "family" : "Flinn", "given" : "Ian W.", "non-dropping-particle" : "", "parse-names" : false, "suffix" : "" }, { "dropping-particle" : "", "family" : "Jagt", "given" : "Richard", "non-dropping-particle" : "Van Der", "parse-names" : false, "suffix" : "" }, { "dropping-particle" : "", "family" : "Kahl", "given" : "Brad S.", "non-dropping-particle" : "", "parse-names" : false, "suffix" : "" }, { "dropping-particle" : "", "family" : "Wood", "given" : "Peter", "non-dropping-particle" : "", "parse-names" : false, "suffix" : "" }, { "dropping-particle" : "", "family" : "Hawkins", "given" : "Tim E.", "non-dropping-particle" : "", "parse-names" : false, "suffix" : "" }, { "dropping-particle" : "", "family" : "MacDonald", "given" : "David", "non-dropping-particle" : "", "parse-names" : false, "suffix" : "" }, { "dropping-particle" : "", "family" : "Hertzberg", "given" : "Mark", "non-dropping-particle" : "", "parse-names" : false, "suffix" : "" }, { "dropping-particle" : "", "family" : "Kwan", "given" : "Yiu Lam", "non-dropping-particle" : "", "parse-names" : false, "suffix" : "" }, { "dropping-particle" : "", "family" : "Simpson", "given" : "David", "non-dropping-particle" : "", "parse-names" : false, "suffix" : "" }, { "dropping-particle" : "", "family" : "Craig", "given" : "Michael", "non-dropping-particle" : "", "parse-names" : false, "suffix" : "" }, { "dropping-particle" : "", "family" : "Kolibaba", "given" : "Kathryn", "non-dropping-particle" : "", "parse-names" : false, "suffix" : "" }, { "dropping-particle" : "", "family" : "Issa", "given" : "Samar", "non-dropping-particle" : "", "parse-names" : false, "suffix" : "" }, { "dropping-particle" : "", "family" : "Clementi", "given" : "Regina", "non-dropping-particle" : "", "parse-names" : false, "suffix" : "" }, { "dropping-particle" : "", "family" : "Hallman", "given" : "Doreen M.", "non-dropping-particle" : "", "parse-names" : false, "suffix" : "" }, { "dropping-particle" : "", "family" : "Munteanu", "given" : "Mihaela", "non-dropping-particle" : "", "parse-names" : false, "suffix" : "" }, { "dropping-particle" : "", "family" : "Chen", "given" : "Ling", "non-dropping-particle" : "", "parse-names" : false, "suffix" : "" }, { "dropping-particle" : "", "family" : "Burke", "given" : "John M.", "non-dropping-particle" : "", "parse-names" : false, "suffix" : "" } ], "container-title" : "Blood", "id" : "ITEM-4", "issue" : "19", "issued" : { "date-parts" : [ [ "2014" ] ] }, "page" : "2944-2952", "title" : "Randomized trial of bendamustine-rituximab or R-CHOP/R-CVP in first-line treatment of indolent NHL or MCL: The BRIGHT study", "type" : "article-journal", "volume" : "123" }, "uris" : [ "http://www.mendeley.com/documents/?uuid=1fe64a6f-0f53-4ad9-bbd7-d1755dd3480b" ] } ], "mendeley" : { "formattedCitation" : "(2\u20135)", "plainTextFormattedCitation" : "(2\u20135)", "previouslyFormattedCitation" : "(2\u20135)"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Pr="00953815">
        <w:rPr>
          <w:rFonts w:ascii="Arial" w:hAnsi="Arial" w:cs="Arial"/>
          <w:bCs/>
          <w:noProof/>
          <w:color w:val="222222"/>
          <w:shd w:val="clear" w:color="auto" w:fill="FFFFFF"/>
          <w:lang w:val="en-US"/>
        </w:rPr>
        <w:t>(2–5)</w:t>
      </w:r>
      <w:r>
        <w:rPr>
          <w:rFonts w:ascii="Arial" w:hAnsi="Arial" w:cs="Arial"/>
          <w:bCs/>
          <w:color w:val="222222"/>
          <w:shd w:val="clear" w:color="auto" w:fill="FFFFFF"/>
          <w:lang w:val="en-US"/>
        </w:rPr>
        <w:fldChar w:fldCharType="end"/>
      </w:r>
      <w:r>
        <w:rPr>
          <w:rFonts w:ascii="Arial" w:hAnsi="Arial" w:cs="Arial"/>
          <w:bCs/>
          <w:color w:val="222222"/>
          <w:shd w:val="clear" w:color="auto" w:fill="FFFFFF"/>
          <w:lang w:val="en-US"/>
        </w:rPr>
        <w:t>.</w:t>
      </w:r>
      <w:r w:rsidRPr="0025576A">
        <w:rPr>
          <w:rFonts w:ascii="Arial" w:hAnsi="Arial" w:cs="Arial"/>
          <w:bCs/>
          <w:color w:val="222222"/>
          <w:shd w:val="clear" w:color="auto" w:fill="FFFFFF"/>
          <w:lang w:val="en-US"/>
        </w:rPr>
        <w:t xml:space="preserve"> With the use of the novel antiCD20 monoclonal antibody </w:t>
      </w:r>
      <w:proofErr w:type="spellStart"/>
      <w:r w:rsidRPr="0025576A">
        <w:rPr>
          <w:rFonts w:ascii="Arial" w:hAnsi="Arial" w:cs="Arial"/>
          <w:bCs/>
          <w:color w:val="222222"/>
          <w:shd w:val="clear" w:color="auto" w:fill="FFFFFF"/>
          <w:lang w:val="en-US"/>
        </w:rPr>
        <w:t>obinutuzumab</w:t>
      </w:r>
      <w:proofErr w:type="spellEnd"/>
      <w:r w:rsidRPr="0025576A">
        <w:rPr>
          <w:rFonts w:ascii="Arial" w:hAnsi="Arial" w:cs="Arial"/>
          <w:bCs/>
          <w:color w:val="222222"/>
          <w:shd w:val="clear" w:color="auto" w:fill="FFFFFF"/>
          <w:lang w:val="en-US"/>
        </w:rPr>
        <w:t xml:space="preserve"> instead of rituximab further improvement in patient survival is foreseen </w:t>
      </w:r>
      <w:r>
        <w:rPr>
          <w:rFonts w:ascii="Arial" w:hAnsi="Arial" w:cs="Arial"/>
          <w:bCs/>
          <w:color w:val="222222"/>
          <w:shd w:val="clear" w:color="auto" w:fill="FFFFFF"/>
          <w:lang w:val="en-US"/>
        </w:rPr>
        <w:fldChar w:fldCharType="begin" w:fldLock="1"/>
      </w:r>
      <w:r>
        <w:rPr>
          <w:rFonts w:ascii="Arial" w:hAnsi="Arial" w:cs="Arial"/>
          <w:bCs/>
          <w:color w:val="222222"/>
          <w:shd w:val="clear" w:color="auto" w:fill="FFFFFF"/>
          <w:lang w:val="en-US"/>
        </w:rPr>
        <w:instrText>ADDIN CSL_CITATION { "citationItems" : [ { "id" : "ITEM-1", "itemData" : { "DOI" : "10.1056/NEJMoa1614598", "ISBN" : "1533-4406 (Electronic)\r0028-4793 (Linking)", "ISSN" : "0028-4793", "PMID" : "28976863", "abstract" : "BACKGROUND\r\nRituximab-based immunochemotherapy has improved outcomes in patients with \r\nfollicular lymphoma. Obinutuzumab is a glycoengineered type II anti-CD20 monoclonal antibody. We compared rituximab-based chemotherapy with obinutuzumab-based chemotherapy in patients with previously untreated advanced-stage follicular lymphoma.\r\nMETHODS\r\nWe randomly assigned patients to undergo induction treatment with obinutuzumab-\r\nbased chemotherapy or rituximab-based chemotherapy. Patients with a response re\r\n-\r\nceived maintenance treatment for up to 2 years with the same antibody that they had \r\nreceived in induction. The primary end point was investigator-assessed progression-\r\nfree survival.\r\nRESULTS\r\nA total of 1202 patients with follicular lymphoma underwent randomization (601 patients in each group). After a median follow-up of 34.5 months (range, 0 to 54.5), a planned interim analysis showed that obinutuzumab-based chemotherapy resulted in a significantly lower risk of progression, relapse, or death than rituximab-based chemotherapy (estimated 3-year rate of progression-free survival, 80.0% vs. 73.3%; hazard ratio for progression, relapse, or death, 0.66; 95% confidence interval [CI], 0.51 to 0.85; P = 0.001). Similar results were seen with regard to independently reviewed progression-free survival and other time-to-event end points. Response rates were similar in the two groups (88.5% in the obinutuzumab group and 86.9% in the rituximab group). Adverse events of grade 3 to 5 were more frequent in the obinutuzumab group than in the rituximab group (74.6% vs. 67.8%), as were serious adverse events (46.1% vs. 39.9%). The rates of adverse events resulting in death were similar in the two groups (4.0% in the obinutuzumab group and 3.4% in the rituximab group). The most common adverse events were infusion-related events that were considered by the investigators to be largely due to obinutuzumab in 353 of 595 patients(59.3%; 95% CI, 55.3 to 63.2) and to rituximab in 292 of 597 patients (48.9%; 95% CI, 44.9 to 52.9; P&lt;0.001). Nausea and neutropenia were common. A total of 35 patients (5.8%) in the obinutuzumab group and 46 (7.7%) in the rituximab group died.\r\nCONCLUSIONS\r\nObinutuzumab-based immunochemotherapy and maintenance therapy resulted in \r\nlonger progression-free survival than rituximab-based therapy. High-grade adverse events were more common with obinutuzumab-based chemotherapy. (Funded by F. Hoffmann\u2013La Roche; GALLIUM ClinicalTrials.gov number, NCT0133\u2026", "author" : [ { "dropping-particle" : "", "family" : "Marcus", "given" : "Robert", "non-dropping-particle" : "", "parse-names" : false, "suffix" : "" }, { "dropping-particle" : "", "family" : "Davies", "given" : "Andrew", "non-dropping-particle" : "", "parse-names" : false, "suffix" : "" }, { "dropping-particle" : "", "family" : "Ando", "given" : "Kiyoshi", "non-dropping-particle" : "", "parse-names" : false, "suffix" : "" }, { "dropping-particle" : "", "family" : "Klapper", "given" : "Wolfram", "non-dropping-particle" : "", "parse-names" : false, "suffix" : "" }, { "dropping-particle" : "", "family" : "Opat", "given" : "Stephen", "non-dropping-particle" : "", "parse-names" : false, "suffix" : "" }, { "dropping-particle" : "", "family" : "Owen", "given" : "Carolyn", "non-dropping-particle" : "", "parse-names" : false, "suffix" : "" }, { "dropping-particle" : "", "family" : "Phillips", "given" : "Elizabeth", "non-dropping-particle" : "", "parse-names" : false, "suffix" : "" }, { "dropping-particle" : "", "family" : "Sangha", "given" : "Randeep", "non-dropping-particle" : "", "parse-names" : false, "suffix" : "" }, { "dropping-particle" : "", "family" : "Schlag", "given" : "Rudolf", "non-dropping-particle" : "", "parse-names" : false, "suffix" : "" }, { "dropping-particle" : "", "family" : "Seymour", "given" : "John F.", "non-dropping-particle" : "", "parse-names" : false, "suffix" : "" }, { "dropping-particle" : "", "family" : "Townsend", "given" : "William", "non-dropping-particle" : "", "parse-names" : false, "suffix" : "" }, { "dropping-particle" : "", "family" : "Trn\u011bn\u00fd", "given" : "Marek", "non-dropping-particle" : "", "parse-names" : false, "suffix" : "" }, { "dropping-particle" : "", "family" : "Wenger", "given" : "Michael", "non-dropping-particle" : "", "parse-names" : false, "suffix" : "" }, { "dropping-particle" : "", "family" : "Fingerle-Rowson", "given" : "G\u00fcnter", "non-dropping-particle" : "", "parse-names" : false, "suffix" : "" }, { "dropping-particle" : "", "family" : "Rufibach", "given" : "Kaspar", "non-dropping-particle" : "", "parse-names" : false, "suffix" : "" }, { "dropping-particle" : "", "family" : "Moore", "given" : "Tom", "non-dropping-particle" : "", "parse-names" : false, "suffix" : "" }, { "dropping-particle" : "", "family" : "Herold", "given" : "Michael", "non-dropping-particle" : "", "parse-names" : false, "suffix" : "" }, { "dropping-particle" : "", "family" : "Hiddemann", "given" : "Wolfgang", "non-dropping-particle" : "", "parse-names" : false, "suffix" : "" } ], "container-title" : "New England Journal of Medicine", "id" : "ITEM-1", "issue" : "14", "issued" : { "date-parts" : [ [ "2017" ] ] }, "page" : "1331-1344", "title" : "Obinutuzumab for the First-Line Treatment of Follicular Lymphoma", "type" : "article-journal", "volume" : "377" }, "uris" : [ "http://www.mendeley.com/documents/?uuid=d49102f2-113f-4f60-a8e2-37b1e2e279fd", "http://www.mendeley.com/documents/?uuid=0e7c286d-c685-4310-a11b-85d4faa573dc" ] } ], "mendeley" : { "formattedCitation" : "(6)", "plainTextFormattedCitation" : "(6)", "previouslyFormattedCitation" : "(6)"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Pr="00953815">
        <w:rPr>
          <w:rFonts w:ascii="Arial" w:hAnsi="Arial" w:cs="Arial"/>
          <w:bCs/>
          <w:noProof/>
          <w:color w:val="222222"/>
          <w:shd w:val="clear" w:color="auto" w:fill="FFFFFF"/>
          <w:lang w:val="en-US"/>
        </w:rPr>
        <w:t>(6)</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xml:space="preserve">. Although most patients with follicular lymphoma follow an indolent course, high heterogeneity exists in the clinical behavior of the individual patient and a significant proportion of subjects are diagnosed with a hard to treat disease with high risk of dying from FL within few years from the diagnosis. </w:t>
      </w:r>
    </w:p>
    <w:p w:rsidR="00B62CCB" w:rsidRPr="00C555D8" w:rsidRDefault="00295834" w:rsidP="00C555D8">
      <w:pPr>
        <w:autoSpaceDE w:val="0"/>
        <w:autoSpaceDN w:val="0"/>
        <w:adjustRightInd w:val="0"/>
        <w:spacing w:line="360" w:lineRule="auto"/>
        <w:jc w:val="both"/>
        <w:rPr>
          <w:rFonts w:ascii="Arial" w:hAnsi="Arial" w:cs="Arial"/>
          <w:bCs/>
          <w:color w:val="222222"/>
          <w:shd w:val="clear" w:color="auto" w:fill="FFFFFF"/>
          <w:lang w:val="en-US"/>
        </w:rPr>
      </w:pPr>
      <w:r>
        <w:rPr>
          <w:rFonts w:ascii="Arial" w:hAnsi="Arial" w:cs="Arial"/>
          <w:bCs/>
          <w:color w:val="222222"/>
          <w:shd w:val="clear" w:color="auto" w:fill="FFFFFF"/>
          <w:lang w:val="en-US"/>
        </w:rPr>
        <w:t>Among known</w:t>
      </w:r>
      <w:r w:rsidRPr="0025576A">
        <w:rPr>
          <w:rFonts w:ascii="Arial" w:hAnsi="Arial" w:cs="Arial"/>
          <w:bCs/>
          <w:color w:val="222222"/>
          <w:shd w:val="clear" w:color="auto" w:fill="FFFFFF"/>
          <w:lang w:val="en-US"/>
        </w:rPr>
        <w:t xml:space="preserve"> prognostic factors duration of response has been identified as a relevant driver of patients outcome for many years and in most lymphoma subtypes but only recently the impact of early progression in FL patients has been well characterized in FL patients treated with standard immunochemotherapy</w:t>
      </w:r>
      <w:r>
        <w:rPr>
          <w:rFonts w:ascii="Arial" w:hAnsi="Arial" w:cs="Arial"/>
          <w:bCs/>
          <w:color w:val="222222"/>
          <w:shd w:val="clear" w:color="auto" w:fill="FFFFFF"/>
          <w:lang w:val="en-US"/>
        </w:rPr>
        <w:t xml:space="preserve"> </w:t>
      </w:r>
      <w:r>
        <w:rPr>
          <w:rFonts w:ascii="Arial" w:hAnsi="Arial" w:cs="Arial"/>
          <w:bCs/>
          <w:color w:val="222222"/>
          <w:shd w:val="clear" w:color="auto" w:fill="FFFFFF"/>
          <w:lang w:val="en-US"/>
        </w:rPr>
        <w:fldChar w:fldCharType="begin" w:fldLock="1"/>
      </w:r>
      <w:r>
        <w:rPr>
          <w:rFonts w:ascii="Arial" w:hAnsi="Arial" w:cs="Arial"/>
          <w:bCs/>
          <w:color w:val="222222"/>
          <w:shd w:val="clear" w:color="auto" w:fill="FFFFFF"/>
          <w:lang w:val="en-US"/>
        </w:rPr>
        <w:instrText>ADDIN CSL_CITATION { "citationItems" : [ { "id" : "ITEM-1", "itemData" : { "DOI" : "10.1200/JCO.2014.59.7534", "ISSN" : "15277755", "PMID" : "26124482", "abstract" : "A B S T R A C T Purpose Twenty percent of patients with follicular lymphoma (FL) experience progression of disease (POD) within 2 years of initial chemoimmunotherapy. We analyzed data from the National LymphoCare Study to identify whether prognostic FL factors are associated with early POD and whether patients with early POD are at high risk for death. Patients and Methods In total, 588 patients with stage 2 to 4 FL received first-line rituximab plus cyclophosphamide, doxorubicin, vincristine, and prednisone (R-CHOP). Two groups were defined: patients with early POD 2 years or less after diagnosis and those without POD within 2 years, the reference group. An independent validation set, 147 patients with FL who received first-line R-CHOP, was analyzed for reproducibility. Results Of 588 patients, 19% (n \u03ed 110) had early POD, 71% (n \u03ed 420) were in the reference group, 8% (n \u03ed 46) were lost to follow-up, and 2% (n \u03ed 12) died without POD less than 2 years after diagnosis. Five-year overall survival was lower in the early-POD group than in the reference group (50% v 90%). This trend was maintained after we adjusted for FL International Prognostic Index (hazard ratio, 6.44; 95% CI, 4.33 to 9.58). Results were similar for the validation set (FL International Prognostic Index\u2013adjusted hazard ratio, 19.8). Conclusion In patients with FL who received first-line R-CHOP, POD within 2 years after diagnosis was associated with poor outcomes and should be further validated as a standard end point of chemoimmunotherapy trials of untreated FL. This high-risk FL population warrants further study in directed prospective clinical trials.", "author" : [ { "dropping-particle" : "", "family" : "Casulo", "given" : "Carla", "non-dropping-particle" : "", "parse-names" : false, "suffix" : "" }, { "dropping-particle" : "", "family" : "Byrtek", "given" : "Michelle", "non-dropping-particle" : "", "parse-names" : false, "suffix" : "" }, { "dropping-particle" : "", "family" : "Dawson", "given" : "Keith L.", "non-dropping-particle" : "", "parse-names" : false, "suffix" : "" }, { "dropping-particle" : "", "family" : "Zhou", "given" : "Xiaolei", "non-dropping-particle" : "", "parse-names" : false, "suffix" : "" }, { "dropping-particle" : "", "family" : "Farber", "given" : "Charles M.", "non-dropping-particle" : "", "parse-names" : false, "suffix" : "" }, { "dropping-particle" : "", "family" : "Flowers", "given" : "Christopher R.", "non-dropping-particle" : "", "parse-names" : false, "suffix" : "" }, { "dropping-particle" : "", "family" : "Hainsworth", "given" : "John D.", "non-dropping-particle" : "", "parse-names" : false, "suffix" : "" }, { "dropping-particle" : "", "family" : "Maurer", "given" : "Matthew J.", "non-dropping-particle" : "", "parse-names" : false, "suffix" : "" }, { "dropping-particle" : "", "family" : "Cerhan", "given" : "James R.", "non-dropping-particle" : "", "parse-names" : false, "suffix" : "" }, { "dropping-particle" : "", "family" : "Link", "given" : "Brian K.", "non-dropping-particle" : "", "parse-names" : false, "suffix" : "" }, { "dropping-particle" : "", "family" : "Zelenetz", "given" : "Andrew D.", "non-dropping-particle" : "", "parse-names" : false, "suffix" : "" }, { "dropping-particle" : "", "family" : "Friedberg", "given" : "Jonathan W.", "non-dropping-particle" : "", "parse-names" : false, "suffix" : "" } ], "container-title" : "Journal of Clinical Oncology", "id" : "ITEM-1", "issue" : "23", "issued" : { "date-parts" : [ [ "2015" ] ] }, "page" : "2516-2522", "title" : "Early relapse of follicular lymphoma after rituximab plus cyclophosphamide, doxorubicin, vincristine, and prednisone defines patients at high risk for death: An analysis from the National LymphoCare Study", "type" : "article-journal", "volume" : "33" }, "uris" : [ "http://www.mendeley.com/documents/?uuid=f759a881-606a-4c3d-a0bd-6a612493c802", "http://www.mendeley.com/documents/?uuid=d9d79638-18aa-496a-bf83-25969c61b86e" ] } ], "mendeley" : { "formattedCitation" : "(7)", "plainTextFormattedCitation" : "(7)", "previouslyFormattedCitation" : "(7)"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Pr="00953815">
        <w:rPr>
          <w:rFonts w:ascii="Arial" w:hAnsi="Arial" w:cs="Arial"/>
          <w:bCs/>
          <w:noProof/>
          <w:color w:val="222222"/>
          <w:shd w:val="clear" w:color="auto" w:fill="FFFFFF"/>
          <w:lang w:val="en-US"/>
        </w:rPr>
        <w:t>(7)</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xml:space="preserve">. </w:t>
      </w:r>
      <w:proofErr w:type="spellStart"/>
      <w:r w:rsidRPr="0025576A">
        <w:rPr>
          <w:rFonts w:ascii="Arial" w:hAnsi="Arial" w:cs="Arial"/>
          <w:bCs/>
          <w:color w:val="222222"/>
          <w:shd w:val="clear" w:color="auto" w:fill="FFFFFF"/>
          <w:lang w:val="en-US"/>
        </w:rPr>
        <w:t>Casulo</w:t>
      </w:r>
      <w:proofErr w:type="spellEnd"/>
      <w:r w:rsidRPr="0025576A">
        <w:rPr>
          <w:rFonts w:ascii="Arial" w:hAnsi="Arial" w:cs="Arial"/>
          <w:bCs/>
          <w:color w:val="222222"/>
          <w:shd w:val="clear" w:color="auto" w:fill="FFFFFF"/>
          <w:lang w:val="en-US"/>
        </w:rPr>
        <w:t xml:space="preserve"> et al. analyzed 588 FL patients from the National </w:t>
      </w:r>
      <w:proofErr w:type="spellStart"/>
      <w:r w:rsidRPr="0025576A">
        <w:rPr>
          <w:rFonts w:ascii="Arial" w:hAnsi="Arial" w:cs="Arial"/>
          <w:bCs/>
          <w:color w:val="222222"/>
          <w:shd w:val="clear" w:color="auto" w:fill="FFFFFF"/>
          <w:lang w:val="en-US"/>
        </w:rPr>
        <w:t>LymphoCare</w:t>
      </w:r>
      <w:proofErr w:type="spellEnd"/>
      <w:r w:rsidRPr="0025576A">
        <w:rPr>
          <w:rFonts w:ascii="Arial" w:hAnsi="Arial" w:cs="Arial"/>
          <w:bCs/>
          <w:color w:val="222222"/>
          <w:shd w:val="clear" w:color="auto" w:fill="FFFFFF"/>
          <w:lang w:val="en-US"/>
        </w:rPr>
        <w:t xml:space="preserve"> Study who received first-line rituximab plus cyclophosphamide, doxorubicin, vincristine, and prednisone (R-CHOP) and identified 19%</w:t>
      </w:r>
      <w:r>
        <w:rPr>
          <w:rFonts w:ascii="Arial" w:hAnsi="Arial" w:cs="Arial"/>
          <w:bCs/>
          <w:color w:val="222222"/>
          <w:shd w:val="clear" w:color="auto" w:fill="FFFFFF"/>
          <w:lang w:val="en-US"/>
        </w:rPr>
        <w:t xml:space="preserve"> </w:t>
      </w:r>
      <w:r w:rsidRPr="0025576A">
        <w:rPr>
          <w:rFonts w:ascii="Arial" w:hAnsi="Arial" w:cs="Arial"/>
          <w:bCs/>
          <w:color w:val="222222"/>
          <w:shd w:val="clear" w:color="auto" w:fill="FFFFFF"/>
          <w:lang w:val="en-US"/>
        </w:rPr>
        <w:t>of cases with ear</w:t>
      </w:r>
      <w:r>
        <w:rPr>
          <w:rFonts w:ascii="Arial" w:hAnsi="Arial" w:cs="Arial"/>
          <w:bCs/>
          <w:color w:val="222222"/>
          <w:shd w:val="clear" w:color="auto" w:fill="FFFFFF"/>
          <w:lang w:val="en-US"/>
        </w:rPr>
        <w:t>ly progression of disease</w:t>
      </w:r>
      <w:r w:rsidRPr="0025576A">
        <w:rPr>
          <w:rFonts w:ascii="Arial" w:hAnsi="Arial" w:cs="Arial"/>
          <w:bCs/>
          <w:color w:val="222222"/>
          <w:shd w:val="clear" w:color="auto" w:fill="FFFFFF"/>
          <w:lang w:val="en-US"/>
        </w:rPr>
        <w:t xml:space="preserve"> 24 months or less after diagnosis </w:t>
      </w:r>
      <w:r>
        <w:rPr>
          <w:rFonts w:ascii="Arial" w:hAnsi="Arial" w:cs="Arial"/>
          <w:bCs/>
          <w:color w:val="222222"/>
          <w:shd w:val="clear" w:color="auto" w:fill="FFFFFF"/>
          <w:lang w:val="en-US"/>
        </w:rPr>
        <w:t xml:space="preserve">(POD24) </w:t>
      </w:r>
      <w:r w:rsidRPr="0025576A">
        <w:rPr>
          <w:rFonts w:ascii="Arial" w:hAnsi="Arial" w:cs="Arial"/>
          <w:bCs/>
          <w:color w:val="222222"/>
          <w:shd w:val="clear" w:color="auto" w:fill="FFFFFF"/>
          <w:lang w:val="en-US"/>
        </w:rPr>
        <w:t xml:space="preserve">who had five-year OS of 50% significantly lower compared to the 90% observed for patients without POD24. This trend was maintained after adjustment for FL International Prognostic Index and </w:t>
      </w:r>
      <w:r>
        <w:rPr>
          <w:rFonts w:ascii="Arial" w:hAnsi="Arial" w:cs="Arial"/>
          <w:bCs/>
          <w:color w:val="222222"/>
          <w:shd w:val="clear" w:color="auto" w:fill="FFFFFF"/>
          <w:lang w:val="en-US"/>
        </w:rPr>
        <w:t xml:space="preserve">the </w:t>
      </w:r>
      <w:r w:rsidRPr="0025576A">
        <w:rPr>
          <w:rFonts w:ascii="Arial" w:hAnsi="Arial" w:cs="Arial"/>
          <w:bCs/>
          <w:color w:val="222222"/>
          <w:shd w:val="clear" w:color="auto" w:fill="FFFFFF"/>
          <w:lang w:val="en-US"/>
        </w:rPr>
        <w:t>results were validated in an independent set of 147 patients with FL who received first-line R-CHOP</w:t>
      </w:r>
      <w:r w:rsidRPr="00C555D8">
        <w:rPr>
          <w:rFonts w:ascii="Arial" w:hAnsi="Arial" w:cs="Arial"/>
          <w:bCs/>
          <w:color w:val="222222"/>
          <w:shd w:val="clear" w:color="auto" w:fill="FFFFFF"/>
          <w:lang w:val="en-US"/>
        </w:rPr>
        <w:t xml:space="preserve">. </w:t>
      </w:r>
      <w:r w:rsidRPr="0025576A">
        <w:rPr>
          <w:rFonts w:ascii="Arial" w:hAnsi="Arial" w:cs="Arial"/>
          <w:bCs/>
          <w:color w:val="222222"/>
          <w:shd w:val="clear" w:color="auto" w:fill="FFFFFF"/>
          <w:lang w:val="en-US"/>
        </w:rPr>
        <w:t>POD24 results were read with high interest by the lymphoma community as for the first time after many years one prognostic parameter was identified in a significant proportion of cases and with a clinically relevant effect of OS.</w:t>
      </w:r>
      <w:r w:rsidR="00B62CCB">
        <w:rPr>
          <w:rFonts w:ascii="Arial" w:hAnsi="Arial" w:cs="Arial"/>
          <w:bCs/>
          <w:color w:val="222222"/>
          <w:shd w:val="clear" w:color="auto" w:fill="FFFFFF"/>
          <w:lang w:val="en-US"/>
        </w:rPr>
        <w:t xml:space="preserve"> Of note POD24 was </w:t>
      </w:r>
      <w:r w:rsidR="00C555D8">
        <w:rPr>
          <w:rFonts w:ascii="Arial" w:hAnsi="Arial" w:cs="Arial"/>
          <w:bCs/>
          <w:color w:val="222222"/>
          <w:shd w:val="clear" w:color="auto" w:fill="FFFFFF"/>
          <w:lang w:val="en-US"/>
        </w:rPr>
        <w:t xml:space="preserve">recently </w:t>
      </w:r>
      <w:r w:rsidR="00B62CCB">
        <w:rPr>
          <w:rFonts w:ascii="Arial" w:hAnsi="Arial" w:cs="Arial"/>
          <w:bCs/>
          <w:color w:val="222222"/>
          <w:shd w:val="clear" w:color="auto" w:fill="FFFFFF"/>
          <w:lang w:val="en-US"/>
        </w:rPr>
        <w:t>validate</w:t>
      </w:r>
      <w:r w:rsidR="00C555D8">
        <w:rPr>
          <w:rFonts w:ascii="Arial" w:hAnsi="Arial" w:cs="Arial"/>
          <w:bCs/>
          <w:color w:val="222222"/>
          <w:shd w:val="clear" w:color="auto" w:fill="FFFFFF"/>
          <w:lang w:val="en-US"/>
        </w:rPr>
        <w:t>d</w:t>
      </w:r>
      <w:r w:rsidR="00B62CCB">
        <w:rPr>
          <w:rFonts w:ascii="Arial" w:hAnsi="Arial" w:cs="Arial"/>
          <w:bCs/>
          <w:color w:val="222222"/>
          <w:shd w:val="clear" w:color="auto" w:fill="FFFFFF"/>
          <w:lang w:val="en-US"/>
        </w:rPr>
        <w:t xml:space="preserve"> </w:t>
      </w:r>
      <w:r w:rsidR="00C555D8" w:rsidRPr="00C555D8">
        <w:rPr>
          <w:rFonts w:ascii="Arial" w:hAnsi="Arial" w:cs="Arial"/>
          <w:bCs/>
          <w:color w:val="222222"/>
          <w:shd w:val="clear" w:color="auto" w:fill="FFFFFF"/>
          <w:lang w:val="en-US"/>
        </w:rPr>
        <w:t xml:space="preserve">as a robust indicator of poor FL survival. </w:t>
      </w:r>
      <w:r w:rsidR="00B62CCB" w:rsidRPr="00C555D8">
        <w:rPr>
          <w:rFonts w:ascii="Arial" w:hAnsi="Arial" w:cs="Arial"/>
          <w:bCs/>
          <w:color w:val="222222"/>
          <w:shd w:val="clear" w:color="auto" w:fill="FFFFFF"/>
          <w:lang w:val="en-US"/>
        </w:rPr>
        <w:t>in a pooled analysis of &gt;5,000 patients with FL included in 13 prospective clinical trials</w:t>
      </w:r>
      <w:r w:rsidR="00C555D8">
        <w:rPr>
          <w:rFonts w:ascii="Arial" w:hAnsi="Arial" w:cs="Arial"/>
          <w:bCs/>
          <w:color w:val="222222"/>
          <w:shd w:val="clear" w:color="auto" w:fill="FFFFFF"/>
          <w:lang w:val="en-US"/>
        </w:rPr>
        <w:t xml:space="preserve"> </w:t>
      </w:r>
      <w:r w:rsidR="00C555D8">
        <w:rPr>
          <w:rFonts w:ascii="Arial" w:hAnsi="Arial" w:cs="Arial"/>
          <w:bCs/>
          <w:color w:val="222222"/>
          <w:shd w:val="clear" w:color="auto" w:fill="FFFFFF"/>
          <w:lang w:val="en-US"/>
        </w:rPr>
        <w:fldChar w:fldCharType="begin" w:fldLock="1"/>
      </w:r>
      <w:r w:rsidR="00C555D8">
        <w:rPr>
          <w:rFonts w:ascii="Arial" w:hAnsi="Arial" w:cs="Arial"/>
          <w:bCs/>
          <w:color w:val="222222"/>
          <w:shd w:val="clear" w:color="auto" w:fill="FFFFFF"/>
          <w:lang w:val="en-US"/>
        </w:rPr>
        <w:instrText>ADDIN CSL_CITATION { "citationItems" : [ { "id" : "ITEM-1", "itemData" : { "abstract" : "Introduction Follicular lymphoma (FL) is the most common indolent lymphoma with a median survival approaching 20 years. However, there is significant clinical heterogeneity with a subset of patients experiencing transformation, early recurrence or refractory disease. Data from the National LymphoCare Study and others identified that progression of disease within 24 months of diagnosis in patients treated with chemoimmunotherapy (POD24) is associated with poor subsequent overall survival (OS). Using the Follicular Lymphoma Analysis of Surrogacy Hypothesis (FLASH) data, we sought to i) evaluate the association between FL international prognostic index (FLIPI) and other baseline factors on progression-free survival within 24 months of trial enrollment (PFS24) and ii) to validate POD24 as an early clinical endpoint in FL.Methods We performed a pooled analysis of 13 randomized clinical trials of patients in both the pre and post rituximab era (total sample size of 5,453, Table). Logistic regression model was used to evaluate the association between FLIPI, gender, and performance status (PS) with PFS24. Cox regression with POD24 as a time-dependent covariate was used to evaluate the association between POD24 and subsequent OS. An additional landmark analysis was conducted to evaluate the association of POD24 on OS for the subset of patients who were alive at 24 months post trial registration. Baseline Beta 2 Microglobulin (B2M) data were available for 9 of the 13 studies (total sample size of 4,361). Additional analyses including B2M along with other baseline factors were conducted on this subset of patients.Results 29% of patients progressed and 2.5% died without progressive disease within 24 months from trial registration. Patients alive without progression at 24 months were younger and more commonly had favorable PS, limited stage, low FLIPI risk score, normal baseline hemoglobin, and normal baseline B2M. A multivariable logistic regression model indicated that being male (odds ratio (OR) = 1.35; 95%CI = (1.19 - 1.52); p &amp;amp;lt; .01), having PS &amp;amp;gt;= 2 (OR = 1.85; (1.47 - 2.38); p &amp;amp;lt; .01) and high FLIPI risk score (3 - 5) (OR = 2.94; (2.38 - 3.57); p &amp;amp;lt; .01 compared to low risk (0 or 1) were associated with increased risk of progression or death before 24 months. Elevated baseline B2M (&amp;amp;gt;= 3mg/L) (OR = 1.47; (1.25 - 1.75); p &amp;amp;lt; .01) was also associated with increased risk of progression or death before 24 months.Results of the \u2026", "author" : [ { "dropping-particle" : "", "family" : "Casulo", "given" : "Carla", "non-dropping-particle" : "", "parse-names" : false, "suffix" : "" }, { "dropping-particle" : "", "family" : "Le-Rademacher", "given" : "Jennifer", "non-dropping-particle" : "", "parse-names" : false, "suffix" : "" }, { "dropping-particle" : "", "family" : "Dixon", "given" : "Jesse", "non-dropping-particle" : "", "parse-names" : false, "suffix" : "" }, { "dropping-particle" : "", "family" : "Salles", "given" : "Gilles", "non-dropping-particle" : "", "parse-names" : false, "suffix" : "" }, { "dropping-particle" : "", "family" : "Hoster", "given" : "Eva", "non-dropping-particle" : "", "parse-names" : false, "suffix" : "" }, { "dropping-particle" : "", "family" : "Herold", "given" : "Michael", "non-dropping-particle" : "", "parse-names" : false, "suffix" : "" }, { "dropping-particle" : "", "family" : "Hiddemann", "given" : "Wolfgang", "non-dropping-particle" : "", "parse-names" : false, "suffix" : "" }, { "dropping-particle" : "", "family" : "Sebban", "given" : "Catherine", "non-dropping-particle" : "", "parse-names" : false, "suffix" : "" }, { "dropping-particle" : "", "family" : "Marcus", "given" : "Robert", "non-dropping-particle" : "", "parse-names" : false, "suffix" : "" }, { "dropping-particle" : "", "family" : "Kimby", "given" : "Eva", "non-dropping-particle" : "", "parse-names" : false, "suffix" : "" }, { "dropping-particle" : "", "family" : "Hochster", "given" : "Howard", "non-dropping-particle" : "", "parse-names" : false, "suffix" : "" }, { "dropping-particle" : "", "family" : "Vitolo", "given" : "Umberto", "non-dropping-particle" : "", "parse-names" : false, "suffix" : "" }, { "dropping-particle" : "", "family" : "Gyan", "given" : "Emmanuel", "non-dropping-particle" : "", "parse-names" : false, "suffix" : "" }, { "dropping-particle" : "", "family" : "Ou", "given" : "Fang-Shu", "non-dropping-particle" : "", "parse-names" : false, "suffix" : "" }, { "dropping-particle" : "", "family" : "Nielsen", "given" : "Tina", "non-dropping-particle" : "", "parse-names" : false, "suffix" : "" }, { "dropping-particle" : "", "family" : "Foon", "given" : "Kenneth A", "non-dropping-particle" : "", "parse-names" : false, "suffix" : "" }, { "dropping-particle" : "", "family" : "Qiuan", "given" : "Shi", "non-dropping-particle" : "", "parse-names" : false, "suffix" : "" }, { "dropping-particle" : "", "family" : "Flowers", "given" : "Christopher", "non-dropping-particle" : "", "parse-names" : false, "suffix" : "" } ], "container-title" : "Blood", "id" : "ITEM-1", "issue" : "Suppl 1", "issued" : { "date-parts" : [ [ "2017", "12", "7" ] ] }, "page" : "412 LP  - 412", "title" : "Validation of POD24 As a Robust Early Clinical Endpoint of Poor Survival in Follicular Lymphoma: Results from the Follicular Lymphoma Analysis of Surrogacy Hypothesis (FLASH) Investigation Using Individual Data from 5,453 Patients on 13 Clinical Trials", "type" : "article-journal", "volume" : "130" }, "uris" : [ "http://www.mendeley.com/documents/?uuid=3db1c4f3-26a2-4c02-a8e9-bffddf834113" ] } ], "mendeley" : { "formattedCitation" : "(8)", "plainTextFormattedCitation" : "(8)", "previouslyFormattedCitation" : "(8)" }, "properties" : { "noteIndex" : 0 }, "schema" : "https://github.com/citation-style-language/schema/raw/master/csl-citation.json" }</w:instrText>
      </w:r>
      <w:r w:rsidR="00C555D8">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(8)</w:t>
      </w:r>
      <w:r w:rsidR="00C555D8">
        <w:rPr>
          <w:rFonts w:ascii="Arial" w:hAnsi="Arial" w:cs="Arial"/>
          <w:bCs/>
          <w:color w:val="222222"/>
          <w:shd w:val="clear" w:color="auto" w:fill="FFFFFF"/>
          <w:lang w:val="en-US"/>
        </w:rPr>
        <w:fldChar w:fldCharType="end"/>
      </w:r>
      <w:r w:rsidR="00C555D8">
        <w:rPr>
          <w:rFonts w:ascii="Arial" w:hAnsi="Arial" w:cs="Arial"/>
          <w:bCs/>
          <w:color w:val="222222"/>
          <w:shd w:val="clear" w:color="auto" w:fill="FFFFFF"/>
          <w:lang w:val="en-US"/>
        </w:rPr>
        <w:t xml:space="preserve">. Finally In a </w:t>
      </w:r>
      <w:proofErr w:type="spellStart"/>
      <w:r w:rsidR="00C555D8">
        <w:rPr>
          <w:rFonts w:ascii="Arial" w:hAnsi="Arial" w:cs="Arial"/>
          <w:bCs/>
          <w:color w:val="222222"/>
          <w:shd w:val="clear" w:color="auto" w:fill="FFFFFF"/>
          <w:lang w:val="en-US"/>
        </w:rPr>
        <w:t>subanalysis</w:t>
      </w:r>
      <w:proofErr w:type="spellEnd"/>
      <w:r w:rsidR="00C555D8">
        <w:rPr>
          <w:rFonts w:ascii="Arial" w:hAnsi="Arial" w:cs="Arial"/>
          <w:bCs/>
          <w:color w:val="222222"/>
          <w:shd w:val="clear" w:color="auto" w:fill="FFFFFF"/>
          <w:lang w:val="en-US"/>
        </w:rPr>
        <w:t xml:space="preserve"> of the Gallium trial the risk of POD24 was reduced by a 34% in the </w:t>
      </w:r>
      <w:proofErr w:type="spellStart"/>
      <w:r w:rsidR="00C555D8">
        <w:rPr>
          <w:rFonts w:ascii="Arial" w:hAnsi="Arial" w:cs="Arial"/>
          <w:bCs/>
          <w:color w:val="222222"/>
          <w:shd w:val="clear" w:color="auto" w:fill="FFFFFF"/>
          <w:lang w:val="en-US"/>
        </w:rPr>
        <w:t>obinutuzumab</w:t>
      </w:r>
      <w:proofErr w:type="spellEnd"/>
      <w:r w:rsidR="00C555D8">
        <w:rPr>
          <w:rFonts w:ascii="Arial" w:hAnsi="Arial" w:cs="Arial"/>
          <w:bCs/>
          <w:color w:val="222222"/>
          <w:shd w:val="clear" w:color="auto" w:fill="FFFFFF"/>
          <w:lang w:val="en-US"/>
        </w:rPr>
        <w:t xml:space="preserve"> arm but its role as prognostic factor for OS was maintained </w:t>
      </w:r>
      <w:r w:rsidR="00C555D8">
        <w:rPr>
          <w:rFonts w:ascii="Arial" w:hAnsi="Arial" w:cs="Arial"/>
          <w:bCs/>
          <w:color w:val="222222"/>
          <w:shd w:val="clear" w:color="auto" w:fill="FFFFFF"/>
          <w:lang w:val="en-US"/>
        </w:rPr>
        <w:fldChar w:fldCharType="begin" w:fldLock="1"/>
      </w:r>
      <w:r w:rsidR="00C555D8">
        <w:rPr>
          <w:rFonts w:ascii="Arial" w:hAnsi="Arial" w:cs="Arial"/>
          <w:bCs/>
          <w:color w:val="222222"/>
          <w:shd w:val="clear" w:color="auto" w:fill="FFFFFF"/>
          <w:lang w:val="en-US"/>
        </w:rPr>
        <w:instrText>ADDIN CSL_CITATION { "citationItems" : [ { "id" : "ITEM-1", "itemData" : { "abstract" : "Introduction: In previously untreated patients (pts) with FL in the National Lymphocare Study who received immunochemotherapy, progression of disease (POD) in the first 24 months (POD24) predicted poor overall survival (OS) (Casulo et al. J Clin Oncol 2015). In the GALLIUM study (NCT01332968) in previously untreated FL pts, the primary endpoint of investigator (INV)-assessed progression-free survival (PFS) was significantly improved with obinutuzumab (GA101; G)-based vs rituximab (R)-based immunochemotherapy (Marcus et al. Blood 2016). This exploratory analysis aimed to assess whether POD24, and POD at time points other than 24 months, predicted OS in GALLIUM.Methods: 1202 FL pts in GALLIUM received induction with G-chemo or R-chemo, i.e. G or R plus bendamustine, CHOP or CVP, followed in responders by maintenance with the same antibody. POD24 was defined as progressive disease (PD) or death due to PD within 24 months of randomization (noPOD24 = no progression in that time). The effect of POD24 status on OS was quantified using a Cox regression model with POD24 status as a time-varying covariate; other covariates were study treatment and age, with chemotherapy regimen and FLIPI score as stratification factors. In this model, POD24 influenced mortality rate from the time of the POD24 event onwards (initial status for all pts was no POD24, changing to POD24 at the time of a POD24 event). In addition, landmark analysis was performed to compare OS after 24 months between POD24 pts still alive at 24 months and noPOD24 pts based on a Cox regression model with the same covariates and stratification factors as listed above, but with POD24 status as a time-fixed covariate. Landmark analysis was also done to estimate 2-year OS rates in POD and noPOD groups after cut-offs at 6, 12 and 18 months, with results shown in Kaplan-Meier (KM) plots. The risk of a PFS event within 24 months of randomization was estimated and compared between treatment arms based on KM estimates. Post-progression mortality rates were estimated for all POD24 pts, POD24 pts who progressed between 0-6, 6-12, 12-18, and 18-24 months from randomization, and POD24 pts by treatment group. All GALLIUM pts were included in the age-adjusted Cox regression analysis with POD24 status as time-varying covariate. The data cut-off for the analysis was September 2016. Median follow-up was 41 months.Results: At 24 months after randomization, POD24 events (PD or death due to PD) occurred in 155 pts. Compared \u2026", "author" : [ { "dropping-particle" : "", "family" : "Launonen", "given" : "Aino", "non-dropping-particle" : "", "parse-names" : false, "suffix" : "" }, { "dropping-particle" : "", "family" : "Hiddemann", "given" : "Wolfgang", "non-dropping-particle" : "", "parse-names" : false, "suffix" : "" }, { "dropping-particle" : "", "family" : "Duenzinger", "given" : "Ulrich", "non-dropping-particle" : "", "parse-names" : false, "suffix" : "" }, { "dropping-particle" : "", "family" : "Fingerle-Rowson", "given" : "G\u00fcnter", "non-dropping-particle" : "", "parse-names" : false, "suffix" : "" }, { "dropping-particle" : "", "family" : "Nielsen", "given" : "Tina", "non-dropping-particle" : "", "parse-names" : false, "suffix" : "" }, { "dropping-particle" : "", "family" : "Marcus", "given" : "Robert", "non-dropping-particle" : "", "parse-names" : false, "suffix" : "" } ], "container-title" : "Blood", "id" : "ITEM-1", "issue" : "Suppl 1", "issued" : { "date-parts" : [ [ "2017", "12", "7" ] ] }, "page" : "1490 LP  - 1490", "title" : "Early Disease Progression Predicts Poorer Survival in Patients with Follicular Lymphoma (FL) in the GALLIUM Study", "type" : "article-journal", "volume" : "130" }, "uris" : [ "http://www.mendeley.com/documents/?uuid=b1b0f0cb-f6ed-4b17-a340-493b2bc98438" ] } ], "mendeley" : { "formattedCitation" : "(9)", "plainTextFormattedCitation" : "(9)", "previouslyFormattedCitation" : "(9)" }, "properties" : { "noteIndex" : 0 }, "schema" : "https://github.com/citation-style-language/schema/raw/master/csl-citation.json" }</w:instrText>
      </w:r>
      <w:r w:rsidR="00C555D8">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(9)</w:t>
      </w:r>
      <w:r w:rsidR="00C555D8">
        <w:rPr>
          <w:rFonts w:ascii="Arial" w:hAnsi="Arial" w:cs="Arial"/>
          <w:bCs/>
          <w:color w:val="222222"/>
          <w:shd w:val="clear" w:color="auto" w:fill="FFFFFF"/>
          <w:lang w:val="en-US"/>
        </w:rPr>
        <w:fldChar w:fldCharType="end"/>
      </w:r>
      <w:r w:rsidR="00C555D8">
        <w:rPr>
          <w:rFonts w:ascii="Arial" w:hAnsi="Arial" w:cs="Arial"/>
          <w:bCs/>
          <w:color w:val="222222"/>
          <w:shd w:val="clear" w:color="auto" w:fill="FFFFFF"/>
          <w:lang w:val="en-US"/>
        </w:rPr>
        <w:t>.</w:t>
      </w:r>
      <w:r w:rsidR="00C555D8" w:rsidRPr="00C555D8">
        <w:rPr>
          <w:rFonts w:ascii="Arial" w:hAnsi="Arial" w:cs="Arial"/>
          <w:bCs/>
          <w:color w:val="222222"/>
          <w:shd w:val="clear" w:color="auto" w:fill="FFFFFF"/>
          <w:lang w:val="en-US"/>
        </w:rPr>
        <w:t xml:space="preserve"> </w:t>
      </w:r>
    </w:p>
    <w:p w:rsidR="00295834" w:rsidRPr="0025576A" w:rsidRDefault="00295834" w:rsidP="00FE2FE4">
      <w:pPr>
        <w:pStyle w:val="NormalWeb"/>
        <w:spacing w:line="360" w:lineRule="auto"/>
        <w:jc w:val="both"/>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lastRenderedPageBreak/>
        <w:t>POD24</w:t>
      </w:r>
      <w:r w:rsidRPr="0025576A">
        <w:rPr>
          <w:rFonts w:ascii="Shaker2Lancet" w:hAnsi="Shaker2Lancet"/>
          <w:lang w:val="en-US"/>
        </w:rPr>
        <w:t xml:space="preserve"> </w:t>
      </w:r>
      <w:r w:rsidRPr="0025576A">
        <w:rPr>
          <w:rFonts w:ascii="Arial" w:hAnsi="Arial" w:cs="Arial"/>
          <w:bCs/>
          <w:color w:val="222222"/>
          <w:shd w:val="clear" w:color="auto" w:fill="FFFFFF"/>
          <w:lang w:val="en-US"/>
        </w:rPr>
        <w:t xml:space="preserve">is an important step towards the goal of personalized care for patients with FL but it also defines new important questions that should be addressed. The two main questions relate to the earlier identification of </w:t>
      </w:r>
      <w:proofErr w:type="gramStart"/>
      <w:r w:rsidRPr="0025576A">
        <w:rPr>
          <w:rFonts w:ascii="Arial" w:hAnsi="Arial" w:cs="Arial"/>
          <w:bCs/>
          <w:color w:val="222222"/>
          <w:shd w:val="clear" w:color="auto" w:fill="FFFFFF"/>
          <w:lang w:val="en-US"/>
        </w:rPr>
        <w:t>high risk</w:t>
      </w:r>
      <w:proofErr w:type="gramEnd"/>
      <w:r w:rsidRPr="0025576A">
        <w:rPr>
          <w:rFonts w:ascii="Arial" w:hAnsi="Arial" w:cs="Arial"/>
          <w:bCs/>
          <w:color w:val="222222"/>
          <w:shd w:val="clear" w:color="auto" w:fill="FFFFFF"/>
          <w:lang w:val="en-US"/>
        </w:rPr>
        <w:t xml:space="preserve"> patients and to which treatmen</w:t>
      </w:r>
      <w:r>
        <w:rPr>
          <w:rFonts w:ascii="Arial" w:hAnsi="Arial" w:cs="Arial"/>
          <w:bCs/>
          <w:color w:val="222222"/>
          <w:shd w:val="clear" w:color="auto" w:fill="FFFFFF"/>
          <w:lang w:val="en-US"/>
        </w:rPr>
        <w:t>t should be offered to these patients for</w:t>
      </w:r>
      <w:r w:rsidRPr="0025576A">
        <w:rPr>
          <w:rFonts w:ascii="Arial" w:hAnsi="Arial" w:cs="Arial"/>
          <w:bCs/>
          <w:color w:val="222222"/>
          <w:shd w:val="clear" w:color="auto" w:fill="FFFFFF"/>
          <w:lang w:val="en-US"/>
        </w:rPr>
        <w:t xml:space="preserve"> try</w:t>
      </w:r>
      <w:r>
        <w:rPr>
          <w:rFonts w:ascii="Arial" w:hAnsi="Arial" w:cs="Arial"/>
          <w:bCs/>
          <w:color w:val="222222"/>
          <w:shd w:val="clear" w:color="auto" w:fill="FFFFFF"/>
          <w:lang w:val="en-US"/>
        </w:rPr>
        <w:t>ing</w:t>
      </w:r>
      <w:r w:rsidRPr="0025576A">
        <w:rPr>
          <w:rFonts w:ascii="Arial" w:hAnsi="Arial" w:cs="Arial"/>
          <w:bCs/>
          <w:color w:val="222222"/>
          <w:shd w:val="clear" w:color="auto" w:fill="FFFFFF"/>
          <w:lang w:val="en-US"/>
        </w:rPr>
        <w:t xml:space="preserve"> to overcome the bad outcome associated with early progression. Answering these two questions is a high priority. In this review article we provide an overview of available prognostic tools that can be used to identify high risk patients with FL and describe which therapies are available and can be identified as recommended options for this group of hard to treat FL patients. </w:t>
      </w:r>
      <w:r w:rsidR="00753DF5">
        <w:rPr>
          <w:rFonts w:ascii="Arial" w:hAnsi="Arial" w:cs="Arial"/>
          <w:bCs/>
          <w:color w:val="222222"/>
          <w:shd w:val="clear" w:color="auto" w:fill="FFFFFF"/>
          <w:lang w:val="en-US"/>
        </w:rPr>
        <w:t xml:space="preserve">For the purposes of this article the discussion will be limited to the risk of progression or of death and it will not consider the risk of transformation of FL into an </w:t>
      </w:r>
      <w:r w:rsidR="00FE2FE4">
        <w:rPr>
          <w:rFonts w:ascii="Arial" w:hAnsi="Arial" w:cs="Arial"/>
          <w:bCs/>
          <w:color w:val="222222"/>
          <w:shd w:val="clear" w:color="auto" w:fill="FFFFFF"/>
          <w:lang w:val="en-US"/>
        </w:rPr>
        <w:t xml:space="preserve">aggressive lymphoma. A suspect </w:t>
      </w:r>
      <w:proofErr w:type="gramStart"/>
      <w:r w:rsidR="00FE2FE4">
        <w:rPr>
          <w:rFonts w:ascii="Arial" w:hAnsi="Arial" w:cs="Arial"/>
          <w:bCs/>
          <w:color w:val="222222"/>
          <w:shd w:val="clear" w:color="auto" w:fill="FFFFFF"/>
          <w:lang w:val="en-US"/>
        </w:rPr>
        <w:t>of  transformation</w:t>
      </w:r>
      <w:proofErr w:type="gramEnd"/>
      <w:r w:rsidR="00FE2FE4">
        <w:rPr>
          <w:rFonts w:ascii="Arial" w:hAnsi="Arial" w:cs="Arial"/>
          <w:bCs/>
          <w:color w:val="222222"/>
          <w:shd w:val="clear" w:color="auto" w:fill="FFFFFF"/>
          <w:lang w:val="en-US"/>
        </w:rPr>
        <w:t xml:space="preserve"> however, should always be considered at each relapse event and if possible excluded by confirming FL histology with a new biopsy.</w:t>
      </w:r>
      <w:r w:rsidR="00FE2FE4" w:rsidRPr="0025576A">
        <w:rPr>
          <w:rFonts w:ascii="Arial" w:hAnsi="Arial" w:cs="Arial"/>
          <w:bCs/>
          <w:color w:val="222222"/>
          <w:shd w:val="clear" w:color="auto" w:fill="FFFFFF"/>
          <w:lang w:val="en-US"/>
        </w:rPr>
        <w:t xml:space="preserve"> </w:t>
      </w:r>
    </w:p>
    <w:p w:rsidR="00295834" w:rsidRPr="0025576A" w:rsidRDefault="00295834" w:rsidP="0025576A">
      <w:pPr>
        <w:autoSpaceDE w:val="0"/>
        <w:autoSpaceDN w:val="0"/>
        <w:adjustRightInd w:val="0"/>
        <w:spacing w:line="360" w:lineRule="auto"/>
        <w:jc w:val="both"/>
        <w:rPr>
          <w:rFonts w:ascii="Arial" w:hAnsi="Arial" w:cs="Arial"/>
          <w:b/>
          <w:bCs/>
          <w:color w:val="222222"/>
          <w:shd w:val="clear" w:color="auto" w:fill="FFFFFF"/>
          <w:lang w:val="en-US"/>
        </w:rPr>
      </w:pPr>
      <w:r w:rsidRPr="0025576A">
        <w:rPr>
          <w:rFonts w:ascii="Arial" w:hAnsi="Arial" w:cs="Arial"/>
          <w:b/>
          <w:bCs/>
          <w:color w:val="222222"/>
          <w:shd w:val="clear" w:color="auto" w:fill="FFFFFF"/>
          <w:lang w:val="en-US"/>
        </w:rPr>
        <w:t>Prognostic factors and prognostic scores in FL.</w:t>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 xml:space="preserve">Prognostic studies in FL can be classified in two main groups; those based on baseline features and those based on post-treatment assessment. A third group of studies is then identified in which baseline and post induction prognostic features are combined together. </w:t>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r w:rsidRPr="0025576A">
        <w:rPr>
          <w:rFonts w:ascii="Arial" w:hAnsi="Arial" w:cs="Arial"/>
          <w:b/>
          <w:bCs/>
          <w:color w:val="222222"/>
          <w:shd w:val="clear" w:color="auto" w:fill="FFFFFF"/>
          <w:lang w:val="en-US"/>
        </w:rPr>
        <w:t>Baseline prognostic studies</w:t>
      </w:r>
      <w:r w:rsidRPr="0025576A">
        <w:rPr>
          <w:rFonts w:ascii="Arial" w:hAnsi="Arial" w:cs="Arial"/>
          <w:bCs/>
          <w:color w:val="222222"/>
          <w:shd w:val="clear" w:color="auto" w:fill="FFFFFF"/>
          <w:lang w:val="en-US"/>
        </w:rPr>
        <w:t xml:space="preserve"> </w:t>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Different approaches have been identified that use baseline clinical, biologic or metabolic features to improve our ability to predict the natural history of FL in the individual subject. These include Follicular Lymphoma International Prognostic Index (FLIPI), FLIPI-2, baseline study of the Total Metabolic Tumor Volume (TMTV) with FDG-PET and the definition of biological indexes, namely m7FLIPI, and the 23 gene predictor score.</w:t>
      </w:r>
    </w:p>
    <w:p w:rsidR="00295834" w:rsidRPr="0025576A" w:rsidRDefault="00295834" w:rsidP="0025576A">
      <w:pPr>
        <w:autoSpaceDE w:val="0"/>
        <w:autoSpaceDN w:val="0"/>
        <w:adjustRightInd w:val="0"/>
        <w:spacing w:line="360" w:lineRule="auto"/>
        <w:jc w:val="both"/>
        <w:rPr>
          <w:rFonts w:ascii="Arial" w:hAnsi="Arial" w:cs="Arial"/>
          <w:b/>
          <w:bCs/>
          <w:color w:val="222222"/>
          <w:shd w:val="clear" w:color="auto" w:fill="FFFFFF"/>
          <w:lang w:val="en-US"/>
        </w:rPr>
      </w:pPr>
    </w:p>
    <w:p w:rsidR="00295834" w:rsidRPr="0025576A" w:rsidRDefault="00295834" w:rsidP="0025576A">
      <w:pPr>
        <w:autoSpaceDE w:val="0"/>
        <w:autoSpaceDN w:val="0"/>
        <w:adjustRightInd w:val="0"/>
        <w:spacing w:line="360" w:lineRule="auto"/>
        <w:jc w:val="both"/>
        <w:rPr>
          <w:rFonts w:ascii="Arial" w:hAnsi="Arial" w:cs="Arial"/>
          <w:b/>
          <w:bCs/>
          <w:color w:val="222222"/>
          <w:shd w:val="clear" w:color="auto" w:fill="FFFFFF"/>
          <w:lang w:val="en-US"/>
        </w:rPr>
      </w:pPr>
      <w:r w:rsidRPr="0025576A">
        <w:rPr>
          <w:rFonts w:ascii="Arial" w:hAnsi="Arial" w:cs="Arial"/>
          <w:b/>
          <w:bCs/>
          <w:color w:val="222222"/>
          <w:shd w:val="clear" w:color="auto" w:fill="FFFFFF"/>
          <w:lang w:val="en-US"/>
        </w:rPr>
        <w:t>FLIPI and FLIPI2</w:t>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The FLIPI and FLIPI2 scores are widely used risk models to predict the risk of death and of disease progression; they are both easy to calculate as they are built with simple clinical and laboratory features. FLIPI was defined with a huge international cooperation through a retrospective collection of data of patients with FL diagnosed between 1985 and 1992.</w:t>
      </w:r>
      <w:r>
        <w:rPr>
          <w:rFonts w:ascii="Arial" w:hAnsi="Arial" w:cs="Arial"/>
          <w:bCs/>
          <w:color w:val="222222"/>
          <w:shd w:val="clear" w:color="auto" w:fill="FFFFFF"/>
          <w:lang w:val="en-US"/>
        </w:rPr>
        <w:fldChar w:fldCharType="begin" w:fldLock="1"/>
      </w:r>
      <w:r w:rsidR="00C555D8">
        <w:rPr>
          <w:rFonts w:ascii="Arial" w:hAnsi="Arial" w:cs="Arial"/>
          <w:bCs/>
          <w:color w:val="222222"/>
          <w:shd w:val="clear" w:color="auto" w:fill="FFFFFF"/>
          <w:lang w:val="en-US"/>
        </w:rPr>
        <w:instrText>ADDIN CSL_CITATION { "citationItems" : [ { "id" : "ITEM-1", "itemData" : { "DOI" : "10.1182/blood-2003-12-4434.Supported", "ISBN" : "0006-4971 (Print)\\r0006-4971 (Linking)", "ISSN" : "00064971", "PMID" : "15126323", "abstract" : "The prognosis of follicular lymphomas (FL) is heterogeneous and numerous treatments may be proposed. A validated prognostic index (PI) would help in evaluating and choosing these treatments. Characteristics at diagnosis were collected from 4167 patients with FL diagnosed between 1985 and 1992. Univariate and multivariate analyses were used to propose a PI. This index was then tested on 919 patients. Five adverse prognostic factors were selected: age (&gt; 60 years vs \u2264 60 years), Ann Arbor stage (III-IV vs I-II), hemoglobin level (&lt; 120 g/L vs \u2265 120 g/L), number of nodal areas (&gt; 4 vs \u2264 4), and serum LDH level (above normal vs normal or below). Three risk groups were defined: low risk (0-1 adverse factor, 36% of patients), intermediate risk (2 factors, 37% of patients, hazard ratio [HR] of 2.3), and poor risk (\u2265 3 adverse factors, 27% of patients, HR = 4.3). This Follicular Lymphoma International Prognostic Index (FLIPI) appeared more discriminant than the International Prognostic Index proposed for aggressive non-Hodgkin lymphomas. Results were very similar in the confirmation group. The FLIPI may be used for improving treatment choices, comparing clinical trials, and designing studies to evaluate new treatments.", "author" : [ { "dropping-particle" : "", "family" : "Solal-C\u00e9ligny", "given" : "Philippe", "non-dropping-particle" : "", "parse-names" : false, "suffix" : "" }, { "dropping-particle" : "", "family" : "Roy", "given" : "Pascal", "non-dropping-particle" : "", "parse-names" : false, "suffix" : "" }, { "dropping-particle" : "", "family" : "Colombat", "given" : "Philippe", "non-dropping-particle" : "", "parse-names" : false, "suffix" : "" }, { "dropping-particle" : "", "family" : "White", "given" : "Josephine", "non-dropping-particle" : "", "parse-names" : false, "suffix" : "" }, { "dropping-particle" : "", "family" : "Armitage", "given" : "Jim O", "non-dropping-particle" : "", "parse-names" : false, "suffix" : "" }, { "dropping-particle" : "", "family" : "Arranz-Saez", "given" : "Reyes", "non-dropping-particle" : "", "parse-names" : false, "suffix" : "" }, { "dropping-particle" : "", "family" : "Au", "given" : "Wing Y", "non-dropping-particle" : "", "parse-names" : false, "suffix" : "" }, { "dropping-particle" : "", "family" : "Bellei", "given" : "Monica", "non-dropping-particle" : "", "parse-names" : false, "suffix" : "" }, { "dropping-particle" : "", "family" : "Brice", "given" : "Pauline", "non-dropping-particle" : "", "parse-names" : false, "suffix" : "" }, { "dropping-particle" : "", "family" : "Caballero", "given" : "Dolores", "non-dropping-particle" : "", "parse-names" : false, "suffix" : "" }, { "dropping-particle" : "", "family" : "Coiffier", "given" : "Bertrand", "non-dropping-particle" : "", "parse-names" : false, "suffix" : "" }, { "dropping-particle" : "", "family" : "Conde-Garcia", "given" : "Eulogio", "non-dropping-particle" : "", "parse-names" : false, "suffix" : "" }, { "dropping-particle" : "", "family" : "Doyen", "given" : "Chantal", "non-dropping-particle" : "", "parse-names" : false, "suffix" : "" }, { "dropping-particle" : "", "family" : "Federico", "given" : "Massimo", "non-dropping-particle" : "", "parse-names" : false, "suffix" : "" }, { "dropping-particle" : "", "family" : "Fisher", "given" : "Richard I", "non-dropping-particle" : "", "parse-names" : false, "suffix" : "" }, { "dropping-particle" : "", "family" : "Garcia-Conde", "given" : "Javier F", "non-dropping-particle" : "", "parse-names" : false, "suffix" : "" }, { "dropping-particle" : "", "family" : "Guglielmi", "given" : "Cesare", "non-dropping-particle" : "", "parse-names" : false, "suffix" : "" }, { "dropping-particle" : "", "family" : "Hagenbeek", "given" : "Anton", "non-dropping-particle" : "", "parse-names" : false, "suffix" : "" }, { "dropping-particle" : "", "family" : "Ha\u00efoun", "given" : "Corinne", "non-dropping-particle" : "", "parse-names" : false, "suffix" : "" }, { "dropping-particle" : "", "family" : "LeBlanc", "given" : "Michael", "non-dropping-particle" : "", "parse-names" : false, "suffix" : "" }, { "dropping-particle" : "", "family" : "Lister", "given" : "Andrew T", "non-dropping-particle" : "", "parse-names" : false, "suffix" : "" }, { "dropping-particle" : "", "family" : "Lopez-Guillermo", "given" : "Armando", "non-dropping-particle" : "", "parse-names" : false, "suffix" : "" }, { "dropping-particle" : "", "family" : "McLaughlin", "given" : "Peter", "non-dropping-particle" : "", "parse-names" : false, "suffix" : "" }, { "dropping-particle" : "", "family" : "Milpied", "given" : "No\u00ebl", "non-dropping-particle" : "", "parse-names" : false, "suffix" : "" }, { "dropping-particle" : "", "family" : "Morel", "given" : "Pierre", "non-dropping-particle" : "", "parse-names" : false, "suffix" : "" }, { "dropping-particle" : "", "family" : "Mounier", "given" : "Nicolas", "non-dropping-particle" : "", "parse-names" : false, "suffix" : "" }, { "dropping-particle" : "", "family" : "Proctor", "given" : "Stephen J", "non-dropping-particle" : "", "parse-names" : false, "suffix" : "" }, { "dropping-particle" : "", "family" : "Rohatiner", "given" : "Ama", "non-dropping-particle" : "", "parse-names" : false, "suffix" : "" }, { "dropping-particle" : "", "family" : "Smith", "given" : "Paul", "non-dropping-particle" : "", "parse-names" : false, "suffix" : "" }, { "dropping-particle" : "", "family" : "Soubeyran", "given" : "Pierre", "non-dropping-particle" : "", "parse-names" : false, "suffix" : "" }, { "dropping-particle" : "", "family" : "Tilly", "given" : "Herv\u00e9", "non-dropping-particle" : "", "parse-names" : false, "suffix" : "" }, { "dropping-particle" : "", "family" : "Vitolo", "given" : "Umberto", "non-dropping-particle" : "", "parse-names" : false, "suffix" : "" }, { "dropping-particle" : "", "family" : "Zinzani", "given" : "Pier-Luigi", "non-dropping-particle" : "", "parse-names" : false, "suffix" : "" }, { "dropping-particle" : "", "family" : "Zucca", "given" : "Emanuele", "non-dropping-particle" : "", "parse-names" : false, "suffix" : "" }, { "dropping-particle" : "", "family" : "Montserrat", "given" : "Emili", "non-dropping-particle" : "", "parse-names" : false, "suffix" : "" }, { "dropping-particle" : "", "family" : "Solal-Celigny", "given" : "P", "non-dropping-particle" : "", "parse-names" : false, "suffix" : "" } ], "container-title" : "Blood", "id" : "ITEM-1", "issue" : "5", "issued" : { "date-parts" : [ [ "2004" ] ] }, "page" : "1258-1265", "title" : "FLIPI: Follicular Lymphoma International Prognostic Index", "type" : "article-journal", "volume" : "104" }, "uris" : [ "http://www.mendeley.com/documents/?uuid=48f12e93-5561-4226-a549-6ddb4aadfee5", "http://www.mendeley.com/documents/?uuid=a807cf9d-6112-40f5-84d4-021f9e5e8dc4" ] } ], "mendeley" : { "formattedCitation" : "(10)", "plainTextFormattedCitation" : "(10)", "previouslyFormattedCitation" : "(10)"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(10)</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xml:space="preserve"> The score was </w:t>
      </w:r>
      <w:r>
        <w:rPr>
          <w:rFonts w:ascii="Arial" w:hAnsi="Arial" w:cs="Arial"/>
          <w:bCs/>
          <w:color w:val="222222"/>
          <w:shd w:val="clear" w:color="auto" w:fill="FFFFFF"/>
          <w:lang w:val="en-US"/>
        </w:rPr>
        <w:t>b</w:t>
      </w:r>
      <w:r w:rsidRPr="0025576A">
        <w:rPr>
          <w:rFonts w:ascii="Arial" w:hAnsi="Arial" w:cs="Arial"/>
          <w:bCs/>
          <w:color w:val="222222"/>
          <w:shd w:val="clear" w:color="auto" w:fill="FFFFFF"/>
          <w:lang w:val="en-US"/>
        </w:rPr>
        <w:t>as</w:t>
      </w:r>
      <w:r>
        <w:rPr>
          <w:rFonts w:ascii="Arial" w:hAnsi="Arial" w:cs="Arial"/>
          <w:bCs/>
          <w:color w:val="222222"/>
          <w:shd w:val="clear" w:color="auto" w:fill="FFFFFF"/>
          <w:lang w:val="en-US"/>
        </w:rPr>
        <w:t>ed on five prognostic factors (age, stage, LDH, number of n</w:t>
      </w:r>
      <w:r w:rsidRPr="0025576A">
        <w:rPr>
          <w:rFonts w:ascii="Arial" w:hAnsi="Arial" w:cs="Arial"/>
          <w:bCs/>
          <w:color w:val="222222"/>
          <w:shd w:val="clear" w:color="auto" w:fill="FFFFFF"/>
          <w:lang w:val="en-US"/>
        </w:rPr>
        <w:t xml:space="preserve">odal areas, </w:t>
      </w:r>
      <w:r>
        <w:rPr>
          <w:rFonts w:ascii="Arial" w:hAnsi="Arial" w:cs="Arial"/>
          <w:bCs/>
          <w:color w:val="222222"/>
          <w:shd w:val="clear" w:color="auto" w:fill="FFFFFF"/>
          <w:lang w:val="en-US"/>
        </w:rPr>
        <w:t>and h</w:t>
      </w:r>
      <w:r w:rsidRPr="0025576A">
        <w:rPr>
          <w:rFonts w:ascii="Arial" w:hAnsi="Arial" w:cs="Arial"/>
          <w:bCs/>
          <w:color w:val="222222"/>
          <w:shd w:val="clear" w:color="auto" w:fill="FFFFFF"/>
          <w:lang w:val="en-US"/>
        </w:rPr>
        <w:t xml:space="preserve">emoglobin level) and was originally defined to predict OS, though none of the evaluated patients was treated with immunochemotherapy. High risk patients are originally identified by FLIPI as those with 3 to 5 risk factors, account for 27% of cases, and show a </w:t>
      </w:r>
      <w:proofErr w:type="gramStart"/>
      <w:r w:rsidRPr="0025576A">
        <w:rPr>
          <w:rFonts w:ascii="Arial" w:hAnsi="Arial" w:cs="Arial"/>
          <w:bCs/>
          <w:color w:val="222222"/>
          <w:shd w:val="clear" w:color="auto" w:fill="FFFFFF"/>
          <w:lang w:val="en-US"/>
        </w:rPr>
        <w:t xml:space="preserve">5 </w:t>
      </w:r>
      <w:r w:rsidRPr="0025576A">
        <w:rPr>
          <w:rFonts w:ascii="Arial" w:hAnsi="Arial" w:cs="Arial"/>
          <w:bCs/>
          <w:color w:val="222222"/>
          <w:shd w:val="clear" w:color="auto" w:fill="FFFFFF"/>
          <w:lang w:val="en-US"/>
        </w:rPr>
        <w:lastRenderedPageBreak/>
        <w:t>year</w:t>
      </w:r>
      <w:proofErr w:type="gramEnd"/>
      <w:r w:rsidRPr="0025576A">
        <w:rPr>
          <w:rFonts w:ascii="Arial" w:hAnsi="Arial" w:cs="Arial"/>
          <w:bCs/>
          <w:color w:val="222222"/>
          <w:shd w:val="clear" w:color="auto" w:fill="FFFFFF"/>
          <w:lang w:val="en-US"/>
        </w:rPr>
        <w:t xml:space="preserve"> OS rate of 52.5%.  The index was subsequently validated for patients treated with standard R-CHOP and for PFS instead of OS.</w:t>
      </w:r>
      <w:r>
        <w:rPr>
          <w:rFonts w:ascii="Arial" w:hAnsi="Arial" w:cs="Arial"/>
          <w:bCs/>
          <w:color w:val="222222"/>
          <w:shd w:val="clear" w:color="auto" w:fill="FFFFFF"/>
          <w:lang w:val="en-US"/>
        </w:rPr>
        <w:fldChar w:fldCharType="begin" w:fldLock="1"/>
      </w:r>
      <w:r w:rsidR="00C555D8">
        <w:rPr>
          <w:rFonts w:ascii="Arial" w:hAnsi="Arial" w:cs="Arial"/>
          <w:bCs/>
          <w:color w:val="222222"/>
          <w:shd w:val="clear" w:color="auto" w:fill="FFFFFF"/>
          <w:lang w:val="en-US"/>
        </w:rPr>
        <w:instrText>ADDIN CSL_CITATION { "citationItems" : [ { "id" : "ITEM-1", "itemData" : { "DOI" : "10.1093/annonc/mds429", "ISBN" : "1569-8041 (Electronic)\\r0923-7534 (Linking)", "ISSN" : "09237534", "PMID" : "23041589", "abstract" : "BACKGROUND: Because follicular lymphoma (FL) patients have heterogeneous outcomes, the FL international prognostic index (FLIPI) was developed to risk-stratify patients and to predict survival. However, limited data exist regarding the role of FLIPI in the era of routine first-line rituximab (R) and R-chemotherapy regimens and in the setting of community oncology practices.\\n\\nPATIENTS AND METHODS: We evaluated the outcome data from the National LymphoCare Study (NLCS), a prospective, observational cohort study, which collects data on patients with FL in the United States (US) community practices.\\n\\nRESULTS: Among 1068 male and 1124 female patients with FLIPI data, most were treated in US community practices (79%); 35% were FLIPI good risk, 30% intermediate risk, and 35% poor risk. FLIPI risk groups were significant predictors of overall survival (OS) and progression-free survival (PFS) for patients who undergo watchful waiting (WW), and those who receive non-R-containing regimens, R-alone, and R-chemotherapy combinations.\\n\\nCONCLUSIONS: In the setting of contemporary practice with routine R use, stratifying patients into good, intermediate, and poor FLIPI risk groups predicts distinct outcomes in terms of OS and PFS. FLIPI remains an important prognostic index in the R era and should be used in clinical practices to support discussions about prognosis.", "author" : [ { "dropping-particle" : "", "family" : "Nooka", "given" : "A. K.", "non-dropping-particle" : "", "parse-names" : false, "suffix" : "" }, { "dropping-particle" : "", "family" : "Nabhan", "given" : "C.", "non-dropping-particle" : "", "parse-names" : false, "suffix" : "" }, { "dropping-particle" : "", "family" : "Zhou", "given" : "X.", "non-dropping-particle" : "", "parse-names" : false, "suffix" : "" }, { "dropping-particle" : "", "family" : "Taylor", "given" : "M. D.", "non-dropping-particle" : "", "parse-names" : false, "suffix" : "" }, { "dropping-particle" : "", "family" : "Byrtek", "given" : "M.", "non-dropping-particle" : "", "parse-names" : false, "suffix" : "" }, { "dropping-particle" : "", "family" : "Miller", "given" : "T. P.", "non-dropping-particle" : "", "parse-names" : false, "suffix" : "" }, { "dropping-particle" : "", "family" : "Friedberg", "given" : "J. W.", "non-dropping-particle" : "", "parse-names" : false, "suffix" : "" }, { "dropping-particle" : "", "family" : "Zelenetz", "given" : "A. D.", "non-dropping-particle" : "", "parse-names" : false, "suffix" : "" }, { "dropping-particle" : "", "family" : "Link", "given" : "B. K.", "non-dropping-particle" : "", "parse-names" : false, "suffix" : "" }, { "dropping-particle" : "", "family" : "Cerhan", "given" : "J. R.", "non-dropping-particle" : "", "parse-names" : false, "suffix" : "" }, { "dropping-particle" : "", "family" : "Dillon", "given" : "H.", "non-dropping-particle" : "", "parse-names" : false, "suffix" : "" }, { "dropping-particle" : "", "family" : "Sinha", "given" : "R.", "non-dropping-particle" : "", "parse-names" : false, "suffix" : "" }, { "dropping-particle" : "", "family" : "Shenoy", "given" : "P. J.", "non-dropping-particle" : "", "parse-names" : false, "suffix" : "" }, { "dropping-particle" : "", "family" : "Levy", "given" : "D.", "non-dropping-particle" : "", "parse-names" : false, "suffix" : "" }, { "dropping-particle" : "", "family" : "Dawson", "given" : "K.", "non-dropping-particle" : "", "parse-names" : false, "suffix" : "" }, { "dropping-particle" : "", "family" : "Hirata", "given" : "J. H.", "non-dropping-particle" : "", "parse-names" : false, "suffix" : "" }, { "dropping-particle" : "", "family" : "Flowers", "given" : "C. R.", "non-dropping-particle" : "", "parse-names" : false, "suffix" : "" } ], "container-title" : "Annals of Oncology", "id" : "ITEM-1", "issue" : "2", "issued" : { "date-parts" : [ [ "2013" ] ] }, "page" : "441-448", "title" : "Examination of the follicular lymphoma international prognostic index (FLIPI) in the national lymphocare study (NLCS): A prospective US patient cohort treated predominantly in community practices", "type" : "article-journal", "volume" : "24" }, "uris" : [ "http://www.mendeley.com/documents/?uuid=bb2c254d-0b6a-4370-b1bf-6d9700d25b32", "http://www.mendeley.com/documents/?uuid=cf0cbdd0-418b-442f-bb7e-08f6fe98c1a0" ] } ], "mendeley" : { "formattedCitation" : "(11)", "plainTextFormattedCitation" : "(11)", "previouslyFormattedCitation" : "(11)"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(11)</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xml:space="preserve"> Of note in the first description of POD24 FLIPI was also included in the multivariate analysis of survival but only 55% of early progress</w:t>
      </w:r>
      <w:r>
        <w:rPr>
          <w:rFonts w:ascii="Arial" w:hAnsi="Arial" w:cs="Arial"/>
          <w:bCs/>
          <w:color w:val="222222"/>
          <w:shd w:val="clear" w:color="auto" w:fill="FFFFFF"/>
          <w:lang w:val="en-US"/>
        </w:rPr>
        <w:t>i</w:t>
      </w:r>
      <w:r w:rsidRPr="0025576A">
        <w:rPr>
          <w:rFonts w:ascii="Arial" w:hAnsi="Arial" w:cs="Arial"/>
          <w:bCs/>
          <w:color w:val="222222"/>
          <w:shd w:val="clear" w:color="auto" w:fill="FFFFFF"/>
          <w:lang w:val="en-US"/>
        </w:rPr>
        <w:t>on were classified in the high risk group.</w:t>
      </w:r>
      <w:r>
        <w:rPr>
          <w:rFonts w:ascii="Arial" w:hAnsi="Arial" w:cs="Arial"/>
          <w:bCs/>
          <w:color w:val="222222"/>
          <w:shd w:val="clear" w:color="auto" w:fill="FFFFFF"/>
          <w:lang w:val="en-US"/>
        </w:rPr>
        <w:fldChar w:fldCharType="begin" w:fldLock="1"/>
      </w:r>
      <w:r>
        <w:rPr>
          <w:rFonts w:ascii="Arial" w:hAnsi="Arial" w:cs="Arial"/>
          <w:bCs/>
          <w:color w:val="222222"/>
          <w:shd w:val="clear" w:color="auto" w:fill="FFFFFF"/>
          <w:lang w:val="en-US"/>
        </w:rPr>
        <w:instrText>ADDIN CSL_CITATION { "citationItems" : [ { "id" : "ITEM-1", "itemData" : { "DOI" : "10.1200/JCO.2014.59.7534", "ISSN" : "15277755", "PMID" : "26124482", "abstract" : "A B S T R A C T Purpose Twenty percent of patients with follicular lymphoma (FL) experience progression of disease (POD) within 2 years of initial chemoimmunotherapy. We analyzed data from the National LymphoCare Study to identify whether prognostic FL factors are associated with early POD and whether patients with early POD are at high risk for death. Patients and Methods In total, 588 patients with stage 2 to 4 FL received first-line rituximab plus cyclophosphamide, doxorubicin, vincristine, and prednisone (R-CHOP). Two groups were defined: patients with early POD 2 years or less after diagnosis and those without POD within 2 years, the reference group. An independent validation set, 147 patients with FL who received first-line R-CHOP, was analyzed for reproducibility. Results Of 588 patients, 19% (n \u03ed 110) had early POD, 71% (n \u03ed 420) were in the reference group, 8% (n \u03ed 46) were lost to follow-up, and 2% (n \u03ed 12) died without POD less than 2 years after diagnosis. Five-year overall survival was lower in the early-POD group than in the reference group (50% v 90%). This trend was maintained after we adjusted for FL International Prognostic Index (hazard ratio, 6.44; 95% CI, 4.33 to 9.58). Results were similar for the validation set (FL International Prognostic Index\u2013adjusted hazard ratio, 19.8). Conclusion In patients with FL who received first-line R-CHOP, POD within 2 years after diagnosis was associated with poor outcomes and should be further validated as a standard end point of chemoimmunotherapy trials of untreated FL. This high-risk FL population warrants further study in directed prospective clinical trials.", "author" : [ { "dropping-particle" : "", "family" : "Casulo", "given" : "Carla", "non-dropping-particle" : "", "parse-names" : false, "suffix" : "" }, { "dropping-particle" : "", "family" : "Byrtek", "given" : "Michelle", "non-dropping-particle" : "", "parse-names" : false, "suffix" : "" }, { "dropping-particle" : "", "family" : "Dawson", "given" : "Keith L.", "non-dropping-particle" : "", "parse-names" : false, "suffix" : "" }, { "dropping-particle" : "", "family" : "Zhou", "given" : "Xiaolei", "non-dropping-particle" : "", "parse-names" : false, "suffix" : "" }, { "dropping-particle" : "", "family" : "Farber", "given" : "Charles M.", "non-dropping-particle" : "", "parse-names" : false, "suffix" : "" }, { "dropping-particle" : "", "family" : "Flowers", "given" : "Christopher R.", "non-dropping-particle" : "", "parse-names" : false, "suffix" : "" }, { "dropping-particle" : "", "family" : "Hainsworth", "given" : "John D.", "non-dropping-particle" : "", "parse-names" : false, "suffix" : "" }, { "dropping-particle" : "", "family" : "Maurer", "given" : "Matthew J.", "non-dropping-particle" : "", "parse-names" : false, "suffix" : "" }, { "dropping-particle" : "", "family" : "Cerhan", "given" : "James R.", "non-dropping-particle" : "", "parse-names" : false, "suffix" : "" }, { "dropping-particle" : "", "family" : "Link", "given" : "Brian K.", "non-dropping-particle" : "", "parse-names" : false, "suffix" : "" }, { "dropping-particle" : "", "family" : "Zelenetz", "given" : "Andrew D.", "non-dropping-particle" : "", "parse-names" : false, "suffix" : "" }, { "dropping-particle" : "", "family" : "Friedberg", "given" : "Jonathan W.", "non-dropping-particle" : "", "parse-names" : false, "suffix" : "" } ], "container-title" : "Journal of Clinical Oncology", "id" : "ITEM-1", "issue" : "23", "issued" : { "date-parts" : [ [ "2015" ] ] }, "page" : "2516-2522", "title" : "Early relapse of follicular lymphoma after rituximab plus cyclophosphamide, doxorubicin, vincristine, and prednisone defines patients at high risk for death: An analysis from the National LymphoCare Study", "type" : "article-journal", "volume" : "33" }, "uris" : [ "http://www.mendeley.com/documents/?uuid=f759a881-606a-4c3d-a0bd-6a612493c802" ] } ], "mendeley" : { "formattedCitation" : "(7)", "plainTextFormattedCitation" : "(7)", "previouslyFormattedCitation" : "(7)"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Pr="00953815">
        <w:rPr>
          <w:rFonts w:ascii="Arial" w:hAnsi="Arial" w:cs="Arial"/>
          <w:bCs/>
          <w:noProof/>
          <w:color w:val="222222"/>
          <w:shd w:val="clear" w:color="auto" w:fill="FFFFFF"/>
          <w:lang w:val="en-US"/>
        </w:rPr>
        <w:t>(7)</w:t>
      </w:r>
      <w:r>
        <w:rPr>
          <w:rFonts w:ascii="Arial" w:hAnsi="Arial" w:cs="Arial"/>
          <w:bCs/>
          <w:color w:val="222222"/>
          <w:shd w:val="clear" w:color="auto" w:fill="FFFFFF"/>
          <w:lang w:val="en-US"/>
        </w:rPr>
        <w:fldChar w:fldCharType="end"/>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 xml:space="preserve">FLIPI2 was defined by the same international consortium but was the result of a prospective collection of data of FL patients consecutively diagnosed, half of whom were also treated with conventional immunochemotherapy. FLIPI2 was based on the </w:t>
      </w:r>
      <w:r>
        <w:rPr>
          <w:rFonts w:ascii="Arial" w:hAnsi="Arial" w:cs="Arial"/>
          <w:bCs/>
          <w:color w:val="222222"/>
          <w:shd w:val="clear" w:color="auto" w:fill="FFFFFF"/>
          <w:lang w:val="en-US"/>
        </w:rPr>
        <w:t>combination of 5 risk factors (age, b</w:t>
      </w:r>
      <w:r w:rsidRPr="0025576A">
        <w:rPr>
          <w:rFonts w:ascii="Arial" w:hAnsi="Arial" w:cs="Arial"/>
          <w:bCs/>
          <w:color w:val="222222"/>
          <w:shd w:val="clear" w:color="auto" w:fill="FFFFFF"/>
          <w:lang w:val="en-US"/>
        </w:rPr>
        <w:t>one marrow inf</w:t>
      </w:r>
      <w:r>
        <w:rPr>
          <w:rFonts w:ascii="Arial" w:hAnsi="Arial" w:cs="Arial"/>
          <w:bCs/>
          <w:color w:val="222222"/>
          <w:shd w:val="clear" w:color="auto" w:fill="FFFFFF"/>
          <w:lang w:val="en-US"/>
        </w:rPr>
        <w:t>iltration, h</w:t>
      </w:r>
      <w:r w:rsidRPr="0025576A">
        <w:rPr>
          <w:rFonts w:ascii="Arial" w:hAnsi="Arial" w:cs="Arial"/>
          <w:bCs/>
          <w:color w:val="222222"/>
          <w:shd w:val="clear" w:color="auto" w:fill="FFFFFF"/>
          <w:lang w:val="en-US"/>
        </w:rPr>
        <w:t xml:space="preserve">emoglobin level, beta2-microglobulin, longest diameter of largest </w:t>
      </w:r>
      <w:proofErr w:type="spellStart"/>
      <w:r w:rsidRPr="0025576A">
        <w:rPr>
          <w:rFonts w:ascii="Arial" w:hAnsi="Arial" w:cs="Arial"/>
          <w:bCs/>
          <w:color w:val="222222"/>
          <w:shd w:val="clear" w:color="auto" w:fill="FFFFFF"/>
          <w:lang w:val="en-US"/>
        </w:rPr>
        <w:t>lymphnode</w:t>
      </w:r>
      <w:proofErr w:type="spellEnd"/>
      <w:r w:rsidRPr="0025576A">
        <w:rPr>
          <w:rFonts w:ascii="Arial" w:hAnsi="Arial" w:cs="Arial"/>
          <w:bCs/>
          <w:color w:val="222222"/>
          <w:shd w:val="clear" w:color="auto" w:fill="FFFFFF"/>
          <w:lang w:val="en-US"/>
        </w:rPr>
        <w:t xml:space="preserve">) and </w:t>
      </w:r>
      <w:proofErr w:type="gramStart"/>
      <w:r w:rsidRPr="0025576A">
        <w:rPr>
          <w:rFonts w:ascii="Arial" w:hAnsi="Arial" w:cs="Arial"/>
          <w:bCs/>
          <w:color w:val="222222"/>
          <w:shd w:val="clear" w:color="auto" w:fill="FFFFFF"/>
          <w:lang w:val="en-US"/>
        </w:rPr>
        <w:t>high risk</w:t>
      </w:r>
      <w:proofErr w:type="gramEnd"/>
      <w:r w:rsidRPr="0025576A">
        <w:rPr>
          <w:rFonts w:ascii="Arial" w:hAnsi="Arial" w:cs="Arial"/>
          <w:bCs/>
          <w:color w:val="222222"/>
          <w:shd w:val="clear" w:color="auto" w:fill="FFFFFF"/>
          <w:lang w:val="en-US"/>
        </w:rPr>
        <w:t xml:space="preserve"> patients defined with 3 to 5 risk factors. Similar to FLIPI high risk FLIPI2 patient were 27% and </w:t>
      </w:r>
      <w:r>
        <w:rPr>
          <w:rFonts w:ascii="Arial" w:hAnsi="Arial" w:cs="Arial"/>
          <w:bCs/>
          <w:color w:val="222222"/>
          <w:shd w:val="clear" w:color="auto" w:fill="FFFFFF"/>
          <w:lang w:val="en-US"/>
        </w:rPr>
        <w:t>their 5 year PFS rate was 18.8%</w:t>
      </w:r>
      <w:r w:rsidRPr="0025576A">
        <w:rPr>
          <w:rFonts w:ascii="Arial" w:hAnsi="Arial" w:cs="Arial"/>
          <w:bCs/>
          <w:color w:val="222222"/>
          <w:shd w:val="clear" w:color="auto" w:fill="FFFFFF"/>
          <w:lang w:val="en-US"/>
        </w:rPr>
        <w:t xml:space="preserve"> </w:t>
      </w:r>
      <w:r>
        <w:rPr>
          <w:rFonts w:ascii="Arial" w:hAnsi="Arial" w:cs="Arial"/>
          <w:bCs/>
          <w:color w:val="222222"/>
          <w:shd w:val="clear" w:color="auto" w:fill="FFFFFF"/>
          <w:lang w:val="en-US"/>
        </w:rPr>
        <w:fldChar w:fldCharType="begin" w:fldLock="1"/>
      </w:r>
      <w:r w:rsidR="00C555D8">
        <w:rPr>
          <w:rFonts w:ascii="Arial" w:hAnsi="Arial" w:cs="Arial"/>
          <w:bCs/>
          <w:color w:val="222222"/>
          <w:shd w:val="clear" w:color="auto" w:fill="FFFFFF"/>
          <w:lang w:val="en-US"/>
        </w:rPr>
        <w:instrText>ADDIN CSL_CITATION { "citationItems" : [ { "id" : "ITEM-1", "itemData" : { "DOI" : "10.1200/JCO.2008.21.3991", "ISBN" : "1527-7755 (Electronic)\\n0732-183X (Linking)", "ISSN" : "0732183X", "PMID" : "19652063", "abstract" : "PURPOSE: The aim of the F2 study was to verify whether a prospective collection of data would enable the development of a more accurate prognostic index for follicular lymphoma (FL) by using parameters which could not be retrospectively studied before, and by choosing progression-free survival (PFS) as principal end point. PATIENTS AND METHODS: Between January 2003 and May 2005, 1,093 patients with a newly diagnosed FL were registered and 942 individuals receiving antilymphoma therapy were selected as the study population. The variables we used for score definition were selected by means of bootstrap resampling procedures on 832 patients with complete data. Procedures to select the model that would minimize errors were also performed. RESULTS: After a median follow-up of 38 months, 261 events for PFS evaluation were recorded. beta2-microglobulin higher than the upper limit of normal, longest diameter of the largest involved node longer than 6 cm, bone marrow involvement, hemoglobin level lower than 12 g/dL, and age older than 60 years were factors independently predictive for PFS. Using these variables, a prognostic model was devised to identify three groups at different levels of risk. The 3-year PFS rate was 91%, 69%, and 51% for patients at low, intermediate, and high risk, respectively (log-rank = 64.6; P &lt; .00001). The 3-year survival rate was 99%, 96%, and 84% for patients at low, intermediate, and high risk, respectively (P &lt; .0001). CONCLUSION: Follicular Lymphoma International Prognostic Index 2 is a simple prognostic index based on easily available clinical data and may represent a promising new tool for the identification of patients with FL at different risk in the era of immunochemotherapy.", "author" : [ { "dropping-particle" : "", "family" : "Federico", "given" : "Massimo", "non-dropping-particle" : "", "parse-names" : false, "suffix" : "" }, { "dropping-particle" : "", "family" : "Bellei", "given" : "Monica", "non-dropping-particle" : "", "parse-names" : false, "suffix" : "" }, { "dropping-particle" : "", "family" : "Marcheselli", "given" : "Luigi", "non-dropping-particle" : "", "parse-names" : false, "suffix" : "" }, { "dropping-particle" : "", "family" : "Luminari", "given" : "Stefano", "non-dropping-particle" : "", "parse-names" : false, "suffix" : "" }, { "dropping-particle" : "", "family" : "Lopez-Guillermo", "given" : "Armando", "non-dropping-particle" : "", "parse-names" : false, "suffix" : "" }, { "dropping-particle" : "", "family" : "Vitolo", "given" : "Umberto", "non-dropping-particle" : "", "parse-names" : false, "suffix" : "" }, { "dropping-particle" : "", "family" : "Pro", "given" : "Barbara", "non-dropping-particle" : "", "parse-names" : false, "suffix" : "" }, { "dropping-particle" : "", "family" : "Pileri", "given" : "Stefano", "non-dropping-particle" : "", "parse-names" : false, "suffix" : "" }, { "dropping-particle" : "", "family" : "Pulsoni", "given" : "Alessandro", "non-dropping-particle" : "", "parse-names" : false, "suffix" : "" }, { "dropping-particle" : "", "family" : "Soubeyran", "given" : "Pierre", "non-dropping-particle" : "", "parse-names" : false, "suffix" : "" }, { "dropping-particle" : "", "family" : "Cortelazzo", "given" : "Sergio", "non-dropping-particle" : "", "parse-names" : false, "suffix" : "" }, { "dropping-particle" : "", "family" : "Martinelli", "given" : "Giovanni", "non-dropping-particle" : "", "parse-names" : false, "suffix" : "" }, { "dropping-particle" : "", "family" : "Martelli", "given" : "Maurizio", "non-dropping-particle" : "", "parse-names" : false, "suffix" : "" }, { "dropping-particle" : "", "family" : "Rigacci", "given" : "Luigi", "non-dropping-particle" : "", "parse-names" : false, "suffix" : "" }, { "dropping-particle" : "", "family" : "Arcaini", "given" : "Luca", "non-dropping-particle" : "", "parse-names" : false, "suffix" : "" }, { "dropping-particle" : "", "family" : "Raimondo", "given" : "Francesco", "non-dropping-particle" : "Di", "parse-names" : false, "suffix" : "" }, { "dropping-particle" : "", "family" : "Merli", "given" : "Francesco", "non-dropping-particle" : "", "parse-names" : false, "suffix" : "" }, { "dropping-particle" : "", "family" : "Sabattini", "given" : "Elena", "non-dropping-particle" : "", "parse-names" : false, "suffix" : "" }, { "dropping-particle" : "", "family" : "McLaughlin", "given" : "Peter", "non-dropping-particle" : "", "parse-names" : false, "suffix" : "" }, { "dropping-particle" : "", "family" : "Solal-C\u00e9ligny", "given" : "Philippe", "non-dropping-particle" : "", "parse-names" : false, "suffix" : "" } ], "container-title" : "Journal of Clinical Oncology", "id" : "ITEM-1", "issue" : "27", "issued" : { "date-parts" : [ [ "2009" ] ] }, "page" : "4555-4562", "title" : "Follicular lymphoma international prognostic index 2: A new prognostic index for follicular lymphoma developed by the international follicular lymphoma prognostic factor project", "type" : "article-journal", "volume" : "27" }, "uris" : [ "http://www.mendeley.com/documents/?uuid=c7c6c0b8-e573-4f80-b3fc-faf5576b99b9", "http://www.mendeley.com/documents/?uuid=45e90391-6610-4c90-b872-0a0ed0987c7a" ] } ], "mendeley" : { "formattedCitation" : "(12)", "plainTextFormattedCitation" : "(12)", "previouslyFormattedCitation" : "(12)"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(12)</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Of note no data are available to correlate FLIPI2 with the risk of early progression or POD24.</w:t>
      </w:r>
    </w:p>
    <w:p w:rsidR="00295834" w:rsidRPr="0025576A" w:rsidRDefault="00295834" w:rsidP="0025576A">
      <w:pPr>
        <w:autoSpaceDE w:val="0"/>
        <w:autoSpaceDN w:val="0"/>
        <w:adjustRightInd w:val="0"/>
        <w:spacing w:line="360" w:lineRule="auto"/>
        <w:jc w:val="both"/>
        <w:rPr>
          <w:lang w:val="en-US"/>
        </w:rPr>
      </w:pPr>
    </w:p>
    <w:p w:rsidR="00295834" w:rsidRPr="0025576A" w:rsidRDefault="00295834" w:rsidP="0025576A">
      <w:pPr>
        <w:autoSpaceDE w:val="0"/>
        <w:autoSpaceDN w:val="0"/>
        <w:adjustRightInd w:val="0"/>
        <w:spacing w:line="360" w:lineRule="auto"/>
        <w:jc w:val="both"/>
        <w:rPr>
          <w:rFonts w:ascii="Arial" w:hAnsi="Arial" w:cs="Arial"/>
          <w:b/>
          <w:bCs/>
          <w:color w:val="222222"/>
          <w:shd w:val="clear" w:color="auto" w:fill="FFFFFF"/>
          <w:lang w:val="en-US"/>
        </w:rPr>
      </w:pPr>
      <w:r w:rsidRPr="0025576A">
        <w:rPr>
          <w:rFonts w:ascii="Arial" w:hAnsi="Arial" w:cs="Arial"/>
          <w:b/>
          <w:bCs/>
          <w:color w:val="222222"/>
          <w:shd w:val="clear" w:color="auto" w:fill="FFFFFF"/>
          <w:lang w:val="en-US"/>
        </w:rPr>
        <w:t>TMTV</w:t>
      </w:r>
    </w:p>
    <w:p w:rsidR="00295834" w:rsidRPr="0025576A" w:rsidRDefault="00295834" w:rsidP="0025576A">
      <w:pPr>
        <w:autoSpaceDE w:val="0"/>
        <w:autoSpaceDN w:val="0"/>
        <w:adjustRightInd w:val="0"/>
        <w:spacing w:line="360" w:lineRule="auto"/>
        <w:jc w:val="both"/>
        <w:rPr>
          <w:rFonts w:ascii="Arial" w:hAnsi="Arial" w:cs="Arial"/>
          <w:b/>
          <w:bCs/>
          <w:color w:val="222222"/>
          <w:shd w:val="clear" w:color="auto" w:fill="FFFFFF"/>
          <w:lang w:val="en-US"/>
        </w:rPr>
      </w:pPr>
      <w:r w:rsidRPr="0025576A">
        <w:rPr>
          <w:rFonts w:ascii="Arial" w:hAnsi="Arial" w:cs="Arial"/>
          <w:bCs/>
          <w:color w:val="222222"/>
          <w:shd w:val="clear" w:color="auto" w:fill="FFFFFF"/>
          <w:lang w:val="en-US"/>
        </w:rPr>
        <w:t xml:space="preserve">The prognostic value of quantitative parameters obtained from baseline PET/CT has been recently reported in patients with various subtypes of lymphoma Among them, </w:t>
      </w:r>
      <w:proofErr w:type="spellStart"/>
      <w:r w:rsidRPr="0025576A">
        <w:rPr>
          <w:rFonts w:ascii="Arial" w:hAnsi="Arial" w:cs="Arial"/>
          <w:bCs/>
          <w:color w:val="222222"/>
          <w:shd w:val="clear" w:color="auto" w:fill="FFFFFF"/>
          <w:lang w:val="en-US"/>
        </w:rPr>
        <w:t>standardised</w:t>
      </w:r>
      <w:proofErr w:type="spellEnd"/>
      <w:r w:rsidRPr="0025576A">
        <w:rPr>
          <w:rFonts w:ascii="Arial" w:hAnsi="Arial" w:cs="Arial"/>
          <w:bCs/>
          <w:color w:val="222222"/>
          <w:shd w:val="clear" w:color="auto" w:fill="FFFFFF"/>
          <w:lang w:val="en-US"/>
        </w:rPr>
        <w:t xml:space="preserve"> measurement of the TMTV has shown particular utility. In a recent study by </w:t>
      </w:r>
      <w:proofErr w:type="spellStart"/>
      <w:r w:rsidRPr="0025576A">
        <w:rPr>
          <w:rFonts w:ascii="Arial" w:hAnsi="Arial" w:cs="Arial"/>
          <w:bCs/>
          <w:color w:val="222222"/>
          <w:shd w:val="clear" w:color="auto" w:fill="FFFFFF"/>
          <w:lang w:val="en-US"/>
        </w:rPr>
        <w:t>Meignan</w:t>
      </w:r>
      <w:proofErr w:type="spellEnd"/>
      <w:r w:rsidRPr="0025576A">
        <w:rPr>
          <w:rFonts w:ascii="Arial" w:hAnsi="Arial" w:cs="Arial"/>
          <w:bCs/>
          <w:color w:val="222222"/>
          <w:shd w:val="clear" w:color="auto" w:fill="FFFFFF"/>
          <w:lang w:val="en-US"/>
        </w:rPr>
        <w:t xml:space="preserve"> et al. baseline TMTV as a dichotomized variable was the strongest pre-treatment predictor of outcome in high burden follicular lymphoma. The 29% of patients who had a high TMTV&gt;510 cm3 had a markedly inferior 5 year-PFS with a median PFS of less than 3 years and an increased risk of death. Conversely, a metabolic volume below </w:t>
      </w:r>
      <w:r>
        <w:rPr>
          <w:rFonts w:ascii="Arial" w:hAnsi="Arial" w:cs="Arial"/>
          <w:bCs/>
          <w:color w:val="222222"/>
          <w:shd w:val="clear" w:color="auto" w:fill="FFFFFF"/>
          <w:lang w:val="en-US"/>
        </w:rPr>
        <w:t>this cut off in the remaining 71</w:t>
      </w:r>
      <w:r w:rsidRPr="0025576A">
        <w:rPr>
          <w:rFonts w:ascii="Arial" w:hAnsi="Arial" w:cs="Arial"/>
          <w:bCs/>
          <w:color w:val="222222"/>
          <w:shd w:val="clear" w:color="auto" w:fill="FFFFFF"/>
          <w:lang w:val="en-US"/>
        </w:rPr>
        <w:t>% of patients predicted a median PFS beyond 6 years. Importantly TMTV was a strong predictor of early progression within the first 1-2 years after commencing therapy. Unlike the original FLIPI, FLIPI2 was also an independent predictor of PFS in this study and the combination of TMTV&gt; 510 cm3 with intermediate-high risk FLIPI2 stratified the population in three risk categories based on the presence or absence of any of these two adverse factors. The 14% of patients with both a high TMTV and intermediate-high risk FLIPI2 experienced a very poo</w:t>
      </w:r>
      <w:r>
        <w:rPr>
          <w:rFonts w:ascii="Arial" w:hAnsi="Arial" w:cs="Arial"/>
          <w:bCs/>
          <w:color w:val="222222"/>
          <w:shd w:val="clear" w:color="auto" w:fill="FFFFFF"/>
          <w:lang w:val="en-US"/>
        </w:rPr>
        <w:t xml:space="preserve">r 46% 2 year and PFS and </w:t>
      </w:r>
      <w:proofErr w:type="gramStart"/>
      <w:r>
        <w:rPr>
          <w:rFonts w:ascii="Arial" w:hAnsi="Arial" w:cs="Arial"/>
          <w:bCs/>
          <w:color w:val="222222"/>
          <w:shd w:val="clear" w:color="auto" w:fill="FFFFFF"/>
          <w:lang w:val="en-US"/>
        </w:rPr>
        <w:t>a</w:t>
      </w:r>
      <w:proofErr w:type="gramEnd"/>
      <w:r>
        <w:rPr>
          <w:rFonts w:ascii="Arial" w:hAnsi="Arial" w:cs="Arial"/>
          <w:bCs/>
          <w:color w:val="222222"/>
          <w:shd w:val="clear" w:color="auto" w:fill="FFFFFF"/>
          <w:lang w:val="en-US"/>
        </w:rPr>
        <w:t xml:space="preserve"> 86% 2 year </w:t>
      </w:r>
      <w:r w:rsidRPr="0025576A">
        <w:rPr>
          <w:rFonts w:ascii="Arial" w:hAnsi="Arial" w:cs="Arial"/>
          <w:bCs/>
          <w:color w:val="222222"/>
          <w:shd w:val="clear" w:color="auto" w:fill="FFFFFF"/>
          <w:lang w:val="en-US"/>
        </w:rPr>
        <w:t xml:space="preserve">OS. With a median progression free survival of only 19 months this population can no longer be characterized as having an indolent </w:t>
      </w:r>
      <w:r>
        <w:rPr>
          <w:rFonts w:ascii="Arial" w:hAnsi="Arial" w:cs="Arial"/>
          <w:bCs/>
          <w:color w:val="222222"/>
          <w:shd w:val="clear" w:color="auto" w:fill="FFFFFF"/>
          <w:lang w:val="en-US"/>
        </w:rPr>
        <w:t>course</w:t>
      </w:r>
      <w:r w:rsidRPr="0025576A">
        <w:rPr>
          <w:rFonts w:ascii="Arial" w:hAnsi="Arial" w:cs="Arial"/>
          <w:b/>
          <w:bCs/>
          <w:color w:val="222222"/>
          <w:shd w:val="clear" w:color="auto" w:fill="FFFFFF"/>
          <w:lang w:val="en-US"/>
        </w:rPr>
        <w:t>.</w:t>
      </w:r>
      <w:r>
        <w:rPr>
          <w:rFonts w:ascii="Arial" w:hAnsi="Arial" w:cs="Arial"/>
          <w:b/>
          <w:bCs/>
          <w:color w:val="222222"/>
          <w:shd w:val="clear" w:color="auto" w:fill="FFFFFF"/>
          <w:lang w:val="en-US"/>
        </w:rPr>
        <w:fldChar w:fldCharType="begin" w:fldLock="1"/>
      </w:r>
      <w:r w:rsidR="00C555D8">
        <w:rPr>
          <w:rFonts w:ascii="Arial" w:hAnsi="Arial" w:cs="Arial"/>
          <w:b/>
          <w:bCs/>
          <w:color w:val="222222"/>
          <w:shd w:val="clear" w:color="auto" w:fill="FFFFFF"/>
          <w:lang w:val="en-US"/>
        </w:rPr>
        <w:instrText>ADDIN CSL_CITATION { "citationItems" : [ { "id" : "ITEM-1", "itemData" : { "DOI" : "10.1200/JCO.2016.66.9440", "ISBN" : "1527-7755 (Electronic)\r0732-183X (Linking)", "ISSN" : "15277755", "PMID" : "27551111", "abstract" : "PURPOSE Identifying patients at high risk of progression and early death among those with high-tumor-burden follicular lymphoma (FL) is unsatisfactory with current prognostic models. This study aimed to determine the prognostic impact of the total metabolic tumor volume (TMTV) measured at baseline with [(18)F]fluorodeoxyglucose/positron emission tomography-computed tomography ([(18)F]FDG/PET-CT) scans and its added value to these models. PATIENTS AND METHODS A pooled analysis was performed by using patient data and centrally reviewed baseline PET-CT scans for 185 patients with FL who were receiving immunochemotherapy within three prospective trials. TMTV was computed by using the 41% maximum standardized uptake value thresholding method, and the optimal cutoff for survival prediction was determined. RESULTS Median age was 55 years, 92% of patients had stage III to IV disease, 37% had a Follicular Lymphoma International Prognostic Index (FLIPI) score of 3 to 5, and 31% had a FLIPI2 score of 3 to 5. With a median follow-up of 64 months, overall 5-year progression-free survival (PFS) was 55% and overall survival (OS) was 92%. Median TMTV was 297 cm(3) (quartile 1 through quartile 3, 135 to 567 cm(3)). The optimal cutoff identified was 510 cm(3), with a markedly inferior survival in the 29% of patients with TMTV &gt; 510 cm(3). Five-year PFS was 33% versus 65% (hazard ratio [HR], 2.90; P &lt; .001), and 5-year OS was 85% versus 95% (HR, 3.45; P = .010). On multivariable analysis, TMTV (HR, 2.3; P = .002) and FLIPI2 score (HR, 2.2; P = .002) were independent predictors of PFS. In combination, they identify three risk groups: high TMTV and intermediate-to-high FLIPI2 score with 5-year PFS of 20% (HR, 5.0; P &lt; .001), high TMTV or intermediate-to-high FLIPI2 score with 5-year PFS of 46% (HR, 2.1; P = .007), and low TMTV and low FLIP2 with 5-year PFS of 69%. CONCLUSION Baseline TMTV is a strong independent predictor of outcome in FL. In combination with FLIPI2 score, it identifies patients at high risk of early progression. It warrants further validation as a biomarker for development of first-line PET-adapted approaches in FL.", "author" : [ { "dropping-particle" : "", "family" : "Meignan", "given" : "Michel", "non-dropping-particle" : "", "parse-names" : false, "suffix" : "" }, { "dropping-particle" : "", "family" : "Cottereau", "given" : "Anne S\u00e9gol\u00e8ne", "non-dropping-particle" : "", "parse-names" : false, "suffix" : "" }, { "dropping-particle" : "", "family" : "Versari", "given" : "Annibale", "non-dropping-particle" : "", "parse-names" : false, "suffix" : "" }, { "dropping-particle" : "", "family" : "Chartier", "given" : "Lo\u00efc", "non-dropping-particle" : "", "parse-names" : false, "suffix" : "" }, { "dropping-particle" : "", "family" : "Dupuis", "given" : "Jehan", "non-dropping-particle" : "", "parse-names" : false, "suffix" : "" }, { "dropping-particle" : "", "family" : "Boussetta", "given" : "Sami", "non-dropping-particle" : "", "parse-names" : false, "suffix" : "" }, { "dropping-particle" : "", "family" : "Grassi", "given" : "Ilaria", "non-dropping-particle" : "", "parse-names" : false, "suffix" : "" }, { "dropping-particle" : "", "family" : "Casasnovas", "given" : "Ren\u00e9 Olivier", "non-dropping-particle" : "", "parse-names" : false, "suffix" : "" }, { "dropping-particle" : "", "family" : "Haioun", "given" : "Corinne", "non-dropping-particle" : "", "parse-names" : false, "suffix" : "" }, { "dropping-particle" : "", "family" : "Tilly", "given" : "Herv\u00e9", "non-dropping-particle" : "", "parse-names" : false, "suffix" : "" }, { "dropping-particle" : "", "family" : "Tarantino", "given" : "Vittoria", "non-dropping-particle" : "", "parse-names" : false, "suffix" : "" }, { "dropping-particle" : "", "family" : "Dubreuil", "given" : "Julien", "non-dropping-particle" : "", "parse-names" : false, "suffix" : "" }, { "dropping-particle" : "", "family" : "Federico", "given" : "Massimo", "non-dropping-particle" : "", "parse-names" : false, "suffix" : "" }, { "dropping-particle" : "", "family" : "Salles", "given" : "Gilles", "non-dropping-particle" : "", "parse-names" : false, "suffix" : "" }, { "dropping-particle" : "", "family" : "Luminari", "given" : "Stefano", "non-dropping-particle" : "", "parse-names" : false, "suffix" : "" }, { "dropping-particle" : "", "family" : "Trotman", "given" : "Judith", "non-dropping-particle" : "", "parse-names" : false, "suffix" : "" } ], "container-title" : "Journal of Clinical Oncology", "id" : "ITEM-1", "issue" : "30", "issued" : { "date-parts" : [ [ "2016" ] ] }, "page" : "3618-3626", "title" : "Baseline metabolic tumor volume predicts outcome in high-tumor-burden follicular lymphoma: A pooled analysis of three multicenter studies", "type" : "paper-conference", "volume" : "34" }, "uris" : [ "http://www.mendeley.com/documents/?uuid=e5930857-128c-4719-9d6b-68e1b1aeac4c", "http://www.mendeley.com/documents/?uuid=e6f4f720-f6aa-4964-a222-2b45e6908d7d" ] } ], "mendeley" : { "formattedCitation" : "(13)", "plainTextFormattedCitation" : "(13)", "previouslyFormattedCitation" : "(13)" }, "properties" : { "noteIndex" : 0 }, "schema" : "https://github.com/citation-style-language/schema/raw/master/csl-citation.json" }</w:instrText>
      </w:r>
      <w:r>
        <w:rPr>
          <w:rFonts w:ascii="Arial" w:hAnsi="Arial" w:cs="Arial"/>
          <w:b/>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(13)</w:t>
      </w:r>
      <w:r>
        <w:rPr>
          <w:rFonts w:ascii="Arial" w:hAnsi="Arial" w:cs="Arial"/>
          <w:b/>
          <w:bCs/>
          <w:color w:val="222222"/>
          <w:shd w:val="clear" w:color="auto" w:fill="FFFFFF"/>
          <w:lang w:val="en-US"/>
        </w:rPr>
        <w:fldChar w:fldCharType="end"/>
      </w:r>
    </w:p>
    <w:p w:rsidR="00295834" w:rsidRPr="0025576A" w:rsidRDefault="00295834" w:rsidP="0025576A">
      <w:pPr>
        <w:autoSpaceDE w:val="0"/>
        <w:autoSpaceDN w:val="0"/>
        <w:adjustRightInd w:val="0"/>
        <w:spacing w:line="360" w:lineRule="auto"/>
        <w:jc w:val="both"/>
        <w:rPr>
          <w:rFonts w:ascii="Arial" w:hAnsi="Arial" w:cs="Arial"/>
          <w:b/>
          <w:bCs/>
          <w:color w:val="222222"/>
          <w:shd w:val="clear" w:color="auto" w:fill="FFFFFF"/>
          <w:lang w:val="en-US"/>
        </w:rPr>
      </w:pPr>
      <w:r w:rsidRPr="0025576A">
        <w:rPr>
          <w:rFonts w:ascii="Arial" w:hAnsi="Arial" w:cs="Arial"/>
          <w:bCs/>
          <w:color w:val="222222"/>
          <w:shd w:val="clear" w:color="auto" w:fill="FFFFFF"/>
          <w:lang w:val="en-US"/>
        </w:rPr>
        <w:t xml:space="preserve">A measure of the total burden of viable tumor and environmental cells offers a promising advance on existing surrogates for tumor burden integrated into the current five-factor prognostic indices, FLIPI and FLIPI2. While the decision to treat follicular lymphoma is highly influenced by tumor burden, no specific study has ever addressed the prognostic role of the </w:t>
      </w:r>
      <w:r w:rsidRPr="0025576A">
        <w:rPr>
          <w:rFonts w:ascii="Arial" w:hAnsi="Arial" w:cs="Arial"/>
          <w:bCs/>
          <w:color w:val="222222"/>
          <w:shd w:val="clear" w:color="auto" w:fill="FFFFFF"/>
          <w:lang w:val="en-US"/>
        </w:rPr>
        <w:lastRenderedPageBreak/>
        <w:t>TMTV in FL and its added value to these clinical prognostic indices which fail to adequately identify patients at particularly high risk of progression and early death after modern immuno-chemotherapy approaches.</w:t>
      </w:r>
    </w:p>
    <w:p w:rsidR="00295834" w:rsidRPr="0025576A" w:rsidRDefault="00295834" w:rsidP="0025576A">
      <w:pPr>
        <w:autoSpaceDE w:val="0"/>
        <w:autoSpaceDN w:val="0"/>
        <w:adjustRightInd w:val="0"/>
        <w:spacing w:line="360" w:lineRule="auto"/>
        <w:jc w:val="both"/>
        <w:rPr>
          <w:rFonts w:ascii="Arial" w:hAnsi="Arial" w:cs="Arial"/>
          <w:b/>
          <w:bCs/>
          <w:color w:val="222222"/>
          <w:shd w:val="clear" w:color="auto" w:fill="FFFFFF"/>
          <w:lang w:val="en-US"/>
        </w:rPr>
      </w:pPr>
    </w:p>
    <w:p w:rsidR="00295834" w:rsidRPr="0025576A" w:rsidRDefault="00295834" w:rsidP="0025576A">
      <w:pPr>
        <w:autoSpaceDE w:val="0"/>
        <w:autoSpaceDN w:val="0"/>
        <w:adjustRightInd w:val="0"/>
        <w:spacing w:line="360" w:lineRule="auto"/>
        <w:jc w:val="both"/>
        <w:rPr>
          <w:rFonts w:ascii="Arial" w:hAnsi="Arial" w:cs="Arial"/>
          <w:b/>
          <w:bCs/>
          <w:color w:val="222222"/>
          <w:shd w:val="clear" w:color="auto" w:fill="FFFFFF"/>
          <w:lang w:val="en-US"/>
        </w:rPr>
      </w:pPr>
      <w:r w:rsidRPr="0025576A">
        <w:rPr>
          <w:rFonts w:ascii="Arial" w:hAnsi="Arial" w:cs="Arial"/>
          <w:b/>
          <w:bCs/>
          <w:color w:val="222222"/>
          <w:shd w:val="clear" w:color="auto" w:fill="FFFFFF"/>
          <w:lang w:val="en-US"/>
        </w:rPr>
        <w:t>m7-FLIPI</w:t>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 xml:space="preserve">A first attempt to integrate clinical prognostic factors with biomarker analysis in the era of immunochemotherapy was done by Pastore et al. who integrated the mutational status of seven genes in the context of the FLIPI clinical backbone in a population of 151 high tumor burden FL patients who were treated with standard R-CHOP. They used a DNA deep sequencing to retrospectively </w:t>
      </w:r>
      <w:proofErr w:type="spellStart"/>
      <w:r w:rsidRPr="0025576A">
        <w:rPr>
          <w:rFonts w:ascii="Arial" w:hAnsi="Arial" w:cs="Arial"/>
          <w:bCs/>
          <w:color w:val="222222"/>
          <w:shd w:val="clear" w:color="auto" w:fill="FFFFFF"/>
          <w:lang w:val="en-US"/>
        </w:rPr>
        <w:t>analyse</w:t>
      </w:r>
      <w:proofErr w:type="spellEnd"/>
      <w:r w:rsidRPr="0025576A">
        <w:rPr>
          <w:rFonts w:ascii="Arial" w:hAnsi="Arial" w:cs="Arial"/>
          <w:bCs/>
          <w:color w:val="222222"/>
          <w:shd w:val="clear" w:color="auto" w:fill="FFFFFF"/>
          <w:lang w:val="en-US"/>
        </w:rPr>
        <w:t xml:space="preserve"> the mutation status of 74 genes and identified mutations associated with shorter failure-free survival in EP300, FOXO1 CARD11 and CREBBP genes, and mutations in EZH2, MEF2B and ARID1A that were associated with longer failure-free survival. The model termed m7-FLIPI was then calculated as the weighted sum of predictor values and included high risk FLIPI, poor ECOG performance status, and non-silent mutations in the </w:t>
      </w:r>
      <w:proofErr w:type="gramStart"/>
      <w:r w:rsidRPr="0025576A">
        <w:rPr>
          <w:rFonts w:ascii="Arial" w:hAnsi="Arial" w:cs="Arial"/>
          <w:bCs/>
          <w:color w:val="222222"/>
          <w:shd w:val="clear" w:color="auto" w:fill="FFFFFF"/>
          <w:lang w:val="en-US"/>
        </w:rPr>
        <w:t>above mentioned</w:t>
      </w:r>
      <w:proofErr w:type="gramEnd"/>
      <w:r w:rsidRPr="0025576A">
        <w:rPr>
          <w:rFonts w:ascii="Arial" w:hAnsi="Arial" w:cs="Arial"/>
          <w:bCs/>
          <w:color w:val="222222"/>
          <w:shd w:val="clear" w:color="auto" w:fill="FFFFFF"/>
          <w:lang w:val="en-US"/>
        </w:rPr>
        <w:t xml:space="preserve"> genes. The m7-FLIPI identified a high-risk group of 28% of cases with 5-year failure-free survival of 38% and a low-risk group with 5-year failure-free survival of 77% (p&lt;0·0001). The score outperformed FLIPI alone and FLIPI combined with ECOG performance status and results were confirmed on an independent validation series</w:t>
      </w:r>
      <w:r>
        <w:rPr>
          <w:rFonts w:ascii="Arial" w:hAnsi="Arial" w:cs="Arial"/>
          <w:bCs/>
          <w:color w:val="222222"/>
          <w:shd w:val="clear" w:color="auto" w:fill="FFFFFF"/>
          <w:lang w:val="en-US"/>
        </w:rPr>
        <w:t xml:space="preserve"> </w:t>
      </w:r>
      <w:r>
        <w:rPr>
          <w:rFonts w:ascii="Arial" w:hAnsi="Arial" w:cs="Arial"/>
          <w:bCs/>
          <w:color w:val="222222"/>
          <w:shd w:val="clear" w:color="auto" w:fill="FFFFFF"/>
          <w:lang w:val="en-US"/>
        </w:rPr>
        <w:fldChar w:fldCharType="begin" w:fldLock="1"/>
      </w:r>
      <w:r w:rsidR="00C555D8">
        <w:rPr>
          <w:rFonts w:ascii="Arial" w:hAnsi="Arial" w:cs="Arial"/>
          <w:bCs/>
          <w:color w:val="222222"/>
          <w:shd w:val="clear" w:color="auto" w:fill="FFFFFF"/>
          <w:lang w:val="en-US"/>
        </w:rPr>
        <w:instrText>ADDIN CSL_CITATION { "citationItems" : [ { "id" : "ITEM-1", "itemData" : { "DOI" : "10.1016/S1470-2045(15)00169-2", "ISBN" : "0000000027", "ISSN" : "14745488", "PMID" : "26256760", "abstract" : "Background: Follicular lymphoma is a clinically and genetically heterogeneous disease, but the prognostic value of somatic mutations has not been systematically assessed. We aimed to improve risk stratification of patients receiving first-line immunochemotherapy by integrating gene mutations into a prognostic model. Methods: We did DNA deep sequencing to retrospectively analyse the mutation status of 74 genes in 151 follicular lymphoma biopsy specimens that were obtained from patients within 1 year before beginning immunochemotherapy consisting of rituximab, cyclophosphamide, doxorubicin, vincristine, and prednisone (R-CHOP). These patients were recruited between May 4, 2000, and Oct 20, 2010, as part of a phase 3 trial (GLSG2000). Eligible patients had symptomatic, advanced stage follicular lymphoma and were previously untreated. The primary endpoints were failure-free survival (defined as less than a partial remission at the end of induction, relapse, progression, or death) and overall survival calculated from date of treatment initiation. Median follow-up was 7\u00b77 years (IQR 5\u00b75-9\u00b73). Mutations and clinical factors were incorporated into a risk model for failure-free survival using multivariable L1-penalised Cox regression. We validated the risk model in an independent population-based cohort of 107 patients with symptomatic follicular lymphoma considered ineligible for curative irradiation. Pretreatment biopsies were taken between Feb 24, 2004, and Nov 24, 2009, within 1 year before beginning first-line immunochemotherapy consisting of rituximab, cyclophosphamide, vincristine, and prednisone (R-CVP). Median follow-up was 6\u00b77 years (IQR 5\u00b77-7\u00b76). Findings: We established a clinicogenetic risk model (termed m7-FLIPI) that included the mutation status of seven genes (. EZH2, ARID1A, MEF2B, EP300, FOXO1, CREBBP, and CARD11), the Follicular Lymphoma International Prognostic Index (FLIPI), and Eastern Cooperative Oncology Group (ECOG) performance status. In the training cohort, m7-FLIPI defined a high-risk group (28%, 43/151) with 5-year failure-free survival of 38\u00b729% (95% CI 25\u00b731-57\u00b795) versus 77\u00b721% (95% CI 69\u00b721-86\u00b714) for the low-risk group (hazard ratio [HR] 4\u00b714, 95% CI 2\u00b747-6\u00b793; p&lt;0\u00b70001; bootstrap-corrected HR 2\u00b702), and outperformed a prognostic model of only gene mutations (HR 3\u00b776, 95% CI 2\u00b710-6\u00b774; p&lt;0\u00b70001; bootstrap-corrected HR 1\u00b757). The positive predictive value and negative predictive value for 5-year failure-free survival were 64% and\u2026", "author" : [ { "dropping-particle" : "", "family" : "Pastore", "given" : "Alessandro", "non-dropping-particle" : "", "parse-names" : false, "suffix" : "" }, { "dropping-particle" : "", "family" : "Jurinovic", "given" : "Vindi", "non-dropping-particle" : "", "parse-names" : false, "suffix" : "" }, { "dropping-particle" : "", "family" : "Kridel", "given" : "Robert", "non-dropping-particle" : "", "parse-names" : false, "suffix" : "" }, { "dropping-particle" : "", "family" : "Hoster", "given" : "Eva", "non-dropping-particle" : "", "parse-names" : false, "suffix" : "" }, { "dropping-particle" : "", "family" : "Staiger", "given" : "Annette M.", "non-dropping-particle" : "", "parse-names" : false, "suffix" : "" }, { "dropping-particle" : "", "family" : "Szczepanowski", "given" : "Monika", "non-dropping-particle" : "", "parse-names" : false, "suffix" : "" }, { "dropping-particle" : "", "family" : "Pott", "given" : "Christiane", "non-dropping-particle" : "", "parse-names" : false, "suffix" : "" }, { "dropping-particle" : "", "family" : "Kopp", "given" : "Nadja", "non-dropping-particle" : "", "parse-names" : false, "suffix" : "" }, { "dropping-particle" : "", "family" : "Murakami", "given" : "Mark", "non-dropping-particle" : "", "parse-names" : false, "suffix" : "" }, { "dropping-particle" : "", "family" : "Horn", "given" : "Heike", "non-dropping-particle" : "", "parse-names" : false, "suffix" : "" }, { "dropping-particle" : "", "family" : "Leich", "given" : "Ellen", "non-dropping-particle" : "", "parse-names" : false, "suffix" : "" }, { "dropping-particle" : "", "family" : "Moccia", "given" : "Alden A.", "non-dropping-particle" : "", "parse-names" : false, "suffix" : "" }, { "dropping-particle" : "", "family" : "Mottok", "given" : "Anja", "non-dropping-particle" : "", "parse-names" : false, "suffix" : "" }, { "dropping-particle" : "", "family" : "Sunkavalli", "given" : "Ashwini", "non-dropping-particle" : "", "parse-names" : false, "suffix" : "" }, { "dropping-particle" : "", "family" : "Hummelen", "given" : "Paul", "non-dropping-particle" : "Van", "parse-names" : false, "suffix" : "" }, { "dropping-particle" : "", "family" : "Ducar", "given" : "Matthew", "non-dropping-particle" : "", "parse-names" : false, "suffix" : "" }, { "dropping-particle" : "", "family" : "Ennishi", "given" : "Daisuke", "non-dropping-particle" : "", "parse-names" : false, "suffix" : "" }, { "dropping-particle" : "", "family" : "Shulha", "given" : "Hennady P.", "non-dropping-particle" : "", "parse-names" : false, "suffix" : "" }, { "dropping-particle" : "", "family" : "Hother", "given" : "Christoffer", "non-dropping-particle" : "", "parse-names" : false, "suffix" : "" }, { "dropping-particle" : "", "family" : "Connors", "given" : "Joseph M.", "non-dropping-particle" : "", "parse-names" : false, "suffix" : "" }, { "dropping-particle" : "", "family" : "Sehn", "given" : "Laurie H.", "non-dropping-particle" : "", "parse-names" : false, "suffix" : "" }, { "dropping-particle" : "", "family" : "Dreyling", "given" : "Martin", "non-dropping-particle" : "", "parse-names" : false, "suffix" : "" }, { "dropping-particle" : "", "family" : "Neuberg", "given" : "Donna", "non-dropping-particle" : "", "parse-names" : false, "suffix" : "" }, { "dropping-particle" : "", "family" : "M\u00f6ller", "given" : "Peter", "non-dropping-particle" : "", "parse-names" : false, "suffix" : "" }, { "dropping-particle" : "", "family" : "Feller", "given" : "Alfred C.", "non-dropping-particle" : "", "parse-names" : false, "suffix" : "" }, { "dropping-particle" : "", "family" : "Hansmann", "given" : "Martin L.", "non-dropping-particle" : "", "parse-names" : false, "suffix" : "" }, { "dropping-particle" : "", "family" : "Stein", "given" : "Harald", "non-dropping-particle" : "", "parse-names" : false, "suffix" : "" }, { "dropping-particle" : "", "family" : "Rosenwald", "given" : "Andreas", "non-dropping-particle" : "", "parse-names" : false, "suffix" : "" }, { "dropping-particle" : "", "family" : "Ott", "given" : "German", "non-dropping-particle" : "", "parse-names" : false, "suffix" : "" }, { "dropping-particle" : "", "family" : "Klapper", "given" : "Wolfram", "non-dropping-particle" : "", "parse-names" : false, "suffix" : "" }, { "dropping-particle" : "", "family" : "Unterhalt", "given" : "Michael", "non-dropping-particle" : "", "parse-names" : false, "suffix" : "" }, { "dropping-particle" : "", "family" : "Hiddemann", "given" : "Wolfgang", "non-dropping-particle" : "", "parse-names" : false, "suffix" : "" }, { "dropping-particle" : "", "family" : "Gascoyne", "given" : "Randy D.", "non-dropping-particle" : "", "parse-names" : false, "suffix" : "" }, { "dropping-particle" : "", "family" : "Weinstock", "given" : "David M.", "non-dropping-particle" : "", "parse-names" : false, "suffix" : "" }, { "dropping-particle" : "", "family" : "Weigert", "given" : "Oliver", "non-dropping-particle" : "", "parse-names" : false, "suffix" : "" } ], "container-title" : "The Lancet Oncology", "id" : "ITEM-1", "issue" : "9", "issued" : { "date-parts" : [ [ "2015" ] ] }, "page" : "1111-1122", "title" : "Integration of gene mutations in risk prognostication for patients receiving first-line immunochemotherapy for follicular lymphoma: A retrospective analysis of a prospective clinical trial and validation in a population-based registry", "type" : "article-journal", "volume" : "16" }, "uris" : [ "http://www.mendeley.com/documents/?uuid=78116048-8c41-4297-a1aa-366130759d2c", "http://www.mendeley.com/documents/?uuid=4e86000c-ed39-404e-8fed-62ae9a74d232" ] } ], "mendeley" : { "formattedCitation" : "(14)", "plainTextFormattedCitation" : "(14)", "previouslyFormattedCitation" : "(14)"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(14)</w:t>
      </w:r>
      <w:r>
        <w:rPr>
          <w:rFonts w:ascii="Arial" w:hAnsi="Arial" w:cs="Arial"/>
          <w:bCs/>
          <w:color w:val="222222"/>
          <w:shd w:val="clear" w:color="auto" w:fill="FFFFFF"/>
          <w:lang w:val="en-US"/>
        </w:rPr>
        <w:fldChar w:fldCharType="end"/>
      </w:r>
      <w:r>
        <w:rPr>
          <w:rFonts w:ascii="Arial" w:hAnsi="Arial" w:cs="Arial"/>
          <w:bCs/>
          <w:color w:val="222222"/>
          <w:shd w:val="clear" w:color="auto" w:fill="FFFFFF"/>
          <w:lang w:val="en-US"/>
        </w:rPr>
        <w:t>. M</w:t>
      </w:r>
      <w:r w:rsidRPr="0025576A">
        <w:rPr>
          <w:rFonts w:ascii="Arial" w:hAnsi="Arial" w:cs="Arial"/>
          <w:bCs/>
          <w:color w:val="222222"/>
          <w:shd w:val="clear" w:color="auto" w:fill="FFFFFF"/>
          <w:lang w:val="en-US"/>
        </w:rPr>
        <w:t>7-FLIPI was also challenged with POD24 in a different study that used two independent series of patients with FL (GLSG 151 pts; BCCA 71 pts) and showed that the m7-FLIPI, had the highest accuracy to predict POD24 (76% and 77%, respectively in the two series). High-risk m7-FLIPI patients were significantly more likely to develop POD24 with an odds ratio (OR) of 5.82 (</w:t>
      </w:r>
      <w:r w:rsidRPr="0025576A">
        <w:rPr>
          <w:rFonts w:ascii="Arial" w:hAnsi="Arial" w:cs="Arial"/>
          <w:bCs/>
          <w:i/>
          <w:iCs/>
          <w:color w:val="222222"/>
          <w:lang w:val="en-US"/>
        </w:rPr>
        <w:t>P</w:t>
      </w:r>
      <w:r w:rsidRPr="0025576A">
        <w:rPr>
          <w:rFonts w:ascii="Arial" w:hAnsi="Arial" w:cs="Arial"/>
          <w:bCs/>
          <w:color w:val="222222"/>
          <w:shd w:val="clear" w:color="auto" w:fill="FFFFFF"/>
          <w:lang w:val="en-US"/>
        </w:rPr>
        <w:t> = .00031) and 4.76 (</w:t>
      </w:r>
      <w:r w:rsidRPr="0025576A">
        <w:rPr>
          <w:rFonts w:ascii="Arial" w:hAnsi="Arial" w:cs="Arial"/>
          <w:bCs/>
          <w:i/>
          <w:iCs/>
          <w:color w:val="222222"/>
          <w:lang w:val="en-US"/>
        </w:rPr>
        <w:t>P</w:t>
      </w:r>
      <w:r w:rsidRPr="0025576A">
        <w:rPr>
          <w:rFonts w:ascii="Arial" w:hAnsi="Arial" w:cs="Arial"/>
          <w:bCs/>
          <w:color w:val="222222"/>
          <w:shd w:val="clear" w:color="auto" w:fill="FFFFFF"/>
          <w:lang w:val="en-US"/>
        </w:rPr>
        <w:t> = .0052) in GLSG and BCCA patients. Compared with the FLIPI, the specificity of the m7-FLIPI to identify POD24 (</w:t>
      </w:r>
      <w:proofErr w:type="spellStart"/>
      <w:r w:rsidRPr="0025576A">
        <w:rPr>
          <w:rFonts w:ascii="Arial" w:hAnsi="Arial" w:cs="Arial"/>
          <w:bCs/>
          <w:color w:val="222222"/>
          <w:shd w:val="clear" w:color="auto" w:fill="FFFFFF"/>
          <w:lang w:val="en-US"/>
        </w:rPr>
        <w:t>ie</w:t>
      </w:r>
      <w:proofErr w:type="spellEnd"/>
      <w:r w:rsidRPr="0025576A">
        <w:rPr>
          <w:rFonts w:ascii="Arial" w:hAnsi="Arial" w:cs="Arial"/>
          <w:bCs/>
          <w:color w:val="222222"/>
          <w:shd w:val="clear" w:color="auto" w:fill="FFFFFF"/>
          <w:lang w:val="en-US"/>
        </w:rPr>
        <w:t>, the true negative rate)</w:t>
      </w:r>
      <w:r>
        <w:rPr>
          <w:rFonts w:ascii="Arial" w:hAnsi="Arial" w:cs="Arial"/>
          <w:bCs/>
          <w:color w:val="222222"/>
          <w:shd w:val="clear" w:color="auto" w:fill="FFFFFF"/>
          <w:lang w:val="en-US"/>
        </w:rPr>
        <w:t xml:space="preserve"> in the two studies</w:t>
      </w:r>
      <w:r w:rsidRPr="0025576A">
        <w:rPr>
          <w:rFonts w:ascii="Arial" w:hAnsi="Arial" w:cs="Arial"/>
          <w:bCs/>
          <w:color w:val="222222"/>
          <w:shd w:val="clear" w:color="auto" w:fill="FFFFFF"/>
          <w:lang w:val="en-US"/>
        </w:rPr>
        <w:t xml:space="preserve"> increased from 56% to 79%, and 58% to 86%, respectively </w:t>
      </w:r>
      <w:r>
        <w:rPr>
          <w:rFonts w:ascii="Arial" w:hAnsi="Arial" w:cs="Arial"/>
          <w:bCs/>
          <w:color w:val="222222"/>
          <w:shd w:val="clear" w:color="auto" w:fill="FFFFFF"/>
          <w:lang w:val="en-US"/>
        </w:rPr>
        <w:fldChar w:fldCharType="begin" w:fldLock="1"/>
      </w:r>
      <w:r w:rsidR="00C555D8">
        <w:rPr>
          <w:rFonts w:ascii="Arial" w:hAnsi="Arial" w:cs="Arial"/>
          <w:bCs/>
          <w:color w:val="222222"/>
          <w:shd w:val="clear" w:color="auto" w:fill="FFFFFF"/>
          <w:lang w:val="en-US"/>
        </w:rPr>
        <w:instrText>ADDIN CSL_CITATION { "citationItems" : [ { "id" : "ITEM-1", "itemData" : { "DOI" : "10.1182/blood-2016-05-717355", "ISBN" : "2016057173", "ISSN" : "15280020", "PMID" : "27418643", "abstract" : "Follicular lymphoma (FL) is a clinically and molecularly heterogeneous disease. Post-treatment surrogate endpoints, such as progression of disease within 24 months (POD24) are promising predictors for overall survival (OS), but are of limited clinical value, primarily because they cannot guide upfront treatment decisions. We used the clinical and molecular data from two independent cohorts of symptomatic patients in need of first-line immunochemotherapy (151 patients from a German Low Grade Lymphoma Study Group (GLSG) trial, and 107 patients from a population-based registry of the British Columbia Cancer Agency (BCCA)) to validate the predictive utility of POD24, and the ability of pre-treatment risk models to predict early treatment failure. POD24 occurred in 17% and 23% of evaluable GLSG and BCCA patients, with 5-year OS rates of 41% (versus 91% for those without POD24, p&lt;0.0001) and 26% (versus 86%, p&lt;0.0001), respectively. The m7-FLIPI, a prospective clinicogenetic risk model for failure-free survival (FFS), had the highest accuracy to predict POD24 (76% and 77%, respectively) with an odds ratio (OR) of 5.82 in GLSG (p=0.00031) and 4.76 in BCCA patients (p=0.0052). A clinicogenetic risk model specifically designed to predict POD24, the POD24-PI, had the highest sensitivity to predict POD24, but at the expense of a lower specificity. In conclusion, the m7-FLIPI prospectively identifies the smallest subgroup of patients (28% and 22%, respectively) at highest risk of early failure of first-line immunochemotherapy and death, including patients not fulfilling the POD24 criteria, and should be evaluated in prospective trials of precision medicine approaches in FL.", "author" : [ { "dropping-particle" : "", "family" : "Jurinovic", "given" : "Vindi", "non-dropping-particle" : "", "parse-names" : false, "suffix" : "" }, { "dropping-particle" : "", "family" : "Kridel", "given" : "Robert", "non-dropping-particle" : "", "parse-names" : false, "suffix" : "" }, { "dropping-particle" : "", "family" : "Staiger", "given" : "Annette M.", "non-dropping-particle" : "", "parse-names" : false, "suffix" : "" }, { "dropping-particle" : "", "family" : "Szczepanowski", "given" : "Monika", "non-dropping-particle" : "", "parse-names" : false, "suffix" : "" }, { "dropping-particle" : "", "family" : "Horn", "given" : "Heike", "non-dropping-particle" : "", "parse-names" : false, "suffix" : "" }, { "dropping-particle" : "", "family" : "Dreyling", "given" : "Martin H.", "non-dropping-particle" : "", "parse-names" : false, "suffix" : "" }, { "dropping-particle" : "", "family" : "Rosenwald", "given" : "Andreas", "non-dropping-particle" : "", "parse-names" : false, "suffix" : "" }, { "dropping-particle" : "", "family" : "Ott", "given" : "German", "non-dropping-particle" : "", "parse-names" : false, "suffix" : "" }, { "dropping-particle" : "", "family" : "Klapper", "given" : "Wolfram", "non-dropping-particle" : "", "parse-names" : false, "suffix" : "" }, { "dropping-particle" : "", "family" : "Zelenetz", "given" : "Andrew D.", "non-dropping-particle" : "", "parse-names" : false, "suffix" : "" }, { "dropping-particle" : "", "family" : "Barr", "given" : "Paul M.", "non-dropping-particle" : "", "parse-names" : false, "suffix" : "" }, { "dropping-particle" : "", "family" : "Friedberg", "given" : "Jonathan W.", "non-dropping-particle" : "", "parse-names" : false, "suffix" : "" }, { "dropping-particle" : "", "family" : "Ansell", "given" : "Stephen", "non-dropping-particle" : "", "parse-names" : false, "suffix" : "" }, { "dropping-particle" : "", "family" : "Sehn", "given" : "Laurie H.", "non-dropping-particle" : "", "parse-names" : false, "suffix" : "" }, { "dropping-particle" : "", "family" : "Connors", "given" : "Joseph M.", "non-dropping-particle" : "", "parse-names" : false, "suffix" : "" }, { "dropping-particle" : "", "family" : "Gascoyne", "given" : "Randy D.", "non-dropping-particle" : "", "parse-names" : false, "suffix" : "" }, { "dropping-particle" : "", "family" : "Hiddemann", "given" : "Wolfgang", "non-dropping-particle" : "", "parse-names" : false, "suffix" : "" }, { "dropping-particle" : "", "family" : "Unterhalt", "given" : "Michael", "non-dropping-particle" : "", "parse-names" : false, "suffix" : "" }, { "dropping-particle" : "", "family" : "Weinstock", "given" : "David M.", "non-dropping-particle" : "", "parse-names" : false, "suffix" : "" }, { "dropping-particle" : "", "family" : "Weigert", "given" : "Oliver", "non-dropping-particle" : "", "parse-names" : false, "suffix" : "" } ], "container-title" : "Blood", "id" : "ITEM-1", "issue" : "8", "issued" : { "date-parts" : [ [ "2016" ] ] }, "page" : "1112-1120", "title" : "Clinicogenetic risk models predict early progression of follicular lymphoma after first-line immunochemotherapy", "type" : "article-journal", "volume" : "128" }, "uris" : [ "http://www.mendeley.com/documents/?uuid=26e9fcbc-6840-4279-b896-66e31aaf2ca2", "http://www.mendeley.com/documents/?uuid=b348cd21-48e9-417b-be29-841c4eaadade" ] } ], "mendeley" : { "formattedCitation" : "(15)", "plainTextFormattedCitation" : "(15)", "previouslyFormattedCitation" : "(15)"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(15)</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w:t>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p>
    <w:p w:rsidR="00295834" w:rsidRPr="0025576A" w:rsidRDefault="00295834" w:rsidP="0025576A">
      <w:pPr>
        <w:autoSpaceDE w:val="0"/>
        <w:autoSpaceDN w:val="0"/>
        <w:adjustRightInd w:val="0"/>
        <w:spacing w:line="360" w:lineRule="auto"/>
        <w:jc w:val="both"/>
        <w:rPr>
          <w:rFonts w:ascii="Arial" w:hAnsi="Arial" w:cs="Arial"/>
          <w:b/>
          <w:bCs/>
          <w:color w:val="222222"/>
          <w:shd w:val="clear" w:color="auto" w:fill="FFFFFF"/>
          <w:lang w:val="en-US"/>
        </w:rPr>
      </w:pPr>
      <w:r w:rsidRPr="0025576A">
        <w:rPr>
          <w:rFonts w:ascii="Arial" w:hAnsi="Arial" w:cs="Arial"/>
          <w:b/>
          <w:bCs/>
          <w:color w:val="222222"/>
          <w:shd w:val="clear" w:color="auto" w:fill="FFFFFF"/>
          <w:lang w:val="en-US"/>
        </w:rPr>
        <w:t>23 genes predictor</w:t>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 xml:space="preserve">A similar effort to improve prognostication of FL patients using biomarker analysis was recently published by the LYSA group that used a gene-expression profiling approach. The study was based on the gene expression analysis of 160 untreated patients with high-tumor-burden FL patients enrolled in the phase 3 randomized PRIMA trial and results validated using three independent international patient cohorts from LYSA, University of Iowa/Mayo Clinic Lymphoma SPORE, and the Barcelona Hospital Clinic. The study retained the </w:t>
      </w:r>
      <w:r w:rsidRPr="0025576A">
        <w:rPr>
          <w:rFonts w:ascii="Arial" w:hAnsi="Arial" w:cs="Arial"/>
          <w:bCs/>
          <w:color w:val="222222"/>
          <w:shd w:val="clear" w:color="auto" w:fill="FFFFFF"/>
          <w:lang w:val="en-US"/>
        </w:rPr>
        <w:lastRenderedPageBreak/>
        <w:t>expression levels of 23 out of 395 genes that were associated with a risk of progression to build a predictive model that identified a population at an increased risk of progression. This panel included genes previously described to be involved in </w:t>
      </w:r>
      <w:r w:rsidR="00F25F9B">
        <w:fldChar w:fldCharType="begin"/>
      </w:r>
      <w:r w:rsidR="00F25F9B" w:rsidRPr="00F33B39">
        <w:rPr>
          <w:lang w:val="en-US"/>
        </w:rPr>
        <w:instrText xml:space="preserve"> HYPERLINK "https://www.sciencedirect.com/topics/medicine-and-dentistry/b-cell-development" \o "Learn more about B Cell Development" </w:instrText>
      </w:r>
      <w:r w:rsidR="00F25F9B">
        <w:fldChar w:fldCharType="separate"/>
      </w:r>
      <w:r w:rsidRPr="0025576A">
        <w:rPr>
          <w:rFonts w:ascii="Arial" w:hAnsi="Arial" w:cs="Arial"/>
          <w:bCs/>
          <w:color w:val="222222"/>
          <w:shd w:val="clear" w:color="auto" w:fill="FFFFFF"/>
          <w:lang w:val="en-US"/>
        </w:rPr>
        <w:t>B-cell development</w:t>
      </w:r>
      <w:r w:rsidR="00F25F9B">
        <w:rPr>
          <w:rFonts w:ascii="Arial" w:hAnsi="Arial" w:cs="Arial"/>
          <w:bCs/>
          <w:color w:val="222222"/>
          <w:shd w:val="clear" w:color="auto" w:fill="FFFFFF"/>
          <w:lang w:val="en-US"/>
        </w:rPr>
        <w:fldChar w:fldCharType="end"/>
      </w:r>
      <w:r w:rsidRPr="00860BE4">
        <w:rPr>
          <w:lang w:val="en-GB"/>
        </w:rPr>
        <w:t xml:space="preserve"> </w:t>
      </w:r>
      <w:r w:rsidRPr="0025576A">
        <w:rPr>
          <w:rFonts w:ascii="Arial" w:hAnsi="Arial" w:cs="Arial"/>
          <w:bCs/>
          <w:color w:val="222222"/>
          <w:shd w:val="clear" w:color="auto" w:fill="FFFFFF"/>
          <w:lang w:val="en-US"/>
        </w:rPr>
        <w:t>(VPREB1, FOXO1, FCRL2, AFF3, TCF4), </w:t>
      </w:r>
      <w:r w:rsidR="00F25F9B">
        <w:fldChar w:fldCharType="begin"/>
      </w:r>
      <w:r w:rsidR="00F25F9B" w:rsidRPr="00F33B39">
        <w:rPr>
          <w:lang w:val="en-US"/>
        </w:rPr>
        <w:instrText xml:space="preserve"> HYPERLINK "https://www.sciencedirect.com/topics/medicine-</w:instrText>
      </w:r>
      <w:r w:rsidR="00F25F9B" w:rsidRPr="00F33B39">
        <w:rPr>
          <w:lang w:val="en-US"/>
        </w:rPr>
        <w:instrText xml:space="preserve">and-dentistry/apoptosis" \o "Learn more about Apoptosis" </w:instrText>
      </w:r>
      <w:r w:rsidR="00F25F9B">
        <w:fldChar w:fldCharType="separate"/>
      </w:r>
      <w:r w:rsidRPr="0025576A">
        <w:rPr>
          <w:rFonts w:ascii="Arial" w:hAnsi="Arial" w:cs="Arial"/>
          <w:bCs/>
          <w:color w:val="222222"/>
          <w:shd w:val="clear" w:color="auto" w:fill="FFFFFF"/>
          <w:lang w:val="en-US"/>
        </w:rPr>
        <w:t>apoptosis</w:t>
      </w:r>
      <w:r w:rsidR="00F25F9B">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DNA damage response (RASSF6, GADD45A), </w:t>
      </w:r>
      <w:r w:rsidR="00F25F9B">
        <w:fldChar w:fldCharType="begin"/>
      </w:r>
      <w:r w:rsidR="00F25F9B" w:rsidRPr="00F33B39">
        <w:rPr>
          <w:lang w:val="en-US"/>
        </w:rPr>
        <w:instrText xml:space="preserve"> HYPERLINK "https://www.sciencedirect.com/topics/medicine-and-dentistry/cell-cycle" \o "Learn more about Cell cycle" </w:instrText>
      </w:r>
      <w:r w:rsidR="00F25F9B">
        <w:fldChar w:fldCharType="separate"/>
      </w:r>
      <w:r w:rsidRPr="0025576A">
        <w:rPr>
          <w:rFonts w:ascii="Arial" w:hAnsi="Arial" w:cs="Arial"/>
          <w:bCs/>
          <w:color w:val="222222"/>
          <w:shd w:val="clear" w:color="auto" w:fill="FFFFFF"/>
          <w:lang w:val="en-US"/>
        </w:rPr>
        <w:t>cell cycle</w:t>
      </w:r>
      <w:r w:rsidR="00F25F9B">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(E2F5, USP44), cell migration (CXCR4, SEMA4B, EML6, DCAF12, VCL, RGS10), </w:t>
      </w:r>
      <w:r w:rsidR="00F25F9B">
        <w:fldChar w:fldCharType="begin"/>
      </w:r>
      <w:r w:rsidR="00F25F9B" w:rsidRPr="00F33B39">
        <w:rPr>
          <w:lang w:val="en-US"/>
        </w:rPr>
        <w:instrText xml:space="preserve"> HYPERLINK "https://www.sciencedirect.com/topics/medicine-and-dentistry/immune-regulation" \o "Learn more about Immune Regulation" </w:instrText>
      </w:r>
      <w:r w:rsidR="00F25F9B">
        <w:fldChar w:fldCharType="separate"/>
      </w:r>
      <w:r w:rsidRPr="0025576A">
        <w:rPr>
          <w:rFonts w:ascii="Arial" w:hAnsi="Arial" w:cs="Arial"/>
          <w:bCs/>
          <w:color w:val="222222"/>
          <w:shd w:val="clear" w:color="auto" w:fill="FFFFFF"/>
          <w:lang w:val="en-US"/>
        </w:rPr>
        <w:t>immune regulation</w:t>
      </w:r>
      <w:r w:rsidR="00F25F9B">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(CXCR4, KIAA0040, TAGAP, ORAI2, KIAA0040, METRNL), and other processes (PRDM15, ABCB1, ALDH2, SHISA8). In a multivariate Cox model for progression-free survival adjusted on rituximab maintenance tr</w:t>
      </w:r>
      <w:r>
        <w:rPr>
          <w:rFonts w:ascii="Arial" w:hAnsi="Arial" w:cs="Arial"/>
          <w:bCs/>
          <w:color w:val="222222"/>
          <w:shd w:val="clear" w:color="auto" w:fill="FFFFFF"/>
          <w:lang w:val="en-US"/>
        </w:rPr>
        <w:t>eatment and FLIPI, this score</w:t>
      </w:r>
      <w:r w:rsidRPr="0025576A">
        <w:rPr>
          <w:rFonts w:ascii="Arial" w:hAnsi="Arial" w:cs="Arial"/>
          <w:bCs/>
          <w:color w:val="222222"/>
          <w:shd w:val="clear" w:color="auto" w:fill="FFFFFF"/>
          <w:lang w:val="en-US"/>
        </w:rPr>
        <w:t xml:space="preserve"> independently predicted progression with a HR of the high-risk group compared with the low-risk group of 3·68 (P=&lt;0.001). The </w:t>
      </w:r>
      <w:proofErr w:type="gramStart"/>
      <w:r w:rsidRPr="0025576A">
        <w:rPr>
          <w:rFonts w:ascii="Arial" w:hAnsi="Arial" w:cs="Arial"/>
          <w:bCs/>
          <w:color w:val="222222"/>
          <w:shd w:val="clear" w:color="auto" w:fill="FFFFFF"/>
          <w:lang w:val="en-US"/>
        </w:rPr>
        <w:t>hi</w:t>
      </w:r>
      <w:r>
        <w:rPr>
          <w:rFonts w:ascii="Arial" w:hAnsi="Arial" w:cs="Arial"/>
          <w:bCs/>
          <w:color w:val="222222"/>
          <w:shd w:val="clear" w:color="auto" w:fill="FFFFFF"/>
          <w:lang w:val="en-US"/>
        </w:rPr>
        <w:t>gh risk</w:t>
      </w:r>
      <w:proofErr w:type="gramEnd"/>
      <w:r>
        <w:rPr>
          <w:rFonts w:ascii="Arial" w:hAnsi="Arial" w:cs="Arial"/>
          <w:bCs/>
          <w:color w:val="222222"/>
          <w:shd w:val="clear" w:color="auto" w:fill="FFFFFF"/>
          <w:lang w:val="en-US"/>
        </w:rPr>
        <w:t xml:space="preserve"> group accounted for 21% </w:t>
      </w:r>
      <w:r w:rsidRPr="0025576A">
        <w:rPr>
          <w:rFonts w:ascii="Arial" w:hAnsi="Arial" w:cs="Arial"/>
          <w:bCs/>
          <w:color w:val="222222"/>
          <w:shd w:val="clear" w:color="auto" w:fill="FFFFFF"/>
          <w:lang w:val="en-US"/>
        </w:rPr>
        <w:t xml:space="preserve">to 35% of patients in the different series and the 5-year PFS for the training set was 26% (95% CI 16–43) in the high-risk group and 73% (64–83) in the low-risk group. </w:t>
      </w:r>
      <w:r>
        <w:rPr>
          <w:rFonts w:ascii="Arial" w:hAnsi="Arial" w:cs="Arial"/>
          <w:bCs/>
          <w:color w:val="222222"/>
          <w:shd w:val="clear" w:color="auto" w:fill="FFFFFF"/>
          <w:lang w:val="en-US"/>
        </w:rPr>
        <w:t>These r</w:t>
      </w:r>
      <w:r w:rsidRPr="0025576A">
        <w:rPr>
          <w:rFonts w:ascii="Arial" w:hAnsi="Arial" w:cs="Arial"/>
          <w:bCs/>
          <w:color w:val="222222"/>
          <w:shd w:val="clear" w:color="auto" w:fill="FFFFFF"/>
          <w:lang w:val="en-US"/>
        </w:rPr>
        <w:t>esults were confirmed in each validation group and in a combined validation cohort. In a multivariate analysis, the score predicted progression-free survival independently of anti-CD20 maintenance treatment and of the FLIPI score. In the combined validation cohort, the proportion of patients with POD24 was 19% (95% CI 15–24%) in patients with a low predictor score (low-risk group) but 38% (29–46%) in patients with a high predictor score (high-risk group), showin</w:t>
      </w:r>
      <w:r>
        <w:rPr>
          <w:rFonts w:ascii="Arial" w:hAnsi="Arial" w:cs="Arial"/>
          <w:bCs/>
          <w:color w:val="222222"/>
          <w:shd w:val="clear" w:color="auto" w:fill="FFFFFF"/>
          <w:lang w:val="en-US"/>
        </w:rPr>
        <w:t>g the model's ability to identify</w:t>
      </w:r>
      <w:r w:rsidRPr="0025576A">
        <w:rPr>
          <w:rFonts w:ascii="Arial" w:hAnsi="Arial" w:cs="Arial"/>
          <w:bCs/>
          <w:color w:val="222222"/>
          <w:shd w:val="clear" w:color="auto" w:fill="FFFFFF"/>
          <w:lang w:val="en-US"/>
        </w:rPr>
        <w:t xml:space="preserve"> early relapse. Finally, the score was not prognostic for OS. </w:t>
      </w:r>
      <w:r>
        <w:rPr>
          <w:rFonts w:ascii="Arial" w:hAnsi="Arial" w:cs="Arial"/>
          <w:bCs/>
          <w:color w:val="222222"/>
          <w:shd w:val="clear" w:color="auto" w:fill="FFFFFF"/>
          <w:lang w:val="en-US"/>
        </w:rPr>
        <w:fldChar w:fldCharType="begin" w:fldLock="1"/>
      </w:r>
      <w:r w:rsidR="00C555D8">
        <w:rPr>
          <w:rFonts w:ascii="Arial" w:hAnsi="Arial" w:cs="Arial"/>
          <w:bCs/>
          <w:color w:val="222222"/>
          <w:shd w:val="clear" w:color="auto" w:fill="FFFFFF"/>
          <w:lang w:val="en-US"/>
        </w:rPr>
        <w:instrText>ADDIN CSL_CITATION { "citationItems" : [ { "id" : "ITEM-1", "itemData" : { "DOI" : "10.1016/S1470-2045(18)30102-5", "ISSN" : "14745488", "PMID" : "29475724", "abstract" : "Background: Patients with follicular lymphoma have heterogeneous outcomes. Predictor models to distinguish, at diagnosis, between patients at high and low risk of progression are needed. The objective of this study was to use gene-expression profiling data to build and validate a predictive model of outcome for patients treated in the rituximab era. Methods: A training set of fresh-frozen tumour biopsies was prospectively obtained from 160 untreated patients with high-tumour-burden follicular lymphoma enrolled in the phase 3 randomised PRIMA trial, in which rituximab maintenance was evaluated after rituximab plus chemotherapy induction (median follow-up 6\u00b76 years [IQR 6\u00b70\u20137\u00b70]). RNA of sufficient quality was obtained for 149 of 160 cases, and Affymetrix U133 Plus 2.0 microarrays were used for gene-expression profiling. We did a multivariate Cox regression analysis to identify genes with expression levels associated with progression-free survival independently of maintenance treatment in a subgroup of 134 randomised patients. Expression levels from 95 curated genes were then determined by digital expression profiling (NanoString technology) in 53 formalin-fixed paraffin-embedded samples of the training set to compare the technical reproducibility of expression levels for each gene between technologies. Genes with high correlation (&gt;0\u00b775) were included in an L2-penalised Cox model adjusted on rituximab maintenance to build a predictive score for progression-free survival. The model was validated using NanoString technology to digitally quantify gene expression in 488 formalin-fixed, paraffin-embedded samples from three independent international patient cohorts from the PRIMA trial (n=178; distinct from the training cohort), the University of Iowa/Mayo Clinic Lymphoma SPORE project (n=201), and the Barcelona Hospital Clinic (n=109). All tissue samples consisted of pretreatment diagnostic biopsies and were confirmed as follicular lymphoma grade 1\u20133a. The patients were all treated with regimens containing rituximab and chemotherapy, possibly followed by either rituximab maintenance or ibritumomab\u2013tiuxetan consolidation. We determined an optimum threshold on the score to predict patients at low risk and high risk of progression. The model, including the multigene score and the threshold, was initially evaluated in the three validation cohorts separately. The sensitivity and specificity of the score for the prediction of the risk of lymphoma progression at 2 y\u2026", "author" : [ { "dropping-particle" : "", "family" : "Huet", "given" : "Sarah", "non-dropping-particle" : "", "parse-names" : false, "suffix" : "" }, { "dropping-particle" : "", "family" : "Tesson", "given" : "Bruno", "non-dropping-particle" : "", "parse-names" : false, "suffix" : "" }, { "dropping-particle" : "", "family" : "Jais", "given" : "Jean Philippe", "non-dropping-particle" : "", "parse-names" : false, "suffix" : "" }, { "dropping-particle" : "", "family" : "Feldman", "given" : "Andrew L.", "non-dropping-particle" : "", "parse-names" : false, "suffix" : "" }, { "dropping-particle" : "", "family" : "Magnano", "given" : "Laura", "non-dropping-particle" : "", "parse-names" : false, "suffix" : "" }, { "dropping-particle" : "", "family" : "Thomas", "given" : "Emilie", "non-dropping-particle" : "", "parse-names" : false, "suffix" : "" }, { "dropping-particle" : "", "family" : "Traverse-Glehen", "given" : "Alexandra", "non-dropping-particle" : "", "parse-names" : false, "suffix" : "" }, { "dropping-particle" : "", "family" : "Albaud", "given" : "Benoit", "non-dropping-particle" : "", "parse-names" : false, "suffix" : "" }, { "dropping-particle" : "", "family" : "Carr\u00e8re", "given" : "Marjorie", "non-dropping-particle" : "", "parse-names" : false, "suffix" : "" }, { "dropping-particle" : "", "family" : "Xerri", "given" : "Luc", "non-dropping-particle" : "", "parse-names" : false, "suffix" : "" }, { "dropping-particle" : "", "family" : "Ansell", "given" : "Stephen M.", "non-dropping-particle" : "", "parse-names" : false, "suffix" : "" }, { "dropping-particle" : "", "family" : "Baseggio", "given" : "Lucile", "non-dropping-particle" : "", "parse-names" : false, "suffix" : "" }, { "dropping-particle" : "", "family" : "Reyes", "given" : "C\u00e9cile", "non-dropping-particle" : "", "parse-names" : false, "suffix" : "" }, { "dropping-particle" : "", "family" : "Tarte", "given" : "Karin", "non-dropping-particle" : "", "parse-names" : false, "suffix" : "" }, { "dropping-particle" : "", "family" : "Boyault", "given" : "Sandrine", "non-dropping-particle" : "", "parse-names" : false, "suffix" : "" }, { "dropping-particle" : "", "family" : "Haioun", "given" : "Corinne", "non-dropping-particle" : "", "parse-names" : false, "suffix" : "" }, { "dropping-particle" : "", "family" : "Link", "given" : "Brian K.", "non-dropping-particle" : "", "parse-names" : false, "suffix" : "" }, { "dropping-particle" : "", "family" : "Feugier", "given" : "Pierre", "non-dropping-particle" : "", "parse-names" : false, "suffix" : "" }, { "dropping-particle" : "", "family" : "Lopez-Guillermo", "given" : "Armando", "non-dropping-particle" : "", "parse-names" : false, "suffix" : "" }, { "dropping-particle" : "", "family" : "Tilly", "given" : "Herv\u00e9", "non-dropping-particle" : "", "parse-names" : false, "suffix" : "" }, { "dropping-particle" : "", "family" : "Brice", "given" : "Pauline", "non-dropping-particle" : "", "parse-names" : false, "suffix" : "" }, { "dropping-particle" : "", "family" : "Hayette", "given" : "Sandrine", "non-dropping-particle" : "", "parse-names" : false, "suffix" : "" }, { "dropping-particle" : "", "family" : "Jardin", "given" : "Fabrice", "non-dropping-particle" : "", "parse-names" : false, "suffix" : "" }, { "dropping-particle" : "", "family" : "Offner", "given" : "Fritz", "non-dropping-particle" : "", "parse-names" : false, "suffix" : "" }, { "dropping-particle" : "", "family" : "Sujobert", "given" : "Pierre", "non-dropping-particle" : "", "parse-names" : false, "suffix" : "" }, { "dropping-particle" : "", "family" : "Gentien", "given" : "David", "non-dropping-particle" : "", "parse-names" : false, "suffix" : "" }, { "dropping-particle" : "", "family" : "Viari", "given" : "Alain", "non-dropping-particle" : "", "parse-names" : false, "suffix" : "" }, { "dropping-particle" : "", "family" : "Campo", "given" : "Elias", "non-dropping-particle" : "", "parse-names" : false, "suffix" : "" }, { "dropping-particle" : "", "family" : "Cerhan", "given" : "James R.", "non-dropping-particle" : "", "parse-names" : false, "suffix" : "" }, { "dropping-particle" : "", "family" : "Salles", "given" : "Gilles", "non-dropping-particle" : "", "parse-names" : false, "suffix" : "" } ], "container-title" : "The Lancet Oncology", "id" : "ITEM-1", "issue" : "4", "issued" : { "date-parts" : [ [ "2018" ] ] }, "page" : "549-561", "title" : "A gene-expression profiling score for prediction of outcome in patients with follicular lymphoma: a retrospective training and validation analysis in three international cohorts", "type" : "article-journal", "volume" : "19" }, "uris" : [ "http://www.mendeley.com/documents/?uuid=157d4105-b98c-4a37-9a59-3c9ef8aefee1", "http://www.mendeley.com/documents/?uuid=435a9d57-9c71-45fd-95b9-251857bc18eb" ] } ], "mendeley" : { "formattedCitation" : "(16)", "plainTextFormattedCitation" : "(16)", "previouslyFormattedCitation" : "(16)"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(16)</w:t>
      </w:r>
      <w:r>
        <w:rPr>
          <w:rFonts w:ascii="Arial" w:hAnsi="Arial" w:cs="Arial"/>
          <w:bCs/>
          <w:color w:val="222222"/>
          <w:shd w:val="clear" w:color="auto" w:fill="FFFFFF"/>
          <w:lang w:val="en-US"/>
        </w:rPr>
        <w:fldChar w:fldCharType="end"/>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Considered together both m7-FLIPI and the 23 gene model represent an important methodological step forward in the prognostic assessment of patients wi</w:t>
      </w:r>
      <w:r>
        <w:rPr>
          <w:rFonts w:ascii="Arial" w:hAnsi="Arial" w:cs="Arial"/>
          <w:bCs/>
          <w:color w:val="222222"/>
          <w:shd w:val="clear" w:color="auto" w:fill="FFFFFF"/>
          <w:lang w:val="en-US"/>
        </w:rPr>
        <w:t xml:space="preserve">th FL and in the definition of </w:t>
      </w:r>
      <w:proofErr w:type="gramStart"/>
      <w:r>
        <w:rPr>
          <w:rFonts w:ascii="Arial" w:hAnsi="Arial" w:cs="Arial"/>
          <w:bCs/>
          <w:color w:val="222222"/>
          <w:shd w:val="clear" w:color="auto" w:fill="FFFFFF"/>
          <w:lang w:val="en-US"/>
        </w:rPr>
        <w:t>h</w:t>
      </w:r>
      <w:r w:rsidRPr="0025576A">
        <w:rPr>
          <w:rFonts w:ascii="Arial" w:hAnsi="Arial" w:cs="Arial"/>
          <w:bCs/>
          <w:color w:val="222222"/>
          <w:shd w:val="clear" w:color="auto" w:fill="FFFFFF"/>
          <w:lang w:val="en-US"/>
        </w:rPr>
        <w:t>igh risk</w:t>
      </w:r>
      <w:proofErr w:type="gramEnd"/>
      <w:r w:rsidRPr="0025576A">
        <w:rPr>
          <w:rFonts w:ascii="Arial" w:hAnsi="Arial" w:cs="Arial"/>
          <w:bCs/>
          <w:color w:val="222222"/>
          <w:shd w:val="clear" w:color="auto" w:fill="FFFFFF"/>
          <w:lang w:val="en-US"/>
        </w:rPr>
        <w:t xml:space="preserve"> patients. </w:t>
      </w:r>
      <w:r w:rsidR="00753DF5" w:rsidRPr="0025576A">
        <w:rPr>
          <w:rFonts w:ascii="Arial" w:hAnsi="Arial" w:cs="Arial"/>
          <w:bCs/>
          <w:color w:val="222222"/>
          <w:shd w:val="clear" w:color="auto" w:fill="FFFFFF"/>
          <w:lang w:val="en-US"/>
        </w:rPr>
        <w:t>However,</w:t>
      </w:r>
      <w:r w:rsidRPr="0025576A">
        <w:rPr>
          <w:rFonts w:ascii="Arial" w:hAnsi="Arial" w:cs="Arial"/>
          <w:bCs/>
          <w:color w:val="222222"/>
          <w:shd w:val="clear" w:color="auto" w:fill="FFFFFF"/>
          <w:lang w:val="en-US"/>
        </w:rPr>
        <w:t xml:space="preserve"> they both show important limitations mainly due to the difficult reproducibility of results and still lack clinical validation in the context of prospective studies and in different subgroups of FL patients (i.e. Low tumor burden cases, and patients treated with novel drugs).</w:t>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p>
    <w:p w:rsidR="00295834" w:rsidRPr="0025576A" w:rsidRDefault="00295834" w:rsidP="0025576A">
      <w:pPr>
        <w:autoSpaceDE w:val="0"/>
        <w:autoSpaceDN w:val="0"/>
        <w:adjustRightInd w:val="0"/>
        <w:spacing w:line="360" w:lineRule="auto"/>
        <w:jc w:val="both"/>
        <w:rPr>
          <w:rFonts w:ascii="Arial" w:hAnsi="Arial" w:cs="Arial"/>
          <w:b/>
          <w:bCs/>
          <w:color w:val="222222"/>
          <w:shd w:val="clear" w:color="auto" w:fill="FFFFFF"/>
          <w:lang w:val="en-US"/>
        </w:rPr>
      </w:pPr>
      <w:r w:rsidRPr="0025576A">
        <w:rPr>
          <w:rFonts w:ascii="Arial" w:hAnsi="Arial" w:cs="Arial"/>
          <w:b/>
          <w:bCs/>
          <w:color w:val="222222"/>
          <w:shd w:val="clear" w:color="auto" w:fill="FFFFFF"/>
          <w:lang w:val="en-US"/>
        </w:rPr>
        <w:t xml:space="preserve">Postinduction prognostic </w:t>
      </w:r>
      <w:r>
        <w:rPr>
          <w:rFonts w:ascii="Arial" w:hAnsi="Arial" w:cs="Arial"/>
          <w:b/>
          <w:bCs/>
          <w:color w:val="222222"/>
          <w:shd w:val="clear" w:color="auto" w:fill="FFFFFF"/>
          <w:lang w:val="en-US"/>
        </w:rPr>
        <w:t>factors</w:t>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Since radiology assessment was used to define response to therapy in FL</w:t>
      </w:r>
      <w:r>
        <w:rPr>
          <w:rFonts w:ascii="Arial" w:hAnsi="Arial" w:cs="Arial"/>
          <w:bCs/>
          <w:color w:val="222222"/>
          <w:shd w:val="clear" w:color="auto" w:fill="FFFFFF"/>
          <w:lang w:val="en-US"/>
        </w:rPr>
        <w:t>,</w:t>
      </w:r>
      <w:r w:rsidRPr="0025576A">
        <w:rPr>
          <w:rFonts w:ascii="Arial" w:hAnsi="Arial" w:cs="Arial"/>
          <w:bCs/>
          <w:color w:val="222222"/>
          <w:shd w:val="clear" w:color="auto" w:fill="FFFFFF"/>
          <w:lang w:val="en-US"/>
        </w:rPr>
        <w:t xml:space="preserve"> quality of response has rarely been iden</w:t>
      </w:r>
      <w:r>
        <w:rPr>
          <w:rFonts w:ascii="Arial" w:hAnsi="Arial" w:cs="Arial"/>
          <w:bCs/>
          <w:color w:val="222222"/>
          <w:shd w:val="clear" w:color="auto" w:fill="FFFFFF"/>
          <w:lang w:val="en-US"/>
        </w:rPr>
        <w:t>ti</w:t>
      </w:r>
      <w:r w:rsidRPr="0025576A">
        <w:rPr>
          <w:rFonts w:ascii="Arial" w:hAnsi="Arial" w:cs="Arial"/>
          <w:bCs/>
          <w:color w:val="222222"/>
          <w:shd w:val="clear" w:color="auto" w:fill="FFFFFF"/>
          <w:lang w:val="en-US"/>
        </w:rPr>
        <w:t>fied as prognostic for PFS or OS</w:t>
      </w:r>
      <w:r>
        <w:rPr>
          <w:rFonts w:ascii="Arial" w:hAnsi="Arial" w:cs="Arial"/>
          <w:bCs/>
          <w:color w:val="222222"/>
          <w:shd w:val="clear" w:color="auto" w:fill="FFFFFF"/>
          <w:lang w:val="en-US"/>
        </w:rPr>
        <w:fldChar w:fldCharType="begin" w:fldLock="1"/>
      </w:r>
      <w:r w:rsidR="00C555D8">
        <w:rPr>
          <w:rFonts w:ascii="Arial" w:hAnsi="Arial" w:cs="Arial"/>
          <w:bCs/>
          <w:color w:val="222222"/>
          <w:shd w:val="clear" w:color="auto" w:fill="FFFFFF"/>
          <w:lang w:val="en-US"/>
        </w:rPr>
        <w:instrText>ADDIN CSL_CITATION { "citationItems" : [ { "id" : "ITEM-1", "itemData" : { "DOI" : "10.1200/JCO.2009.22.7819", "abstract" : "PURPOSE First-line treatment for patients with newly diagnosed follicular lymphoma (FL) still remains debated, even in the rituximab-based combination therapy era. Few studies have addressed the question whether complete remission (CR) translates into better survival. The aim of this study was to assess the long-term follow-up of prospectively treated patients with FL and the potential correlation between response quality to first-line treatment and overall survival (OS). PATIENTS AND METHODS Data from 536 patients with FL with low (n = 193) or high (n = 343) tumor burden enrolled from October 1986 to May 1995 in the French and Belgian GELF86 studies were analyzed. Data from these trials have been previously reported for low-tumor burden and high-tumor burden patients. Results Median follow-up was 14.9 years, and median OS was 9.8 years. Treated patients who achieved a complete response (CR; n = 194; 45%) had a significant longer OS than those only reaching a partial response (PR; n = 168; 39%) throughout treatment (hazard ratio [HR], 0.55; 95% CI, 0.42 to 0.72; P &lt; .001) in an univariate time-dependent Cox model. Similar findings were found when response to treatment (CR v PR) was adjusted for potentially confounding factors in a multivariate model (HR, 0.53; 95% CI, 0.38 to 0.73; P &lt; .001). CONCLUSION These data provide a long follow-up of these patients' cohorts and indicate that a better response to first-line treatment translates into an improved survival for patients with FL. Therefore, response-adapted therapy aiming to achieve a CR should be considered as first-line treatment.", "author" : [ { "dropping-particle" : "", "family" : "Bachy", "given" : "E", "non-dropping-particle" : "", "parse-names" : false, "suffix" : "" }, { "dropping-particle" : "", "family" : "Brice", "given" : "P", "non-dropping-particle" : "", "parse-names" : false, "suffix" : "" }, { "dropping-particle" : "", "family" : "Delarue", "given" : "R", "non-dropping-particle" : "", "parse-names" : false, "suffix" : "" }, { "dropping-particle" : "", "family" : "Brousse", "given" : "N", "non-dropping-particle" : "", "parse-names" : false, "suffix" : "" }, { "dropping-particle" : "", "family" : "Haioun", "given" : "C", "non-dropping-particle" : "", "parse-names" : false, "suffix" : "" }, { "dropping-particle" : "", "family" : "Gouill", "given" : "S", "non-dropping-particle" : "Le", "parse-names" : false, "suffix" : "" }, { "dropping-particle" : "", "family" : "Delmer", "given" : "A", "non-dropping-particle" : "", "parse-names" : false, "suffix" : "" }, { "dropping-particle" : "", "family" : "Bordessoule", "given" : "D", "non-dropping-particle" : "", "parse-names" : false, "suffix" : "" }, { "dropping-particle" : "", "family" : "Tilly", "given" : "H", "non-dropping-particle" : "", "parse-names" : false, "suffix" : "" }, { "dropping-particle" : "", "family" : "Corront", "given" : "B", "non-dropping-particle" : "", "parse-names" : false, "suffix" : "" }, { "dropping-particle" : "", "family" : "Allard", "given" : "C", "non-dropping-particle" : "", "parse-names" : false, "suffix" : "" }, { "dropping-particle" : "", "family" : "Foussard", "given" : "C", "non-dropping-particle" : "", "parse-names" : false, "suffix" : "" }, { "dropping-particle" : "", "family" : "Bosly", "given" : "A", "non-dropping-particle" : "", "parse-names" : false, "suffix" : "" }, { "dropping-particle" : "", "family" : "Coiffier", "given" : "B", "non-dropping-particle" : "", "parse-names" : false, "suffix" : "" }, { "dropping-particle" : "", "family" : "Gisselbrecht", "given" : "C", "non-dropping-particle" : "", "parse-names" : false, "suffix" : "" }, { "dropping-particle" : "", "family" : "Solal-Celigny", "given" : "P", "non-dropping-particle" : "", "parse-names" : false, "suffix" : "" }, { "dropping-particle" : "", "family" : "Salles", "given" : "G", "non-dropping-particle" : "", "parse-names" : false, "suffix" : "" } ], "container-title" : "J Clin Oncol", "id" : "ITEM-1", "issue" : "5", "issued" : { "date-parts" : [ [ "2010" ] ] }, "page" : "822-829", "title" : "Long-term follow-up of patients with newly diagnosed follicular lymphoma in the prerituximab era: effect of response quality on survival--A study from the groupe d&amp;apos;etude des lymphomes de l&amp;apos;adulte", "type" : "article-journal", "volume" : "28" }, "uris" : [ "http://www.mendeley.com/documents/?uuid=5c52fcd4-5b42-4db5-95db-8f0868f844a2", "http://www.mendeley.com/documents/?uuid=9af687d6-cdbc-46f5-a89c-a1ae14bff135" ] } ], "mendeley" : { "formattedCitation" : "(17)", "plainTextFormattedCitation" : "(17)", "previouslyFormattedCitation" : "(17)"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(17)</w:t>
      </w:r>
      <w:r>
        <w:rPr>
          <w:rFonts w:ascii="Arial" w:hAnsi="Arial" w:cs="Arial"/>
          <w:bCs/>
          <w:color w:val="222222"/>
          <w:shd w:val="clear" w:color="auto" w:fill="FFFFFF"/>
          <w:lang w:val="en-US"/>
        </w:rPr>
        <w:fldChar w:fldCharType="end"/>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 xml:space="preserve">Recently response to therapy assessed either with FDG PET or with high sensitive molecular techniques targeting the </w:t>
      </w:r>
      <w:proofErr w:type="gramStart"/>
      <w:r w:rsidRPr="0025576A">
        <w:rPr>
          <w:rFonts w:ascii="Arial" w:hAnsi="Arial" w:cs="Arial"/>
          <w:bCs/>
          <w:color w:val="222222"/>
          <w:shd w:val="clear" w:color="auto" w:fill="FFFFFF"/>
          <w:lang w:val="en-US"/>
        </w:rPr>
        <w:t>t(</w:t>
      </w:r>
      <w:proofErr w:type="gramEnd"/>
      <w:r w:rsidRPr="0025576A">
        <w:rPr>
          <w:rFonts w:ascii="Arial" w:hAnsi="Arial" w:cs="Arial"/>
          <w:bCs/>
          <w:color w:val="222222"/>
          <w:shd w:val="clear" w:color="auto" w:fill="FFFFFF"/>
          <w:lang w:val="en-US"/>
        </w:rPr>
        <w:t>14;</w:t>
      </w:r>
      <w:r>
        <w:rPr>
          <w:rFonts w:ascii="Arial" w:hAnsi="Arial" w:cs="Arial"/>
          <w:bCs/>
          <w:color w:val="222222"/>
          <w:shd w:val="clear" w:color="auto" w:fill="FFFFFF"/>
          <w:lang w:val="en-US"/>
        </w:rPr>
        <w:t>18) chromosomal translocation (m</w:t>
      </w:r>
      <w:r w:rsidRPr="0025576A">
        <w:rPr>
          <w:rFonts w:ascii="Arial" w:hAnsi="Arial" w:cs="Arial"/>
          <w:bCs/>
          <w:color w:val="222222"/>
          <w:shd w:val="clear" w:color="auto" w:fill="FFFFFF"/>
          <w:lang w:val="en-US"/>
        </w:rPr>
        <w:t xml:space="preserve">inimal residual </w:t>
      </w:r>
      <w:r w:rsidRPr="0025576A">
        <w:rPr>
          <w:rFonts w:ascii="Arial" w:hAnsi="Arial" w:cs="Arial"/>
          <w:bCs/>
          <w:color w:val="222222"/>
          <w:shd w:val="clear" w:color="auto" w:fill="FFFFFF"/>
          <w:lang w:val="en-US"/>
        </w:rPr>
        <w:lastRenderedPageBreak/>
        <w:t xml:space="preserve">disease – MRD) have been suggested as important prognostic </w:t>
      </w:r>
      <w:r>
        <w:rPr>
          <w:rFonts w:ascii="Arial" w:hAnsi="Arial" w:cs="Arial"/>
          <w:bCs/>
          <w:color w:val="222222"/>
          <w:shd w:val="clear" w:color="auto" w:fill="FFFFFF"/>
          <w:lang w:val="en-US"/>
        </w:rPr>
        <w:t>tools</w:t>
      </w:r>
      <w:r w:rsidRPr="0025576A">
        <w:rPr>
          <w:rFonts w:ascii="Arial" w:hAnsi="Arial" w:cs="Arial"/>
          <w:bCs/>
          <w:color w:val="222222"/>
          <w:shd w:val="clear" w:color="auto" w:fill="FFFFFF"/>
          <w:lang w:val="en-US"/>
        </w:rPr>
        <w:t xml:space="preserve"> and are both identified as pivotal </w:t>
      </w:r>
      <w:r>
        <w:rPr>
          <w:rFonts w:ascii="Arial" w:hAnsi="Arial" w:cs="Arial"/>
          <w:bCs/>
          <w:color w:val="222222"/>
          <w:shd w:val="clear" w:color="auto" w:fill="FFFFFF"/>
          <w:lang w:val="en-US"/>
        </w:rPr>
        <w:t>factors</w:t>
      </w:r>
      <w:r w:rsidRPr="0025576A">
        <w:rPr>
          <w:rFonts w:ascii="Arial" w:hAnsi="Arial" w:cs="Arial"/>
          <w:bCs/>
          <w:color w:val="222222"/>
          <w:shd w:val="clear" w:color="auto" w:fill="FFFFFF"/>
          <w:lang w:val="en-US"/>
        </w:rPr>
        <w:t xml:space="preserve"> to achieve the goal of personalized treatment. </w:t>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p>
    <w:p w:rsidR="00295834" w:rsidRPr="0025576A" w:rsidRDefault="00295834" w:rsidP="0025576A">
      <w:pPr>
        <w:autoSpaceDE w:val="0"/>
        <w:autoSpaceDN w:val="0"/>
        <w:adjustRightInd w:val="0"/>
        <w:spacing w:line="360" w:lineRule="auto"/>
        <w:jc w:val="both"/>
        <w:rPr>
          <w:rFonts w:ascii="Arial" w:hAnsi="Arial" w:cs="Arial"/>
          <w:b/>
          <w:bCs/>
          <w:color w:val="222222"/>
          <w:shd w:val="clear" w:color="auto" w:fill="FFFFFF"/>
          <w:lang w:val="en-US"/>
        </w:rPr>
      </w:pPr>
      <w:r w:rsidRPr="0025576A">
        <w:rPr>
          <w:rFonts w:ascii="Arial" w:hAnsi="Arial" w:cs="Arial"/>
          <w:b/>
          <w:bCs/>
          <w:color w:val="222222"/>
          <w:shd w:val="clear" w:color="auto" w:fill="FFFFFF"/>
          <w:lang w:val="en-US"/>
        </w:rPr>
        <w:t>Metabolic response</w:t>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18-F-fluorodeoxyglucose (FDG)-positron emission tomography (PET), is identified as a strong diagnostic and prognostic</w:t>
      </w:r>
      <w:r>
        <w:rPr>
          <w:rFonts w:ascii="Arial" w:hAnsi="Arial" w:cs="Arial"/>
          <w:bCs/>
          <w:color w:val="222222"/>
          <w:shd w:val="clear" w:color="auto" w:fill="FFFFFF"/>
          <w:lang w:val="en-US"/>
        </w:rPr>
        <w:t xml:space="preserve"> tool in patients with Hodgkin l</w:t>
      </w:r>
      <w:r w:rsidRPr="0025576A">
        <w:rPr>
          <w:rFonts w:ascii="Arial" w:hAnsi="Arial" w:cs="Arial"/>
          <w:bCs/>
          <w:color w:val="222222"/>
          <w:shd w:val="clear" w:color="auto" w:fill="FFFFFF"/>
          <w:lang w:val="en-US"/>
        </w:rPr>
        <w:t>ymphoma</w:t>
      </w:r>
      <w:r>
        <w:rPr>
          <w:rFonts w:ascii="Arial" w:hAnsi="Arial" w:cs="Arial"/>
          <w:bCs/>
          <w:color w:val="222222"/>
          <w:shd w:val="clear" w:color="auto" w:fill="FFFFFF"/>
          <w:lang w:val="en-US"/>
        </w:rPr>
        <w:t>, diffuse large B cell lymphoma</w:t>
      </w:r>
      <w:r w:rsidRPr="0025576A">
        <w:rPr>
          <w:rFonts w:ascii="Arial" w:hAnsi="Arial" w:cs="Arial"/>
          <w:bCs/>
          <w:color w:val="222222"/>
          <w:shd w:val="clear" w:color="auto" w:fill="FFFFFF"/>
          <w:lang w:val="en-US"/>
        </w:rPr>
        <w:t>, prim</w:t>
      </w:r>
      <w:r>
        <w:rPr>
          <w:rFonts w:ascii="Arial" w:hAnsi="Arial" w:cs="Arial"/>
          <w:bCs/>
          <w:color w:val="222222"/>
          <w:shd w:val="clear" w:color="auto" w:fill="FFFFFF"/>
          <w:lang w:val="en-US"/>
        </w:rPr>
        <w:t>ary mediastinal B cell lymphoma and peripheral T-cell Lymphoma</w:t>
      </w:r>
      <w:r w:rsidRPr="0025576A">
        <w:rPr>
          <w:rFonts w:ascii="Arial" w:hAnsi="Arial" w:cs="Arial"/>
          <w:bCs/>
          <w:color w:val="222222"/>
          <w:shd w:val="clear" w:color="auto" w:fill="FFFFFF"/>
          <w:lang w:val="en-US"/>
        </w:rPr>
        <w:t xml:space="preserve">. The prognostic role of metabolic response in FL patient was independently shown in two large retrospective analyses from the PRIMA and from the FOLL05 trials </w:t>
      </w:r>
      <w:r>
        <w:rPr>
          <w:rFonts w:ascii="Arial" w:hAnsi="Arial" w:cs="Arial"/>
          <w:bCs/>
          <w:color w:val="222222"/>
          <w:shd w:val="clear" w:color="auto" w:fill="FFFFFF"/>
          <w:lang w:val="en-US"/>
        </w:rPr>
        <w:t xml:space="preserve">and </w:t>
      </w:r>
      <w:r w:rsidRPr="0025576A">
        <w:rPr>
          <w:rFonts w:ascii="Arial" w:hAnsi="Arial" w:cs="Arial"/>
          <w:bCs/>
          <w:color w:val="222222"/>
          <w:shd w:val="clear" w:color="auto" w:fill="FFFFFF"/>
          <w:lang w:val="en-US"/>
        </w:rPr>
        <w:t xml:space="preserve">from one prospective trial by the LYSA group </w:t>
      </w:r>
      <w:r>
        <w:rPr>
          <w:rFonts w:ascii="Arial" w:hAnsi="Arial" w:cs="Arial"/>
          <w:bCs/>
          <w:color w:val="222222"/>
          <w:shd w:val="clear" w:color="auto" w:fill="FFFFFF"/>
          <w:lang w:val="en-US"/>
        </w:rPr>
        <w:fldChar w:fldCharType="begin" w:fldLock="1"/>
      </w:r>
      <w:r w:rsidR="00C555D8">
        <w:rPr>
          <w:rFonts w:ascii="Arial" w:hAnsi="Arial" w:cs="Arial"/>
          <w:bCs/>
          <w:color w:val="222222"/>
          <w:shd w:val="clear" w:color="auto" w:fill="FFFFFF"/>
          <w:lang w:val="en-US"/>
        </w:rPr>
        <w:instrText>ADDIN CSL_CITATION { "citationItems" : [ { "id" : "ITEM-1", "itemData" : { "DOI" : "10.1093/annonc/mdt562", "ISBN" : "3905942232", "ISSN" : "15698041", "PMID" : "24412823", "abstract" : "BACKGROUND: [18F]fluorodeoxyglucose-positron emission tomography (PET) is emerging as a strong diagnostic and prognostic tool in follicular lymphoma (FL) patients.\\n\\nPATIENTS AND METHODS: In a subset analysis of the FOLL05 trial (NCT00774826), we investigated the prognostic role of post-induction PET (PI-PET) scan. Patients were eligible to this study if they had a PI-PET scan carried out within 3 months from the end of induction immunochemotherapy. Progression-free survival (PFS) was the primary study end point.\\n\\nRESULTS: A total of 202 patients were eligible and analysed for this study. The median age was 55 years (range 33-75). Overall, PI-PET was defined as positive in 49 (24%) patients. Conventional response assessment with CT scan was substantially modified by PET: 15% (22/145) of patients considered as having a complete response (CR) after CT were considered as having partial response (PR) after PI-PET and 53% (30/57) patients considered as having a PR after CT were considered as a CR after PI-PET. With a median follow-up of 34 months, the 3-year PFS was 66% and 35%, respectively, for patients with negative and positive PI-PET (P&lt;0.001). At multivariate analysis, PI-PET (hazard ratio 2.57, 95% confidence interval 1.52-4.34, P&lt;0.001) was independent of conventional response, FLIPI and treatment arm. Also, the prognostic role of PI-PET was maintained within each FLIPI risk group.\\n\\nCONCLUSIONS: In FL patients, PI-PET substantially modifies response assessment and is strongly predictive for the risk of progression. PET should be considered in further updates of response criteria.", "author" : [ { "dropping-particle" : "", "family" : "Luminari", "given" : "Stefano", "non-dropping-particle" : "", "parse-names" : false, "suffix" : "" }, { "dropping-particle" : "", "family" : "Biasoli", "given" : "I.", "non-dropping-particle" : "", "parse-names" : false, "suffix" : "" }, { "dropping-particle" : "", "family" : "Versari", "given" : "A.", "non-dropping-particle" : "", "parse-names" : false, "suffix" : "" }, { "dropping-particle" : "", "family" : "Rattotti", "given" : "S.", "non-dropping-particle" : "", "parse-names" : false, "suffix" : "" }, { "dropping-particle" : "", "family" : "Bottelli", "given" : "C.", "non-dropping-particle" : "", "parse-names" : false, "suffix" : "" }, { "dropping-particle" : "", "family" : "Rusconi", "given" : "C.", "non-dropping-particle" : "", "parse-names" : false, "suffix" : "" }, { "dropping-particle" : "", "family" : "Merli", "given" : "F.", "non-dropping-particle" : "", "parse-names" : false, "suffix" : "" }, { "dropping-particle" : "", "family" : "Spina", "given" : "M.", "non-dropping-particle" : "", "parse-names" : false, "suffix" : "" }, { "dropping-particle" : "", "family" : "Ferreri", "given" : "A. J.M.", "non-dropping-particle" : "", "parse-names" : false, "suffix" : "" }, { "dropping-particle" : "", "family" : "Zinzani", "given" : "P. L.", "non-dropping-particle" : "", "parse-names" : false, "suffix" : "" }, { "dropping-particle" : "", "family" : "Gallamini", "given" : "A.", "non-dropping-particle" : "", "parse-names" : false, "suffix" : "" }, { "dropping-particle" : "", "family" : "Franceschetto", "given" : "A.", "non-dropping-particle" : "", "parse-names" : false, "suffix" : "" }, { "dropping-particle" : "", "family" : "Boccomini", "given" : "C.", "non-dropping-particle" : "", "parse-names" : false, "suffix" : "" }, { "dropping-particle" : "", "family" : "Franceschetti", "given" : "S.", "non-dropping-particle" : "", "parse-names" : false, "suffix" : "" }, { "dropping-particle" : "", "family" : "Salvi", "given" : "F.", "non-dropping-particle" : "", "parse-names" : false, "suffix" : "" }, { "dropping-particle" : "", "family" : "Raimondo", "given" : "F. D.", "non-dropping-particle" : "", "parse-names" : false, "suffix" : "" }, { "dropping-particle" : "", "family" : "Carella", "given" : "A. M.", "non-dropping-particle" : "", "parse-names" : false, "suffix" : "" }, { "dropping-particle" : "", "family" : "Micol", "given" : "Q.", "non-dropping-particle" : "", "parse-names" : false, "suffix" : "" }, { "dropping-particle" : "", "family" : "Balzarotti", "given" : "M.", "non-dropping-particle" : "", "parse-names" : false, "suffix" : "" }, { "dropping-particle" : "", "family" : "Musto", "given" : "P.", "non-dropping-particle" : "", "parse-names" : false, "suffix" : "" }, { "dropping-particle" : "", "family" : "Federico", "given" : "M.", "non-dropping-particle" : "", "parse-names" : false, "suffix" : "" } ], "container-title" : "Annals of Oncology", "id" : "ITEM-1", "issue" : "2", "issued" : { "date-parts" : [ [ "2014" ] ] }, "page" : "442-447", "title" : "The prognostic role of post-induction FDG-PET in patients with follicular lymphoma: A subset analysis from the FOLL05 trial of the Fondazione Italiana Linfomi (FIL)", "type" : "article-journal", "volume" : "25" }, "uris" : [ "http://www.mendeley.com/documents/?uuid=5644f8fb-9537-41a6-94de-6f7a13a9c814", "http://www.mendeley.com/documents/?uuid=3921b190-8594-4ed2-a339-1ea54893b90e" ] }, { "id" : "ITEM-2", "itemData" : { "DOI" : "10.1200/JCO.2011.35.0736", "ISBN" : "0732183X", "ISSN" : "0732183X", "PMID" : "21747087", "abstract" : "PURPOSE The utility of [(18)F]fluorodeoxyglucose (FDG) positron emission tomography-computed tomography (PET-CT) in assessing response at the end of induction therapy is well documented in Hodgkin's and diffuse large B-cell lymphomas, but its role in follicular lymphoma (FL) remains undetermined. We investigated the prognostic significance of PET-CT performed after first-line therapy in patients with FL treated in the prospective Primary Rituximab and Maintenance (PRIMA) study. PATIENTS AND METHODS Results of PET-CT scans performed after induction immunochemotherapy were recorded retrospectively. Patients went on to either observation or rituximab maintenance per protocol independent of the PET-CT result. Patient characteristics and outcomes were then evaluated. Results Of 122 PET-CT scans performed at the end of the induction immunochemotherapy, 32 (26%) were reported as positive by the local investigator. Initial demographic or disease characteristics did not differ between PET-CT-positive (PET-positive) and PET-CT-negative (PET-negative) patients. PET status correlated with conventional response criteria (P &lt; .001). Patients remaining PET positive had a significantly (P &lt; .001) inferior progression-free survival at 42 months of 32.9% (95% CI, 17.2% to 49.5%) compared with 70.7% (95% CI, 59.3% to 79.4%) in those who became PET negative. PET status, but not conventional response (complete response or complete response unconfirmed v partial response) according to IWC 1999, was an independent predictive factor for lymphoma progression. The risk of death was also increased in PET-positive patients (hazard ratio 7.0; P = .0011). CONCLUSION [(18)F]FDG PET-CT status at the end of immunochemotherapy induction in patients with FL is strongly predictive of outcome and should be considered a meaningful clinical end point in future studies.", "author" : [ { "dropping-particle" : "", "family" : "Trotman", "given" : "Judith", "non-dropping-particle" : "", "parse-names" : false, "suffix" : "" }, { "dropping-particle" : "", "family" : "Fournier", "given" : "Marion", "non-dropping-particle" : "", "parse-names" : false, "suffix" : "" }, { "dropping-particle" : "", "family" : "Lamy", "given" : "Thierry", "non-dropping-particle" : "", "parse-names" : false, "suffix" : "" }, { "dropping-particle" : "", "family" : "Seymour", "given" : "John Francis", "non-dropping-particle" : "", "parse-names" : false, "suffix" : "" }, { "dropping-particle" : "", "family" : "Sonet", "given" : "Anne", "non-dropping-particle" : "", "parse-names" : false, "suffix" : "" }, { "dropping-particle" : "", "family" : "Janikova", "given" : "Andrea", "non-dropping-particle" : "", "parse-names" : false, "suffix" : "" }, { "dropping-particle" : "", "family" : "Shpilberg", "given" : "Ofer", "non-dropping-particle" : "", "parse-names" : false, "suffix" : "" }, { "dropping-particle" : "", "family" : "Gyan", "given" : "Emmanuel", "non-dropping-particle" : "", "parse-names" : false, "suffix" : "" }, { "dropping-particle" : "", "family" : "Tilly", "given" : "Herv\u00e9", "non-dropping-particle" : "", "parse-names" : false, "suffix" : "" }, { "dropping-particle" : "", "family" : "Estell", "given" : "Jane", "non-dropping-particle" : "", "parse-names" : false, "suffix" : "" }, { "dropping-particle" : "", "family" : "Forsyth", "given" : "Cecily", "non-dropping-particle" : "", "parse-names" : false, "suffix" : "" }, { "dropping-particle" : "", "family" : "Decaudin", "given" : "Didier", "non-dropping-particle" : "", "parse-names" : false, "suffix" : "" }, { "dropping-particle" : "", "family" : "Fabiani", "given" : "Bettina", "non-dropping-particle" : "", "parse-names" : false, "suffix" : "" }, { "dropping-particle" : "", "family" : "Gabarre", "given" : "Jean", "non-dropping-particle" : "", "parse-names" : false, "suffix" : "" }, { "dropping-particle" : "", "family" : "Salles", "given" : "Bruno", "non-dropping-particle" : "", "parse-names" : false, "suffix" : "" }, { "dropping-particle" : "", "family" : "Neste", "given" : "Eric", "non-dropping-particle" : "Van Den", "parse-names" : false, "suffix" : "" }, { "dropping-particle" : "", "family" : "Canioni", "given" : "Danielle", "non-dropping-particle" : "", "parse-names" : false, "suffix" : "" }, { "dropping-particle" : "", "family" : "Garin", "given" : "Etienne", "non-dropping-particle" : "", "parse-names" : false, "suffix" : "" }, { "dropping-particle" : "", "family" : "Fulham", "given" : "Michael", "non-dropping-particle" : "", "parse-names" : false, "suffix" : "" }, { "dropping-particle" : "Vander", "family" : "Borght", "given" : "Thierry", "non-dropping-particle" : "", "parse-names" : false, "suffix" : "" }, { "dropping-particle" : "", "family" : "Salles", "given" : "Gilles", "non-dropping-particle" : "", "parse-names" : false, "suffix" : "" } ], "container-title" : "Journal of Clinical Oncology", "id" : "ITEM-2", "issue" : "23", "issued" : { "date-parts" : [ [ "2011" ] ] }, "page" : "3194-3200", "title" : "Positron emission tomography-computed tomography (PET-CT) after induction therapy is highly predictive of patient outcome in follicular lymphoma: Analysis of PET-CT in a subset of PRIMA trial participants", "type" : "article-journal", "volume" : "29" }, "uris" : [ "http://www.mendeley.com/documents/?uuid=c441acdd-cedf-4906-8d79-909a05cf3df5", "http://www.mendeley.com/documents/?uuid=16dcfcae-a692-4689-94a1-4bfc06a4ea14" ] }, { "id" : "ITEM-3", "itemData" : { "DOI" : "10.1200/JCO.2012.43.0934", "ISBN" : "1527-7755 (Electronic)\\r0732-183X (Linking)", "ISSN" : "0732183X", "PMID" : "23109699", "abstract" : "PURPOSE: [(18)F]Fluorodeoxyglucose positron emission tomography (PET) is widely used for the staging and restaging of patients with aggressive lymphoma, but less is known about the utility of PET in patients with follicular lymphoma (FL). In a prospective study, we evaluated the prognostic value of PET performed during treatment and at the end of treatment in 121 patients with FL treated with first-line immunochemotherapy.\\n\\nPATIENTS AND METHODS: Patients with previously untreated high-tumor burden FL were treated with six cycles of R-CHOP (rituximab, cyclophosphamide, doxorubicin, vincristine, and prednisone) plus two cycles of rituximab, without rituximab maintenance. PET was performed before treatment, after four cycles of R-CHOP (interim PET), and at the end of treatment (final PET). PET scans were centrally reviewed.\\n\\nRESULTS: The total number of patients included was 121. Median age was 57 years. After central review, interim PET (n = 111) was negative in 76% of patients, and final PET (n = 106) was negative in 78%. With a median follow-up of 23 months, 2-year progression-free survival rates were 86% for interim PET-negative versus 61% for interim PET-positive patients (P = .0046) and 87% for final PET-negative versus 51% for final PET-positive patients (P &lt; .001), respectively. Two-year overall survival also significantly differed according to final PET results: 100% versus 88% (P = .0128).\\n\\nCONCLUSION: PET performed either after four cycles of R-CHOP or at the end of therapy was strongly predictive of outcome in this prospective study. Therapeutic intervention based on PET results during or after inductive treatment should be evaluated.", "author" : [ { "dropping-particle" : "", "family" : "Dupuis", "given" : "Jehan", "non-dropping-particle" : "", "parse-names" : false, "suffix" : "" }, { "dropping-particle" : "", "family" : "Berriolo-Riedinger", "given" : "Alina", "non-dropping-particle" : "", "parse-names" : false, "suffix" : "" }, { "dropping-particle" : "", "family" : "Julian", "given" : "Anne", "non-dropping-particle" : "", "parse-names" : false, "suffix" : "" }, { "dropping-particle" : "", "family" : "Brice", "given" : "Pauline", "non-dropping-particle" : "", "parse-names" : false, "suffix" : "" }, { "dropping-particle" : "", "family" : "Tychyj-Pinel", "given" : "Christelle", "non-dropping-particle" : "", "parse-names" : false, "suffix" : "" }, { "dropping-particle" : "", "family" : "Tilly", "given" : "Herv\u00e9", "non-dropping-particle" : "", "parse-names" : false, "suffix" : "" }, { "dropping-particle" : "", "family" : "Mounier", "given" : "Nicolas", "non-dropping-particle" : "", "parse-names" : false, "suffix" : "" }, { "dropping-particle" : "", "family" : "Gallamini", "given" : "Andrea", "non-dropping-particle" : "", "parse-names" : false, "suffix" : "" }, { "dropping-particle" : "", "family" : "Feugier", "given" : "Pierre", "non-dropping-particle" : "", "parse-names" : false, "suffix" : "" }, { "dropping-particle" : "", "family" : "Soubeyran", "given" : "Pierre", "non-dropping-particle" : "", "parse-names" : false, "suffix" : "" }, { "dropping-particle" : "", "family" : "Colombat", "given" : "Philippe", "non-dropping-particle" : "", "parse-names" : false, "suffix" : "" }, { "dropping-particle" : "", "family" : "Laurent", "given" : "Guy", "non-dropping-particle" : "", "parse-names" : false, "suffix" : "" }, { "dropping-particle" : "", "family" : "Berenger", "given" : "Nathalie", "non-dropping-particle" : "", "parse-names" : false, "suffix" : "" }, { "dropping-particle" : "", "family" : "Casasnovas", "given" : "Rene Olivier", "non-dropping-particle" : "", "parse-names" : false, "suffix" : "" }, { "dropping-particle" : "", "family" : "Vera", "given" : "Pierre", "non-dropping-particle" : "", "parse-names" : false, "suffix" : "" }, { "dropping-particle" : "", "family" : "Paone", "given" : "Gaetano", "non-dropping-particle" : "", "parse-names" : false, "suffix" : "" }, { "dropping-particle" : "", "family" : "Xerri", "given" : "Luc", "non-dropping-particle" : "", "parse-names" : false, "suffix" : "" }, { "dropping-particle" : "", "family" : "Salles", "given" : "Gilles", "non-dropping-particle" : "", "parse-names" : false, "suffix" : "" }, { "dropping-particle" : "", "family" : "Haioun", "given" : "Corinne", "non-dropping-particle" : "", "parse-names" : false, "suffix" : "" }, { "dropping-particle" : "", "family" : "Meignan", "given" : "Michel", "non-dropping-particle" : "", "parse-names" : false, "suffix" : "" } ], "container-title" : "Journal of Clinical Oncology", "id" : "ITEM-3", "issue" : "35", "issued" : { "date-parts" : [ [ "2012" ] ] }, "page" : "4317-4322", "title" : "Impact of [18F]fluorodeoxyglucose positron emission tomography response evaluation in patients with high-tumor burden follicular lymphoma treated with immunochemotherapy: A prospective study from the Groupe d'Etudes des Lymphomes de l'Adulte and GOELAMS", "type" : "article-journal", "volume" : "30" }, "uris" : [ "http://www.mendeley.com/documents/?uuid=52ecb724-20d9-48f1-8f56-d36bdd296f9d", "http://www.mendeley.com/documents/?uuid=910d8732-1c56-47ec-b221-eb61217cadc0" ] } ], "mendeley" : { "formattedCitation" : "(18\u201320)", "plainTextFormattedCitation" : "(18\u201320)", "previouslyFormattedCitation" : "(18\u201320)"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(18–20)</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In a pooled analysis of 246 patients from these three studies Trotman et al analyzed the application of centrally reviewed five-point Deauville scale (5PS) to assess the correlation between post-induction PET status and survival. Overal</w:t>
      </w:r>
      <w:r>
        <w:rPr>
          <w:rFonts w:ascii="Arial" w:hAnsi="Arial" w:cs="Arial"/>
          <w:bCs/>
          <w:color w:val="222222"/>
          <w:shd w:val="clear" w:color="auto" w:fill="FFFFFF"/>
          <w:lang w:val="en-US"/>
        </w:rPr>
        <w:t>l</w:t>
      </w:r>
      <w:r w:rsidRPr="0025576A">
        <w:rPr>
          <w:rFonts w:ascii="Arial" w:hAnsi="Arial" w:cs="Arial"/>
          <w:bCs/>
          <w:color w:val="222222"/>
          <w:shd w:val="clear" w:color="auto" w:fill="FFFFFF"/>
          <w:lang w:val="en-US"/>
        </w:rPr>
        <w:t xml:space="preserve"> 17% of patients were classified as </w:t>
      </w:r>
      <w:r w:rsidR="00753DF5" w:rsidRPr="0025576A">
        <w:rPr>
          <w:rFonts w:ascii="Arial" w:hAnsi="Arial" w:cs="Arial"/>
          <w:bCs/>
          <w:color w:val="222222"/>
          <w:shd w:val="clear" w:color="auto" w:fill="FFFFFF"/>
          <w:lang w:val="en-US"/>
        </w:rPr>
        <w:t>non-responder</w:t>
      </w:r>
      <w:r w:rsidRPr="0025576A">
        <w:rPr>
          <w:rFonts w:ascii="Arial" w:hAnsi="Arial" w:cs="Arial"/>
          <w:bCs/>
          <w:color w:val="222222"/>
          <w:shd w:val="clear" w:color="auto" w:fill="FFFFFF"/>
          <w:lang w:val="en-US"/>
        </w:rPr>
        <w:t xml:space="preserve"> using the D</w:t>
      </w:r>
      <w:r>
        <w:rPr>
          <w:rFonts w:ascii="Arial" w:hAnsi="Arial" w:cs="Arial"/>
          <w:bCs/>
          <w:color w:val="222222"/>
          <w:shd w:val="clear" w:color="auto" w:fill="FFFFFF"/>
          <w:lang w:val="en-US"/>
        </w:rPr>
        <w:t xml:space="preserve">eauville score </w:t>
      </w:r>
      <w:r w:rsidRPr="0025576A">
        <w:rPr>
          <w:rFonts w:ascii="Arial" w:hAnsi="Arial" w:cs="Arial"/>
          <w:bCs/>
          <w:color w:val="222222"/>
          <w:shd w:val="clear" w:color="auto" w:fill="FFFFFF"/>
          <w:lang w:val="en-US"/>
        </w:rPr>
        <w:t>4</w:t>
      </w:r>
      <w:r>
        <w:rPr>
          <w:rFonts w:ascii="Arial" w:hAnsi="Arial" w:cs="Arial"/>
          <w:bCs/>
          <w:color w:val="222222"/>
          <w:shd w:val="clear" w:color="auto" w:fill="FFFFFF"/>
          <w:lang w:val="en-US"/>
        </w:rPr>
        <w:t xml:space="preserve"> (DS4)</w:t>
      </w:r>
      <w:r w:rsidRPr="0025576A">
        <w:rPr>
          <w:rFonts w:ascii="Arial" w:hAnsi="Arial" w:cs="Arial"/>
          <w:bCs/>
          <w:color w:val="222222"/>
          <w:shd w:val="clear" w:color="auto" w:fill="FFFFFF"/>
          <w:lang w:val="en-US"/>
        </w:rPr>
        <w:t xml:space="preserve"> as cut off to define PET positivity based on a higher concordance rate among independent reviewers (vs DS3). Interestingly no significant correlation between most baseline characteristics and post-induction PET status was noted, apart from for grouped Ann Arbor stage, FLIPI sc</w:t>
      </w:r>
      <w:r>
        <w:rPr>
          <w:rFonts w:ascii="Arial" w:hAnsi="Arial" w:cs="Arial"/>
          <w:bCs/>
          <w:color w:val="222222"/>
          <w:shd w:val="clear" w:color="auto" w:fill="FFFFFF"/>
          <w:lang w:val="en-US"/>
        </w:rPr>
        <w:t>ore, grouped FLIPI score, and h</w:t>
      </w:r>
      <w:r w:rsidRPr="0025576A">
        <w:rPr>
          <w:rFonts w:ascii="Arial" w:hAnsi="Arial" w:cs="Arial"/>
          <w:bCs/>
          <w:color w:val="222222"/>
          <w:shd w:val="clear" w:color="auto" w:fill="FFFFFF"/>
          <w:lang w:val="en-US"/>
        </w:rPr>
        <w:t xml:space="preserve">emoglobin levels. The HR for PFS for patients with a positive PET scan versus those with a negative PET scan was 3.9 (p&lt;0.0001), and for overall survival was 6.7 (p=0.0002). </w:t>
      </w:r>
      <w:r w:rsidRPr="0025576A">
        <w:rPr>
          <w:rFonts w:ascii="Helvetica" w:hAnsi="Helvetica"/>
          <w:color w:val="333333"/>
          <w:shd w:val="clear" w:color="auto" w:fill="FFFFFF"/>
          <w:lang w:val="en-US"/>
        </w:rPr>
        <w:t>Four year PFS was 23% and 63% for patients with a positive or negative PET scan, respectively;  four year OS was 87% versus 97%, respectively (p&lt;0·0001)</w:t>
      </w:r>
      <w:r>
        <w:rPr>
          <w:rFonts w:ascii="Arial" w:hAnsi="Arial" w:cs="Arial"/>
          <w:bCs/>
          <w:color w:val="222222"/>
          <w:shd w:val="clear" w:color="auto" w:fill="FFFFFF"/>
          <w:lang w:val="en-US"/>
        </w:rPr>
        <w:fldChar w:fldCharType="begin" w:fldLock="1"/>
      </w:r>
      <w:r w:rsidR="00C555D8">
        <w:rPr>
          <w:rFonts w:ascii="Arial" w:hAnsi="Arial" w:cs="Arial"/>
          <w:bCs/>
          <w:color w:val="222222"/>
          <w:shd w:val="clear" w:color="auto" w:fill="FFFFFF"/>
          <w:lang w:val="en-US"/>
        </w:rPr>
        <w:instrText>ADDIN CSL_CITATION { "citationItems" : [ { "id" : "ITEM-1", "itemData" : { "DOI" : "10.1016/S2352-3026(14)70008-0", "ISBN" : "2352-3026 (Electronic)\\r2352-3026 (Linking)", "ISSN" : "2352-3026 (Electronic)", "PMID" : "27030064", "abstract" : "BACKGROUND: The value of (18)F-fluorodeoxyglucose (FDG) PET-CT (PET) imaging in response assessment after first-line rituximab chemotherapy for follicular lymphoma has been documented. We analysed the application of the five-point Deauville scale (5PS; used to score FDG uptake on PET images) in a large cohort derived from three studies, to assess the correlation between post-induction PET status and survival in patients with follicular lymphoma. METHODS: In this pooled analysis, we used data from three multicentre prospective studies of first-line rituximab chemotherapy for patients with high-tumour-burden follicular lymphoma (the PRIMA study, the PET-Folliculaire study, and the Fondazione Italiana Linfomi FOLL05 study). Patients included in this analysis received at least six cycles of rituximab and chemotherapy before response assessment with conventional contrast-enhanced CT and PET low-dose CT (PET). We included only patients who had a PET scan within 3 months of the last dose of induction rituximab. Patient data, including conventional CT-based response assessment, were recorded for all patients undergoing PET review. Scans undergoing central PET review were scored independently by three reviewers according to the 5PS. The primary endpoints were progression-free survival and overall survival according to the 5PS score of post-induction PET scan (ie, positive [&gt;/=4 points] or negative [&lt;4 points]), analysed in the central review population. FINDINGS: Between Dec 24, 2004, and Sept 22, 2010, 439 of the patients enrolled in the three studies underwent local PET assessment, 246 of whom had centrally reviewed post-induction scans. 41 (17%) of 246 patients had a positive post-induction PET scan according to a cutoff of 4 or higher on the 5PS, with substantial reporter concordance. With a median follow-up of 54.8 months (IQR 39.7-68.5; range 7.7-90.1), the hazard ratio (HR) for progression-free survival for patients with a positive PET scan versus those with a negative PET scan was 3.9 (95% CI 2.5-5.9; p&lt;0.0001), and for overall survival was 6.7 (2.4-18.5; p=0.0002). For patients with a positive PET scan, 23.2% (95% CI 11.1-37.9) of patients were progression free at 4 years compared with 63.4% (55.9-70.0) of those who had a negative PET scan (p&lt;0.0001); 4-year overall survival was 87.2% (95% CI 71.9-94.5) versus 97.1% (93.2-98.8), respectively (p&lt;0.0001). Conventional CT-based response (ie, complete response or unconfirmed complete response vs partial res\u2026", "author" : [ { "dropping-particle" : "", "family" : "Trotman", "given" : "Judith", "non-dropping-particle" : "", "parse-names" : false, "suffix" : "" }, { "dropping-particle" : "", "family" : "Luminari", "given" : "Stefano", "non-dropping-particle" : "", "parse-names" : false, "suffix" : "" }, { "dropping-particle" : "", "family" : "Boussetta", "given" : "Sami", "non-dropping-particle" : "", "parse-names" : false, "suffix" : "" }, { "dropping-particle" : "", "family" : "Versari", "given" : "Annibale", "non-dropping-particle" : "", "parse-names" : false, "suffix" : "" }, { "dropping-particle" : "", "family" : "Dupuis", "given" : "Jehan", "non-dropping-particle" : "", "parse-names" : false, "suffix" : "" }, { "dropping-particle" : "", "family" : "Tychyj", "given" : "Christelle", "non-dropping-particle" : "", "parse-names" : false, "suffix" : "" }, { "dropping-particle" : "", "family" : "Marcheselli", "given" : "Luigi", "non-dropping-particle" : "", "parse-names" : false, "suffix" : "" }, { "dropping-particle" : "", "family" : "Berriolo-Riedinger", "given" : "Alina", "non-dropping-particle" : "", "parse-names" : false, "suffix" : "" }, { "dropping-particle" : "", "family" : "Franceschetto", "given" : "Antonella", "non-dropping-particle" : "", "parse-names" : false, "suffix" : "" }, { "dropping-particle" : "", "family" : "Julian", "given" : "Anne", "non-dropping-particle" : "", "parse-names" : false, "suffix" : "" }, { "dropping-particle" : "", "family" : "Ricard", "given" : "Fabien", "non-dropping-particle" : "", "parse-names" : false, "suffix" : "" }, { "dropping-particle" : "", "family" : "Guerra", "given" : "Luca", "non-dropping-particle" : "", "parse-names" : false, "suffix" : "" }, { "dropping-particle" : "", "family" : "Haioun", "given" : "Corinne", "non-dropping-particle" : "", "parse-names" : false, "suffix" : "" }, { "dropping-particle" : "", "family" : "Biasoli", "given" : "Irene", "non-dropping-particle" : "", "parse-names" : false, "suffix" : "" }, { "dropping-particle" : "", "family" : "Tilly", "given" : "Herve", "non-dropping-particle" : "", "parse-names" : false, "suffix" : "" }, { "dropping-particle" : "", "family" : "Federico", "given" : "Massimo", "non-dropping-particle" : "", "parse-names" : false, "suffix" : "" }, { "dropping-particle" : "", "family" : "Salles", "given" : "Gilles", "non-dropping-particle" : "", "parse-names" : false, "suffix" : "" }, { "dropping-particle" : "", "family" : "Meignan", "given" : "Michel", "non-dropping-particle" : "", "parse-names" : false, "suffix" : "" } ], "container-title" : "The Lancet. Haematology", "id" : "ITEM-1", "issue" : "1", "issued" : { "date-parts" : [ [ "2014" ] ] }, "page" : "e17-27", "title" : "Prognostic value of PET-CT after first-line therapy in patients with follicular lymphoma: a pooled analysis of central scan review in three multicentre studies.", "type" : "article-journal", "volume" : "1" }, "uris" : [ "http://www.mendeley.com/documents/?uuid=2a47fe17-a0b5-4a14-b5d3-aecc7542df63", "http://www.mendeley.com/documents/?uuid=ec5aa275-864d-4fef-8942-2e5dcf845b79" ] } ], "mendeley" : { "formattedCitation" : "(21)", "plainTextFormattedCitation" : "(21)", "previouslyFormattedCitation" : "(21)"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(21)</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xml:space="preserve">. These data were robust enough to recommend the routine use of FDG-PET in FL patients as stated in the recently updated criteria for staging and response assessment in lymphomas </w:t>
      </w:r>
      <w:r>
        <w:rPr>
          <w:rFonts w:ascii="Arial" w:hAnsi="Arial" w:cs="Arial"/>
          <w:bCs/>
          <w:color w:val="222222"/>
          <w:shd w:val="clear" w:color="auto" w:fill="FFFFFF"/>
          <w:lang w:val="en-US"/>
        </w:rPr>
        <w:fldChar w:fldCharType="begin" w:fldLock="1"/>
      </w:r>
      <w:r w:rsidR="00C555D8">
        <w:rPr>
          <w:rFonts w:ascii="Arial" w:hAnsi="Arial" w:cs="Arial"/>
          <w:bCs/>
          <w:color w:val="222222"/>
          <w:shd w:val="clear" w:color="auto" w:fill="FFFFFF"/>
          <w:lang w:val="en-US"/>
        </w:rPr>
        <w:instrText>ADDIN CSL_CITATION { "citationItems" : [ { "id" : "ITEM-1", "itemData" : { "DOI" : "10.1200/JCO.2013.53.5229", "ISBN" : "1527-7755 (Electronic)\\r0732-183X (Linking)", "ISSN" : "15277755", "PMID" : "25113771", "abstract" : "Purpose Recent advances in imaging, use of prognostic indices, and molecular profiling techniques have the potential to improve disease characterization and outcomes in lymphoma. International trials are under way to test image-based response\u2013adapted treatment guided by early interim positron emission tomography (PET) \u2013computed tomography (CT). Progress in imaging is influencing trial design and affecting clinical practice. In particular, a five-point scale to grade response using PET-CT, which can be adapted to suit requirements for early- and late-response assessment with good interobserver agreement, is becoming widely used both in practice- and response-adapted trials. A workshop held at the 11th International Conference on Malignant Lymphomas (ICML) in 2011 concluded that revision to current staging and response criteria was timely.Methods An imaging working group composed of representatives from major international cooperative groups was asked to review the literature, share knowledge about research in progress, and identify key areas for research pertaining to imaging and lymphoma.Results A working paper was circulated for comment and presented at the Fourth International Workshop on PET in Lymphoma in Menton, France, and the 12th ICML in Lugano, Switzerland, to update the International Harmonisation Project guidance regarding PET. Recommendations were made to optimize the use of PET-CT in staging and response assessment of lymphoma, including qualitative and quantitative methods.Conclusion This article comprises the consensus reached to update guidance on the use of PET-CT for staging and response assessment for [18F]fluorodeoxyglucose-avid lymphomas in clinical practice and late-phase trials.", "author" : [ { "dropping-particle" : "", "family" : "Barrington", "given" : "Sally F.", "non-dropping-particle" : "", "parse-names" : false, "suffix" : "" }, { "dropping-particle" : "", "family" : "Mikhaeel", "given" : "N. George", "non-dropping-particle" : "", "parse-names" : false, "suffix" : "" }, { "dropping-particle" : "", "family" : "Kostakoglu", "given" : "Lale", "non-dropping-particle" : "", "parse-names" : false, "suffix" : "" }, { "dropping-particle" : "", "family" : "Meignan", "given" : "Michel", "non-dropping-particle" : "", "parse-names" : false, "suffix" : "" }, { "dropping-particle" : "", "family" : "Hutchings", "given" : "Martin", "non-dropping-particle" : "", "parse-names" : false, "suffix" : "" }, { "dropping-particle" : "", "family" : "M\u00fceller", "given" : "Stefan P.", "non-dropping-particle" : "", "parse-names" : false, "suffix" : "" }, { "dropping-particle" : "", "family" : "Schwartz", "given" : "Lawrence H.", "non-dropping-particle" : "", "parse-names" : false, "suffix" : "" }, { "dropping-particle" : "", "family" : "Zucca", "given" : "Emanuele", "non-dropping-particle" : "", "parse-names" : false, "suffix" : "" }, { "dropping-particle" : "", "family" : "Fisher", "given" : "Richard I.", "non-dropping-particle" : "", "parse-names" : false, "suffix" : "" }, { "dropping-particle" : "", "family" : "Trotman", "given" : "Judith", "non-dropping-particle" : "", "parse-names" : false, "suffix" : "" }, { "dropping-particle" : "", "family" : "Hoekstra", "given" : "Otto S.", "non-dropping-particle" : "", "parse-names" : false, "suffix" : "" }, { "dropping-particle" : "", "family" : "Hicks", "given" : "Rodney J.", "non-dropping-particle" : "", "parse-names" : false, "suffix" : "" }, { "dropping-particle" : "", "family" : "O'Doherty", "given" : "Michael J.", "non-dropping-particle" : "", "parse-names" : false, "suffix" : "" }, { "dropping-particle" : "", "family" : "Hustinx", "given" : "Roland", "non-dropping-particle" : "", "parse-names" : false, "suffix" : "" }, { "dropping-particle" : "", "family" : "Biggi", "given" : "Alberto", "non-dropping-particle" : "", "parse-names" : false, "suffix" : "" }, { "dropping-particle" : "", "family" : "Cheson", "given" : "Bruce D.", "non-dropping-particle" : "", "parse-names" : false, "suffix" : "" } ], "container-title" : "Journal of Clinical Oncology", "id" : "ITEM-1", "issue" : "27", "issued" : { "date-parts" : [ [ "2014" ] ] }, "page" : "3048-3058", "title" : "Role of imaging in the staging and response assessment of lymphoma: Consensus of the international conference on malignant lymphomas imaging working group", "type" : "article-journal", "volume" : "32" }, "uris" : [ "http://www.mendeley.com/documents/?uuid=2219a745-1dcf-4d58-b13c-aabafd524f0a", "http://www.mendeley.com/documents/?uuid=74059775-2e13-4219-aa90-836fc30a5a57" ] }, { "id" : "ITEM-2", "itemData" : { "DOI" : "10.1200/JCO.2013.54.8800", "ISBN" : "1527-7755 (Electronic)\\r0732-183X (Linking)", "ISSN" : "15277755", "PMID" : "25113753", "abstract" : "The purpose of this work was to modernize recommendations for evaluation, staging, and response assessment of patients with Hodgkin lymphoma (HL) and non-Hodgkin lymphoma (NHL). A workshop was held at the 11th International Conference on Malignant Lymphoma in Lugano, Switzerland, in June 2011, that included leading hematologists, oncologists, radiation oncologists, pathologists, radiologists, and nuclear medicine physicians, representing major international lymphoma clinical trials groups and cancer centers. Clinical and imaging subcommittees presented their conclusions at a subsequent workshop at the 12th International Conference on Malignant Lymphoma, leading to revised criteria for staging and of the International Working Group Guidelines of 2007 for response. As a result, fluorodeoxyglucose (FDG) positron emission tomography (PET)\u2013 computed tomogra-phy (CT) was formally incorporated into standard staging for FDG-avid lymphomas. A modification of the Ann Arbor descriptive terminology will be used for anatomic distribution of disease extent, but the suffixes A or B for symptoms will only be included for HL. A bone marrow biopsy is no longer indicated for the routine staging of HL and most diffuse large B-cell lymphomas. However, regardless of stage, general practice is to treat patients based on limited (stages I and II, nonbulky) or advanced (stage III or IV) disease, with stage II bulky disease considered as limited or advanced disease based on histology and a number of prognostic factors. PET-CT will be used to assess response in FDG-avid histologies using the 5-point scale. The product of the perpendicular diameters of a single node can be used to identify progressive disease. Routine surveillance scans are discouraged. These recommendations should improve evaluation of patients with lymphoma and enhance the ability to compare outcomes of clinical trials.", "author" : [ { "dropping-particle" : "", "family" : "Cheson", "given" : "Bruce D.", "non-dropping-particle" : "", "parse-names" : false, "suffix" : "" }, { "dropping-particle" : "", "family" : "Fisher", "given" : "Richard I.", "non-dropping-particle" : "", "parse-names" : false, "suffix" : "" }, { "dropping-particle" : "", "family" : "Barrington", "given" : "Sally F.", "non-dropping-particle" : "", "parse-names" : false, "suffix" : "" }, { "dropping-particle" : "", "family" : "Cavalli", "given" : "Franco", "non-dropping-particle" : "", "parse-names" : false, "suffix" : "" }, { "dropping-particle" : "", "family" : "Schwartz", "given" : "Lawrence H.", "non-dropping-particle" : "", "parse-names" : false, "suffix" : "" }, { "dropping-particle" : "", "family" : "Zucca", "given" : "Emanuele", "non-dropping-particle" : "", "parse-names" : false, "suffix" : "" }, { "dropping-particle" : "", "family" : "Lister", "given" : "T. Andrew", "non-dropping-particle" : "", "parse-names" : false, "suffix" : "" } ], "container-title" : "Journal of Clinical Oncology", "id" : "ITEM-2", "issue" : "27", "issued" : { "date-parts" : [ [ "2014" ] ] }, "page" : "3059-3067", "title" : "Recommendations for initial evaluation, staging, and response assessment of hodgkin and non-hodgkin lymphoma: The lugano classification", "type" : "article", "volume" : "32" }, "uris" : [ "http://www.mendeley.com/documents/?uuid=595254cb-4b42-4ee4-9c47-c73c363dc2dd", "http://www.mendeley.com/documents/?uuid=edb31fab-b0d3-4c84-a31a-1a873e7b2a79" ] } ], "mendeley" : { "formattedCitation" : "(22,23)", "plainTextFormattedCitation" : "(22,23)", "previouslyFormattedCitation" : "(22,23)"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(22,23)</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xml:space="preserve">. </w:t>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proofErr w:type="gramStart"/>
      <w:r>
        <w:rPr>
          <w:rFonts w:ascii="Arial" w:hAnsi="Arial" w:cs="Arial"/>
          <w:bCs/>
          <w:color w:val="222222"/>
          <w:shd w:val="clear" w:color="auto" w:fill="FFFFFF"/>
          <w:lang w:val="en-US"/>
        </w:rPr>
        <w:t>Actually</w:t>
      </w:r>
      <w:proofErr w:type="gramEnd"/>
      <w:r>
        <w:rPr>
          <w:rFonts w:ascii="Arial" w:hAnsi="Arial" w:cs="Arial"/>
          <w:bCs/>
          <w:color w:val="222222"/>
          <w:shd w:val="clear" w:color="auto" w:fill="FFFFFF"/>
          <w:lang w:val="en-US"/>
        </w:rPr>
        <w:t xml:space="preserve"> the prognostic </w:t>
      </w:r>
      <w:proofErr w:type="spellStart"/>
      <w:r>
        <w:rPr>
          <w:rFonts w:ascii="Arial" w:hAnsi="Arial" w:cs="Arial"/>
          <w:bCs/>
          <w:color w:val="222222"/>
          <w:shd w:val="clear" w:color="auto" w:fill="FFFFFF"/>
          <w:lang w:val="en-US"/>
        </w:rPr>
        <w:t>strengh</w:t>
      </w:r>
      <w:r w:rsidRPr="0025576A">
        <w:rPr>
          <w:rFonts w:ascii="Arial" w:hAnsi="Arial" w:cs="Arial"/>
          <w:bCs/>
          <w:color w:val="222222"/>
          <w:shd w:val="clear" w:color="auto" w:fill="FFFFFF"/>
          <w:lang w:val="en-US"/>
        </w:rPr>
        <w:t>t</w:t>
      </w:r>
      <w:proofErr w:type="spellEnd"/>
      <w:r w:rsidRPr="0025576A">
        <w:rPr>
          <w:rFonts w:ascii="Arial" w:hAnsi="Arial" w:cs="Arial"/>
          <w:bCs/>
          <w:color w:val="222222"/>
          <w:shd w:val="clear" w:color="auto" w:fill="FFFFFF"/>
          <w:lang w:val="en-US"/>
        </w:rPr>
        <w:t xml:space="preserve"> of metabolic response in FL is supported by its stronger predictive role compared with FLIPI and FLIPI2 scores and by the ability to p</w:t>
      </w:r>
      <w:r>
        <w:rPr>
          <w:rFonts w:ascii="Arial" w:hAnsi="Arial" w:cs="Arial"/>
          <w:bCs/>
          <w:color w:val="222222"/>
          <w:shd w:val="clear" w:color="auto" w:fill="FFFFFF"/>
          <w:lang w:val="en-US"/>
        </w:rPr>
        <w:t>redict not only PFS but also OS. A</w:t>
      </w:r>
      <w:r w:rsidRPr="0025576A">
        <w:rPr>
          <w:rFonts w:ascii="Arial" w:hAnsi="Arial" w:cs="Arial"/>
          <w:bCs/>
          <w:color w:val="222222"/>
          <w:shd w:val="clear" w:color="auto" w:fill="FFFFFF"/>
          <w:lang w:val="en-US"/>
        </w:rPr>
        <w:t xml:space="preserve">vailable data provide a strong rationale to test the efficacy of response adapted therapy also in FL patients. Among possible limitation of the use of FDG-PET in lymphoma we should acknowledge the low rate of high risk patients that is in the range of 15% after R-CHOP immunochemotherapy and the lack of full validation of the prognostic role of metabolic response with the use of </w:t>
      </w:r>
      <w:proofErr w:type="spellStart"/>
      <w:r w:rsidRPr="0025576A">
        <w:rPr>
          <w:rFonts w:ascii="Arial" w:hAnsi="Arial" w:cs="Arial"/>
          <w:bCs/>
          <w:color w:val="222222"/>
          <w:shd w:val="clear" w:color="auto" w:fill="FFFFFF"/>
          <w:lang w:val="en-US"/>
        </w:rPr>
        <w:t>bendamustine</w:t>
      </w:r>
      <w:proofErr w:type="spellEnd"/>
      <w:r w:rsidRPr="0025576A">
        <w:rPr>
          <w:rFonts w:ascii="Arial" w:hAnsi="Arial" w:cs="Arial"/>
          <w:bCs/>
          <w:color w:val="222222"/>
          <w:shd w:val="clear" w:color="auto" w:fill="FFFFFF"/>
          <w:lang w:val="en-US"/>
        </w:rPr>
        <w:t>, of lenalidomide and in the context of post induction maintenance therapy with rituximab. New data on prognostic role of metabolic response will be available with the final results of the randomized Ga</w:t>
      </w:r>
      <w:r w:rsidR="00C555D8">
        <w:rPr>
          <w:rFonts w:ascii="Arial" w:hAnsi="Arial" w:cs="Arial"/>
          <w:bCs/>
          <w:color w:val="222222"/>
          <w:shd w:val="clear" w:color="auto" w:fill="FFFFFF"/>
          <w:lang w:val="en-US"/>
        </w:rPr>
        <w:t>llium (R-</w:t>
      </w:r>
      <w:proofErr w:type="spellStart"/>
      <w:r w:rsidR="00C555D8">
        <w:rPr>
          <w:rFonts w:ascii="Arial" w:hAnsi="Arial" w:cs="Arial"/>
          <w:bCs/>
          <w:color w:val="222222"/>
          <w:shd w:val="clear" w:color="auto" w:fill="FFFFFF"/>
          <w:lang w:val="en-US"/>
        </w:rPr>
        <w:t>chemio</w:t>
      </w:r>
      <w:proofErr w:type="spellEnd"/>
      <w:r w:rsidR="00C555D8">
        <w:rPr>
          <w:rFonts w:ascii="Arial" w:hAnsi="Arial" w:cs="Arial"/>
          <w:bCs/>
          <w:color w:val="222222"/>
          <w:shd w:val="clear" w:color="auto" w:fill="FFFFFF"/>
          <w:lang w:val="en-US"/>
        </w:rPr>
        <w:t xml:space="preserve"> vs </w:t>
      </w:r>
      <w:proofErr w:type="spellStart"/>
      <w:r w:rsidR="00C555D8">
        <w:rPr>
          <w:rFonts w:ascii="Arial" w:hAnsi="Arial" w:cs="Arial"/>
          <w:bCs/>
          <w:color w:val="222222"/>
          <w:shd w:val="clear" w:color="auto" w:fill="FFFFFF"/>
          <w:lang w:val="en-US"/>
        </w:rPr>
        <w:t>Obinutuzumab</w:t>
      </w:r>
      <w:proofErr w:type="spellEnd"/>
      <w:r w:rsidR="00C555D8">
        <w:rPr>
          <w:rFonts w:ascii="Arial" w:hAnsi="Arial" w:cs="Arial"/>
          <w:bCs/>
          <w:color w:val="222222"/>
          <w:shd w:val="clear" w:color="auto" w:fill="FFFFFF"/>
          <w:lang w:val="en-US"/>
        </w:rPr>
        <w:t xml:space="preserve"> </w:t>
      </w:r>
      <w:r w:rsidR="00C555D8" w:rsidRPr="00C555D8">
        <w:rPr>
          <w:rFonts w:ascii="Arial" w:hAnsi="Arial" w:cs="Arial"/>
          <w:bCs/>
          <w:color w:val="222222"/>
          <w:shd w:val="clear" w:color="auto" w:fill="FFFFFF"/>
          <w:lang w:val="en-US"/>
        </w:rPr>
        <w:t>NCT01332968</w:t>
      </w:r>
      <w:r w:rsidR="00C555D8">
        <w:rPr>
          <w:rFonts w:ascii="Arial" w:hAnsi="Arial" w:cs="Arial"/>
          <w:bCs/>
          <w:color w:val="222222"/>
          <w:shd w:val="clear" w:color="auto" w:fill="FFFFFF"/>
          <w:lang w:val="en-US"/>
        </w:rPr>
        <w:t>) and R</w:t>
      </w:r>
      <w:r w:rsidR="00753DF5">
        <w:rPr>
          <w:rFonts w:ascii="Arial" w:hAnsi="Arial" w:cs="Arial"/>
          <w:bCs/>
          <w:color w:val="222222"/>
          <w:shd w:val="clear" w:color="auto" w:fill="FFFFFF"/>
          <w:lang w:val="en-US"/>
        </w:rPr>
        <w:t>elevance (</w:t>
      </w:r>
      <w:r w:rsidRPr="0025576A">
        <w:rPr>
          <w:rFonts w:ascii="Arial" w:hAnsi="Arial" w:cs="Arial"/>
          <w:bCs/>
          <w:color w:val="222222"/>
          <w:shd w:val="clear" w:color="auto" w:fill="FFFFFF"/>
          <w:lang w:val="en-US"/>
        </w:rPr>
        <w:t>R-</w:t>
      </w:r>
      <w:proofErr w:type="spellStart"/>
      <w:r w:rsidRPr="0025576A">
        <w:rPr>
          <w:rFonts w:ascii="Arial" w:hAnsi="Arial" w:cs="Arial"/>
          <w:bCs/>
          <w:color w:val="222222"/>
          <w:shd w:val="clear" w:color="auto" w:fill="FFFFFF"/>
          <w:lang w:val="en-US"/>
        </w:rPr>
        <w:t>Che</w:t>
      </w:r>
      <w:r w:rsidR="00C555D8">
        <w:rPr>
          <w:rFonts w:ascii="Arial" w:hAnsi="Arial" w:cs="Arial"/>
          <w:bCs/>
          <w:color w:val="222222"/>
          <w:shd w:val="clear" w:color="auto" w:fill="FFFFFF"/>
          <w:lang w:val="en-US"/>
        </w:rPr>
        <w:t>mio</w:t>
      </w:r>
      <w:proofErr w:type="spellEnd"/>
      <w:r w:rsidR="00C555D8">
        <w:rPr>
          <w:rFonts w:ascii="Arial" w:hAnsi="Arial" w:cs="Arial"/>
          <w:bCs/>
          <w:color w:val="222222"/>
          <w:shd w:val="clear" w:color="auto" w:fill="FFFFFF"/>
          <w:lang w:val="en-US"/>
        </w:rPr>
        <w:t xml:space="preserve"> vs. R-Lenalidomide </w:t>
      </w:r>
      <w:r w:rsidR="00C555D8" w:rsidRPr="00C555D8">
        <w:rPr>
          <w:rFonts w:ascii="Arial" w:hAnsi="Arial" w:cs="Arial"/>
          <w:bCs/>
          <w:color w:val="222222"/>
          <w:shd w:val="clear" w:color="auto" w:fill="FFFFFF"/>
          <w:lang w:val="en-US"/>
        </w:rPr>
        <w:t>NCT01476787</w:t>
      </w:r>
      <w:r w:rsidRPr="0025576A">
        <w:rPr>
          <w:rFonts w:ascii="Arial" w:hAnsi="Arial" w:cs="Arial"/>
          <w:bCs/>
          <w:color w:val="222222"/>
          <w:shd w:val="clear" w:color="auto" w:fill="FFFFFF"/>
          <w:lang w:val="en-US"/>
        </w:rPr>
        <w:t>) trials.</w:t>
      </w:r>
    </w:p>
    <w:p w:rsidR="00295834" w:rsidRPr="0025576A" w:rsidRDefault="00295834" w:rsidP="0025576A">
      <w:pPr>
        <w:autoSpaceDE w:val="0"/>
        <w:autoSpaceDN w:val="0"/>
        <w:adjustRightInd w:val="0"/>
        <w:spacing w:line="360" w:lineRule="auto"/>
        <w:jc w:val="both"/>
        <w:rPr>
          <w:lang w:val="en-US"/>
        </w:rPr>
      </w:pP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p>
    <w:p w:rsidR="00295834" w:rsidRPr="0025576A" w:rsidRDefault="00295834" w:rsidP="0025576A">
      <w:pPr>
        <w:autoSpaceDE w:val="0"/>
        <w:autoSpaceDN w:val="0"/>
        <w:adjustRightInd w:val="0"/>
        <w:spacing w:line="360" w:lineRule="auto"/>
        <w:jc w:val="both"/>
        <w:rPr>
          <w:rFonts w:ascii="Arial" w:hAnsi="Arial" w:cs="Arial"/>
          <w:b/>
          <w:bCs/>
          <w:color w:val="222222"/>
          <w:shd w:val="clear" w:color="auto" w:fill="FFFFFF"/>
          <w:lang w:val="en-US"/>
        </w:rPr>
      </w:pPr>
      <w:r w:rsidRPr="0025576A">
        <w:rPr>
          <w:rFonts w:ascii="Arial" w:hAnsi="Arial" w:cs="Arial"/>
          <w:b/>
          <w:bCs/>
          <w:color w:val="222222"/>
          <w:shd w:val="clear" w:color="auto" w:fill="FFFFFF"/>
          <w:lang w:val="en-US"/>
        </w:rPr>
        <w:t>Molecular response</w:t>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r>
        <w:rPr>
          <w:rFonts w:ascii="Arial" w:hAnsi="Arial" w:cs="Arial"/>
          <w:bCs/>
          <w:color w:val="222222"/>
          <w:shd w:val="clear" w:color="auto" w:fill="FFFFFF"/>
          <w:lang w:val="en-US"/>
        </w:rPr>
        <w:t>Most patients with FL</w:t>
      </w:r>
      <w:r w:rsidRPr="0025576A">
        <w:rPr>
          <w:rFonts w:ascii="Arial" w:hAnsi="Arial" w:cs="Arial"/>
          <w:bCs/>
          <w:color w:val="222222"/>
          <w:shd w:val="clear" w:color="auto" w:fill="FFFFFF"/>
          <w:lang w:val="en-US"/>
        </w:rPr>
        <w:t xml:space="preserve"> achieve a complete response (CR) after treatment, but eventually most of them relapse due to minimal residual disease (MRD). </w:t>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 xml:space="preserve">The presence of </w:t>
      </w:r>
      <w:proofErr w:type="gramStart"/>
      <w:r w:rsidRPr="0025576A">
        <w:rPr>
          <w:rFonts w:ascii="Arial" w:hAnsi="Arial" w:cs="Arial"/>
          <w:bCs/>
          <w:color w:val="222222"/>
          <w:shd w:val="clear" w:color="auto" w:fill="FFFFFF"/>
          <w:lang w:val="en-US"/>
        </w:rPr>
        <w:t>t(</w:t>
      </w:r>
      <w:proofErr w:type="gramEnd"/>
      <w:r w:rsidRPr="0025576A">
        <w:rPr>
          <w:rFonts w:ascii="Arial" w:hAnsi="Arial" w:cs="Arial"/>
          <w:bCs/>
          <w:color w:val="222222"/>
          <w:shd w:val="clear" w:color="auto" w:fill="FFFFFF"/>
          <w:lang w:val="en-US"/>
        </w:rPr>
        <w:t xml:space="preserve">14;18) chromosomal translocation and of clonal rearrangement of Immunoglobulin genes in FL cells  makes it feasible to use high sensitivity techniques to detect the disease in peripheral blood and bone marrow sample and to work on the concept of molecular tumor burden and molecular response. An assessment of FL PCR through quantitative </w:t>
      </w:r>
      <w:r w:rsidRPr="0025576A">
        <w:rPr>
          <w:rFonts w:ascii="Arial" w:hAnsi="Arial" w:cs="Arial"/>
          <w:color w:val="272727"/>
          <w:shd w:val="clear" w:color="auto" w:fill="FFFFFF"/>
          <w:lang w:val="en-US"/>
        </w:rPr>
        <w:t>polymerase chain reaction (PCR)</w:t>
      </w:r>
      <w:r w:rsidRPr="0025576A">
        <w:rPr>
          <w:rFonts w:ascii="Arial" w:hAnsi="Arial" w:cs="Arial"/>
          <w:bCs/>
          <w:color w:val="222222"/>
          <w:shd w:val="clear" w:color="auto" w:fill="FFFFFF"/>
          <w:lang w:val="en-US"/>
        </w:rPr>
        <w:t xml:space="preserve"> analysis for t(14;18) and IG gene rearrangement was used in a prospective study of 128 patients with FL treated with sequential CHOP and rituximab therapy by </w:t>
      </w:r>
      <w:proofErr w:type="spellStart"/>
      <w:r w:rsidRPr="0025576A">
        <w:rPr>
          <w:rFonts w:ascii="Arial" w:hAnsi="Arial" w:cs="Arial"/>
          <w:bCs/>
          <w:color w:val="222222"/>
          <w:shd w:val="clear" w:color="auto" w:fill="FFFFFF"/>
          <w:lang w:val="en-US"/>
        </w:rPr>
        <w:t>Rambaldi</w:t>
      </w:r>
      <w:proofErr w:type="spellEnd"/>
      <w:r w:rsidRPr="0025576A">
        <w:rPr>
          <w:rFonts w:ascii="Arial" w:hAnsi="Arial" w:cs="Arial"/>
          <w:bCs/>
          <w:color w:val="222222"/>
          <w:shd w:val="clear" w:color="auto" w:fill="FFFFFF"/>
          <w:lang w:val="en-US"/>
        </w:rPr>
        <w:t xml:space="preserve"> et al. </w:t>
      </w:r>
      <w:r>
        <w:rPr>
          <w:rFonts w:ascii="Arial" w:hAnsi="Arial" w:cs="Arial"/>
          <w:bCs/>
          <w:color w:val="222222"/>
          <w:shd w:val="clear" w:color="auto" w:fill="FFFFFF"/>
          <w:lang w:val="en-US"/>
        </w:rPr>
        <w:fldChar w:fldCharType="begin" w:fldLock="1"/>
      </w:r>
      <w:r w:rsidR="00C555D8">
        <w:rPr>
          <w:rFonts w:ascii="Arial" w:hAnsi="Arial" w:cs="Arial"/>
          <w:bCs/>
          <w:color w:val="222222"/>
          <w:shd w:val="clear" w:color="auto" w:fill="FFFFFF"/>
          <w:lang w:val="en-US"/>
        </w:rPr>
        <w:instrText>ADDIN CSL_CITATION { "citationItems" : [ { "id" : "ITEM-1", "itemData" : { "DOI" : "10.1182/blood.V99.3.856", "ISBN" : "0006-4971 (Print) 0006-4971 (Linking)", "ISSN" : "00064971", "PMID" : "11806987", "abstract" : "Minimal residual disease (MRD) following sequential administration of CHOP and rituximab was studied in previously untreated patients with follicular lymphoma. At diagnosis, the presence of Bcl-2/IgH-positive cells in the peripheral blood (PB) and/or bone marrow (BM) was demonstrated in all patients (n = 128) by polymerase chain reaction (PCR) analysis. Patients who achieved a clinical response following CHOP but remained PCR-positive were eligible for rituximab (375 mg/m2 intravenously, weekly for 4 weeks). After CHOP, 57% achieved a complete response (CR), 37% a partial response (PR), and 6% were nonresponders (NR). At this stage, patients proving PCR-negative (n = 41) or failing to achieve a clinical response (n = 8) were excluded from rituximab treatment. Seventy-seven patients received rituximab and entered a scheduled MRD follow-up program. At the first molecular follow-up (+12 weeks), 59% had converted to PCR negativity in the BM and PB, with a further increase documented at the second control (+28 weeks) with 74% PCR negative. At the last molecular follow-up (+44 weeks), 63% of the patients remained PCR negative. At 3 years, the estimated overall survival of all patients is 95% (95% confidence interval [CI], 86-98). For patients achieving PCR-negative status following CHOP and therefore excluded from rituximab treatment, freedom from recurrence (FFR) was 52% (95% CI, 28-71). For patients treated with rituximab, a durable PCR-negative status was associated with a better clinical outcome since FFR was 57% (95% CI, 23-81) compared with 20% (95% CI, 4-46) in patients who never achieved or lost the molecular negativity (P &lt; .001).", "author" : [ { "dropping-particle" : "", "family" : "Rambaldi", "given" : "Alessandro", "non-dropping-particle" : "", "parse-names" : false, "suffix" : "" }, { "dropping-particle" : "", "family" : "Lazzari", "given" : "Manuela", "non-dropping-particle" : "", "parse-names" : false, "suffix" : "" }, { "dropping-particle" : "", "family" : "Manzoni", "given" : "Cristina", "non-dropping-particle" : "", "parse-names" : false, "suffix" : "" }, { "dropping-particle" : "", "family" : "Carlotti", "given" : "Emanuela", "non-dropping-particle" : "", "parse-names" : false, "suffix" : "" }, { "dropping-particle" : "", "family" : "Arcaini", "given" : "Luca", "non-dropping-particle" : "", "parse-names" : false, "suffix" : "" }, { "dropping-particle" : "", "family" : "Baccarani", "given" : "Michele", "non-dropping-particle" : "", "parse-names" : false, "suffix" : "" }, { "dropping-particle" : "", "family" : "Barbui", "given" : "Tiziano", "non-dropping-particle" : "", "parse-names" : false, "suffix" : "" }, { "dropping-particle" : "", "family" : "Bernasconi", "given" : "Carlo", "non-dropping-particle" : "", "parse-names" : false, "suffix" : "" }, { "dropping-particle" : "", "family" : "Dastoli", "given" : "Giuseppe", "non-dropping-particle" : "", "parse-names" : false, "suffix" : "" }, { "dropping-particle" : "", "family" : "Fuga", "given" : "Giovanna", "non-dropping-particle" : "", "parse-names" : false, "suffix" : "" }, { "dropping-particle" : "", "family" : "Gamba", "given" : "Enrica", "non-dropping-particle" : "", "parse-names" : false, "suffix" : "" }, { "dropping-particle" : "", "family" : "Gargantini", "given" : "Livio", "non-dropping-particle" : "", "parse-names" : false, "suffix" : "" }, { "dropping-particle" : "", "family" : "Gattei", "given" : "Valter", "non-dropping-particle" : "", "parse-names" : false, "suffix" : "" }, { "dropping-particle" : "", "family" : "Lauria", "given" : "Francesco", "non-dropping-particle" : "", "parse-names" : false, "suffix" : "" }, { "dropping-particle" : "", "family" : "Lazzarino", "given" : "Mario", "non-dropping-particle" : "", "parse-names" : false, "suffix" : "" }, { "dropping-particle" : "", "family" : "Mandelli", "given" : "Franco", "non-dropping-particle" : "", "parse-names" : false, "suffix" : "" }, { "dropping-particle" : "", "family" : "Morra", "given" : "Enrica", "non-dropping-particle" : "", "parse-names" : false, "suffix" : "" }, { "dropping-particle" : "", "family" : "Pulsoni", "given" : "Alessandro", "non-dropping-particle" : "", "parse-names" : false, "suffix" : "" }, { "dropping-particle" : "", "family" : "Ribersani", "given" : "Michela", "non-dropping-particle" : "", "parse-names" : false, "suffix" : "" }, { "dropping-particle" : "", "family" : "Rossi-Ferrini", "given" : "Pier Luigi", "non-dropping-particle" : "", "parse-names" : false, "suffix" : "" }, { "dropping-particle" : "", "family" : "Rupolo", "given" : "Maurizio", "non-dropping-particle" : "", "parse-names" : false, "suffix" : "" }, { "dropping-particle" : "", "family" : "Tura", "given" : "Sante", "non-dropping-particle" : "", "parse-names" : false, "suffix" : "" }, { "dropping-particle" : "", "family" : "Zagonel", "given" : "Vittorina", "non-dropping-particle" : "", "parse-names" : false, "suffix" : "" }, { "dropping-particle" : "", "family" : "Zaja", "given" : "Francesco", "non-dropping-particle" : "", "parse-names" : false, "suffix" : "" }, { "dropping-particle" : "", "family" : "Zinzani", "given" : "Pierluigi", "non-dropping-particle" : "", "parse-names" : false, "suffix" : "" }, { "dropping-particle" : "", "family" : "Reato", "given" : "Gigliola", "non-dropping-particle" : "", "parse-names" : false, "suffix" : "" }, { "dropping-particle" : "", "family" : "Foa", "given" : "Robin", "non-dropping-particle" : "", "parse-names" : false, "suffix" : "" } ], "container-title" : "Blood", "id" : "ITEM-1", "issue" : "3", "issued" : { "date-parts" : [ [ "2002" ] ] }, "page" : "856-862", "title" : "Monitoring of minimal residual disease after CHOP and rituximab in previously untreated patients with follicular lymphoma", "type" : "article-journal", "volume" : "99" }, "uris" : [ "http://www.mendeley.com/documents/?uuid=8db46ab0-ff31-4112-b378-ae69d8c008b1", "http://www.mendeley.com/documents/?uuid=1088ae03-f225-4ebe-9306-6e6ef0849f4c" ] } ], "mendeley" : { "formattedCitation" : "(24)", "plainTextFormattedCitation" : "(24)", "previouslyFormattedCitation" : "(24)"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(24)</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xml:space="preserve"> Molecular response (PCR negativity) was achieved in 32% of cases after CHOP and rose to 57% and 75% after rituximab and during follow-up respectively. For patients with a durable PCR-negative status a better clinical o</w:t>
      </w:r>
      <w:r>
        <w:rPr>
          <w:rFonts w:ascii="Arial" w:hAnsi="Arial" w:cs="Arial"/>
          <w:bCs/>
          <w:color w:val="222222"/>
          <w:shd w:val="clear" w:color="auto" w:fill="FFFFFF"/>
          <w:lang w:val="en-US"/>
        </w:rPr>
        <w:t>utcome was also observed since f</w:t>
      </w:r>
      <w:r w:rsidRPr="0025576A">
        <w:rPr>
          <w:rFonts w:ascii="Arial" w:hAnsi="Arial" w:cs="Arial"/>
          <w:bCs/>
          <w:color w:val="222222"/>
          <w:shd w:val="clear" w:color="auto" w:fill="FFFFFF"/>
          <w:lang w:val="en-US"/>
        </w:rPr>
        <w:t xml:space="preserve">reedom from recurrence was 57% (95% CI, 23-81) compared with 20% (95% CI, 4-46) in patients who never achieved or lost the molecular negativity (P &lt; .001). In a second paper </w:t>
      </w:r>
      <w:proofErr w:type="spellStart"/>
      <w:r w:rsidRPr="0025576A">
        <w:rPr>
          <w:rFonts w:ascii="Arial" w:hAnsi="Arial" w:cs="Arial"/>
          <w:bCs/>
          <w:color w:val="222222"/>
          <w:shd w:val="clear" w:color="auto" w:fill="FFFFFF"/>
          <w:lang w:val="en-US"/>
        </w:rPr>
        <w:t>Ladetto</w:t>
      </w:r>
      <w:proofErr w:type="spellEnd"/>
      <w:r w:rsidRPr="0025576A">
        <w:rPr>
          <w:rFonts w:ascii="Arial" w:hAnsi="Arial" w:cs="Arial"/>
          <w:bCs/>
          <w:color w:val="222222"/>
          <w:shd w:val="clear" w:color="auto" w:fill="FFFFFF"/>
          <w:lang w:val="en-US"/>
        </w:rPr>
        <w:t xml:space="preserve"> et al. studied the concept of molecular response in a randomized trial for untreated </w:t>
      </w:r>
      <w:r w:rsidR="00753DF5" w:rsidRPr="0025576A">
        <w:rPr>
          <w:rFonts w:ascii="Arial" w:hAnsi="Arial" w:cs="Arial"/>
          <w:bCs/>
          <w:color w:val="222222"/>
          <w:shd w:val="clear" w:color="auto" w:fill="FFFFFF"/>
          <w:lang w:val="en-US"/>
        </w:rPr>
        <w:t>high-risk</w:t>
      </w:r>
      <w:r w:rsidRPr="0025576A">
        <w:rPr>
          <w:rFonts w:ascii="Arial" w:hAnsi="Arial" w:cs="Arial"/>
          <w:bCs/>
          <w:color w:val="222222"/>
          <w:shd w:val="clear" w:color="auto" w:fill="FFFFFF"/>
          <w:lang w:val="en-US"/>
        </w:rPr>
        <w:t xml:space="preserve"> FL patients that compared sta</w:t>
      </w:r>
      <w:r>
        <w:rPr>
          <w:rFonts w:ascii="Arial" w:hAnsi="Arial" w:cs="Arial"/>
          <w:bCs/>
          <w:color w:val="222222"/>
          <w:shd w:val="clear" w:color="auto" w:fill="FFFFFF"/>
          <w:lang w:val="en-US"/>
        </w:rPr>
        <w:t>ndard CHOP-R with high d</w:t>
      </w:r>
      <w:r w:rsidRPr="0025576A">
        <w:rPr>
          <w:rFonts w:ascii="Arial" w:hAnsi="Arial" w:cs="Arial"/>
          <w:bCs/>
          <w:color w:val="222222"/>
          <w:shd w:val="clear" w:color="auto" w:fill="FFFFFF"/>
          <w:lang w:val="en-US"/>
        </w:rPr>
        <w:t>ose therapy implemented with rituximab (R-HDS). Molecular remission (MR) was achieved in 44% of CHOP-R and 80% of R-HDS patients (P &lt; .001), and was the strongest independent outcome predictor sugge</w:t>
      </w:r>
      <w:r>
        <w:rPr>
          <w:rFonts w:ascii="Arial" w:hAnsi="Arial" w:cs="Arial"/>
          <w:bCs/>
          <w:color w:val="222222"/>
          <w:shd w:val="clear" w:color="auto" w:fill="FFFFFF"/>
          <w:lang w:val="en-US"/>
        </w:rPr>
        <w:t>s</w:t>
      </w:r>
      <w:r w:rsidRPr="0025576A">
        <w:rPr>
          <w:rFonts w:ascii="Arial" w:hAnsi="Arial" w:cs="Arial"/>
          <w:bCs/>
          <w:color w:val="222222"/>
          <w:shd w:val="clear" w:color="auto" w:fill="FFFFFF"/>
          <w:lang w:val="en-US"/>
        </w:rPr>
        <w:t>ting that achieving MR is critical for effective disease control, regardless of which treatment is used</w:t>
      </w:r>
      <w:r>
        <w:rPr>
          <w:rFonts w:ascii="Arial" w:hAnsi="Arial" w:cs="Arial"/>
          <w:bCs/>
          <w:color w:val="222222"/>
          <w:shd w:val="clear" w:color="auto" w:fill="FFFFFF"/>
          <w:lang w:val="en-US"/>
        </w:rPr>
        <w:t xml:space="preserve"> </w:t>
      </w:r>
      <w:r>
        <w:rPr>
          <w:rFonts w:ascii="Arial" w:hAnsi="Arial" w:cs="Arial"/>
          <w:bCs/>
          <w:color w:val="222222"/>
          <w:shd w:val="clear" w:color="auto" w:fill="FFFFFF"/>
          <w:lang w:val="en-US"/>
        </w:rPr>
        <w:fldChar w:fldCharType="begin" w:fldLock="1"/>
      </w:r>
      <w:r w:rsidR="00C555D8">
        <w:rPr>
          <w:rFonts w:ascii="Arial" w:hAnsi="Arial" w:cs="Arial"/>
          <w:bCs/>
          <w:color w:val="222222"/>
          <w:shd w:val="clear" w:color="auto" w:fill="FFFFFF"/>
          <w:lang w:val="en-US"/>
        </w:rPr>
        <w:instrText>ADDIN CSL_CITATION { "citationItems" : [ { "id" : "ITEM-1", "itemData" : { "DOI" : "10.1182/blood-2007-10-116749", "ISBN" : "00064971", "ISSN" : "00064971", "PMID" : "18239086", "abstract" : "In this randomized multicenter study of 136 patients, 6 courses of CHOP (cyclo-phosphamide/doxorubicin/vincristine/prednisone) followed by rituximab (CHOP-R) were compared with rituximab-supplemented high-dose sequential chemotherapy with autografting (R-HDS) to assess the value of intensified chemo-therapy as a first-line treatment for high-risk follicular lymphoma (FL) after the introduction of monoclonal antibodies. The analysis was intention to treat with event-free survival (EFS) as the primary endpoint. Complete remission (CR) was 62% with CHOP-R and 85% with R-HDS (P &lt; .001). At a median follow-up (MFU) of 51 months, the 4-year EFS was 28% and 61%, respectively (P &lt; .001), with no difference in overall survival (OS). Molecular remission (MR) was achieved in 44% of CHOP-R and 80% of R-HDS patients (P &lt; .001), and was the strongest independent outcome predictor. Patients relapsing after CHOP-R underwent salvage R-HDS in 71% of cases. Salvage R-HDS had an 85% CR rate and a 68% 3-year EFS (MFU, 30 months). We conclude that (1) achieving MR is critical for effective disease control, regardless of which treatment is used; (2) R-HDS ensures superior disease control and molecular outcome than CHOP-R, but no OS improvement; and (3) CHOP-R failures have a good outcome after salvage R-HDS, suggesting that relapsed/refractory FL could be the most appropriate setting for R-HDS-like treatments. This trial was registered at www.clinicaltrials.gov as no. NCT00435955.", "author" : [ { "dropping-particle" : "", "family" : "Ladetto", "given" : "Marco", "non-dropping-particle" : "", "parse-names" : false, "suffix" : "" }, { "dropping-particle" : "", "family" : "Marco", "given" : "Federica", "non-dropping-particle" : "De", "parse-names" : false, "suffix" : "" }, { "dropping-particle" : "", "family" : "Benedetti", "given" : "Fabio", "non-dropping-particle" : "", "parse-names" : false, "suffix" : "" }, { "dropping-particle" : "", "family" : "Vitolo", "given" : "Umberto", "non-dropping-particle" : "", "parse-names" : false, "suffix" : "" }, { "dropping-particle" : "", "family" : "Parti", "given" : "Caterina", "non-dropping-particle" : "", "parse-names" : false, "suffix" : "" }, { "dropping-particle" : "", "family" : "Rambaldi", "given" : "Alessandro", "non-dropping-particle" : "", "parse-names" : false, "suffix" : "" }, { "dropping-particle" : "", "family" : "Pulsoni", "given" : "Alessandro", "non-dropping-particle" : "", "parse-names" : false, "suffix" : "" }, { "dropping-particle" : "", "family" : "Musso", "given" : "Maurizio", "non-dropping-particle" : "", "parse-names" : false, "suffix" : "" }, { "dropping-particle" : "", "family" : "Liberati", "given" : "Anna M.", "non-dropping-particle" : "", "parse-names" : false, "suffix" : "" }, { "dropping-particle" : "", "family" : "Olivieri", "given" : "Attilio", "non-dropping-particle" : "", "parse-names" : false, "suffix" : "" }, { "dropping-particle" : "", "family" : "Gallamini", "given" : "Andrea", "non-dropping-particle" : "", "parse-names" : false, "suffix" : "" }, { "dropping-particle" : "", "family" : "Pogliani", "given" : "Enrico", "non-dropping-particle" : "", "parse-names" : false, "suffix" : "" }, { "dropping-particle" : "", "family" : "Scalabrini", "given" : "Delia Rota", "non-dropping-particle" : "", "parse-names" : false, "suffix" : "" }, { "dropping-particle" : "", "family" : "Callea", "given" : "Vincenzo", "non-dropping-particle" : "", "parse-names" : false, "suffix" : "" }, { "dropping-particle" : "Di", "family" : "Raimondo", "given" : "Francesco", "non-dropping-particle" : "", "parse-names" : false, "suffix" : "" }, { "dropping-particle" : "", "family" : "Pavone", "given" : "Vincenzo", "non-dropping-particle" : "", "parse-names" : false, "suffix" : "" }, { "dropping-particle" : "", "family" : "Tucci", "given" : "Alessandra", "non-dropping-particle" : "", "parse-names" : false, "suffix" : "" }, { "dropping-particle" : "", "family" : "Cortelazzo", "given" : "Sergio", "non-dropping-particle" : "", "parse-names" : false, "suffix" : "" }, { "dropping-particle" : "", "family" : "Levis", "given" : "Alessandro", "non-dropping-particle" : "", "parse-names" : false, "suffix" : "" }, { "dropping-particle" : "", "family" : "Boccadoro", "given" : "Mario", "non-dropping-particle" : "", "parse-names" : false, "suffix" : "" }, { "dropping-particle" : "", "family" : "Majolino", "given" : "Ignazio", "non-dropping-particle" : "", "parse-names" : false, "suffix" : "" }, { "dropping-particle" : "", "family" : "Pileri", "given" : "Alessandro", "non-dropping-particle" : "", "parse-names" : false, "suffix" : "" }, { "dropping-particle" : "", "family" : "Gianni", "given" : "Alessandro M.", "non-dropping-particle" : "", "parse-names" : false, "suffix" : "" }, { "dropping-particle" : "", "family" : "Passera", "given" : "Roberto", "non-dropping-particle" : "", "parse-names" : false, "suffix" : "" }, { "dropping-particle" : "", "family" : "Corradini", "given" : "Paolo", "non-dropping-particle" : "", "parse-names" : false, "suffix" : "" }, { "dropping-particle" : "", "family" : "Tarella", "given" : "Corrado", "non-dropping-particle" : "", "parse-names" : false, "suffix" : "" } ], "container-title" : "Blood", "id" : "ITEM-1", "issue" : "8", "issued" : { "date-parts" : [ [ "2008" ] ] }, "page" : "4004-4013", "title" : "Prospective, multicenter randomized GITMO/IIL trial comparing intensive (R-HDS) versus conventional (CHOP-R) chemoimmunotherapy in high-risk follicular lymphoma at diagnosis: The superior disease control of R-HDS does not translate into an overall surviva", "type" : "article-journal", "volume" : "111" }, "uris" : [ "http://www.mendeley.com/documents/?uuid=7069ae47-6512-4b13-9525-5fdceab42f63", "http://www.mendeley.com/documents/?uuid=3804b3d0-2445-4acb-8b4f-01bc528cb227" ] } ], "mendeley" : { "formattedCitation" : "(25)", "plainTextFormattedCitation" : "(25)", "previouslyFormattedCitation" : "(25)"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(25)</w:t>
      </w:r>
      <w:r>
        <w:rPr>
          <w:rFonts w:ascii="Arial" w:hAnsi="Arial" w:cs="Arial"/>
          <w:bCs/>
          <w:color w:val="222222"/>
          <w:shd w:val="clear" w:color="auto" w:fill="FFFFFF"/>
          <w:lang w:val="en-US"/>
        </w:rPr>
        <w:fldChar w:fldCharType="end"/>
      </w:r>
      <w:r>
        <w:rPr>
          <w:rFonts w:ascii="Arial" w:hAnsi="Arial" w:cs="Arial"/>
          <w:bCs/>
          <w:color w:val="222222"/>
          <w:shd w:val="clear" w:color="auto" w:fill="FFFFFF"/>
          <w:lang w:val="en-US"/>
        </w:rPr>
        <w:t xml:space="preserve">. More recently </w:t>
      </w:r>
      <w:proofErr w:type="spellStart"/>
      <w:r>
        <w:rPr>
          <w:rFonts w:ascii="Arial" w:hAnsi="Arial" w:cs="Arial"/>
          <w:bCs/>
          <w:color w:val="222222"/>
          <w:shd w:val="clear" w:color="auto" w:fill="FFFFFF"/>
          <w:lang w:val="en-US"/>
        </w:rPr>
        <w:t>Gali</w:t>
      </w:r>
      <w:r w:rsidRPr="0025576A">
        <w:rPr>
          <w:rFonts w:ascii="Arial" w:hAnsi="Arial" w:cs="Arial"/>
          <w:bCs/>
          <w:color w:val="222222"/>
          <w:shd w:val="clear" w:color="auto" w:fill="FFFFFF"/>
          <w:lang w:val="en-US"/>
        </w:rPr>
        <w:t>mber</w:t>
      </w:r>
      <w:r>
        <w:rPr>
          <w:rFonts w:ascii="Arial" w:hAnsi="Arial" w:cs="Arial"/>
          <w:bCs/>
          <w:color w:val="222222"/>
          <w:shd w:val="clear" w:color="auto" w:fill="FFFFFF"/>
          <w:lang w:val="en-US"/>
        </w:rPr>
        <w:t>ti</w:t>
      </w:r>
      <w:proofErr w:type="spellEnd"/>
      <w:r>
        <w:rPr>
          <w:rFonts w:ascii="Arial" w:hAnsi="Arial" w:cs="Arial"/>
          <w:bCs/>
          <w:color w:val="222222"/>
          <w:shd w:val="clear" w:color="auto" w:fill="FFFFFF"/>
          <w:lang w:val="en-US"/>
        </w:rPr>
        <w:t xml:space="preserve"> et al </w:t>
      </w:r>
      <w:r w:rsidR="00753DF5">
        <w:rPr>
          <w:rFonts w:ascii="Arial" w:hAnsi="Arial" w:cs="Arial"/>
          <w:bCs/>
          <w:color w:val="222222"/>
          <w:shd w:val="clear" w:color="auto" w:fill="FFFFFF"/>
          <w:lang w:val="en-US"/>
        </w:rPr>
        <w:t>analyzed</w:t>
      </w:r>
      <w:r>
        <w:rPr>
          <w:rFonts w:ascii="Arial" w:hAnsi="Arial" w:cs="Arial"/>
          <w:bCs/>
          <w:color w:val="222222"/>
          <w:shd w:val="clear" w:color="auto" w:fill="FFFFFF"/>
          <w:lang w:val="en-US"/>
        </w:rPr>
        <w:t xml:space="preserve"> the role of m</w:t>
      </w:r>
      <w:r w:rsidRPr="0025576A">
        <w:rPr>
          <w:rFonts w:ascii="Arial" w:hAnsi="Arial" w:cs="Arial"/>
          <w:bCs/>
          <w:color w:val="222222"/>
          <w:shd w:val="clear" w:color="auto" w:fill="FFFFFF"/>
          <w:lang w:val="en-US"/>
        </w:rPr>
        <w:t xml:space="preserve">olecular tumor burden and response in patients enrolled in the randomized FOLL05 trial of immunochemotherapy for untreated patients with advanced stage FL. </w:t>
      </w:r>
    </w:p>
    <w:p w:rsidR="00295834" w:rsidRPr="0025576A" w:rsidRDefault="00295834" w:rsidP="0025576A">
      <w:pPr>
        <w:autoSpaceDE w:val="0"/>
        <w:autoSpaceDN w:val="0"/>
        <w:adjustRightInd w:val="0"/>
        <w:spacing w:line="360" w:lineRule="auto"/>
        <w:jc w:val="both"/>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At diagnosis, the molecular marker (</w:t>
      </w:r>
      <w:proofErr w:type="gramStart"/>
      <w:r w:rsidRPr="0025576A">
        <w:rPr>
          <w:rFonts w:ascii="Arial" w:hAnsi="Arial" w:cs="Arial"/>
          <w:bCs/>
          <w:color w:val="222222"/>
          <w:shd w:val="clear" w:color="auto" w:fill="FFFFFF"/>
          <w:lang w:val="en-US"/>
        </w:rPr>
        <w:t>t(</w:t>
      </w:r>
      <w:proofErr w:type="gramEnd"/>
      <w:r w:rsidRPr="0025576A">
        <w:rPr>
          <w:rFonts w:ascii="Arial" w:hAnsi="Arial" w:cs="Arial"/>
          <w:bCs/>
          <w:color w:val="222222"/>
          <w:shd w:val="clear" w:color="auto" w:fill="FFFFFF"/>
          <w:lang w:val="en-US"/>
        </w:rPr>
        <w:t xml:space="preserve">14;18)) was detected in the in the bone marrow sample of  53% of cases. Patients without molecular marker or with a low molecular tumor burden (&lt;1 × 10−4 copies) showed higher complete remission rate and longer PFS. Moreover PFS was significantly conditioned by the PCR status at 12 and 24 months, with 3-year PFS of 66% for MRD− cases versus 41% for those MRD+ at 12 months (P = 0.015), and 84% versus 50% at 24 months (P = 0.014). </w:t>
      </w:r>
      <w:r>
        <w:rPr>
          <w:rFonts w:ascii="Arial" w:hAnsi="Arial" w:cs="Arial"/>
          <w:bCs/>
          <w:color w:val="222222"/>
          <w:shd w:val="clear" w:color="auto" w:fill="FFFFFF"/>
          <w:lang w:val="en-US"/>
        </w:rPr>
        <w:fldChar w:fldCharType="begin" w:fldLock="1"/>
      </w:r>
      <w:r w:rsidR="00C555D8">
        <w:rPr>
          <w:rFonts w:ascii="Arial" w:hAnsi="Arial" w:cs="Arial"/>
          <w:bCs/>
          <w:color w:val="222222"/>
          <w:shd w:val="clear" w:color="auto" w:fill="FFFFFF"/>
          <w:lang w:val="en-US"/>
        </w:rPr>
        <w:instrText>ADDIN CSL_CITATION { "citationItems" : [ { "id" : "ITEM-1", "itemData" : { "DOI" : "10.1158/1078-0432.CCR-14-0407", "ISBN" : "1078-0432 (Electronic)\\r1078-0432 (Linking)", "ISSN" : "15573265", "PMID" : "25316810", "abstract" : "Purpose: The role of the minimal residual disease (MRD) in follicular lymphoma is still debated. In this study, we assessed whether the BCL2/IGH rearrangement could have a prognostic role in patients receiving R-CHOP, R-FM, or R-CVP.\nExperimental Design: DNAs from 415 patients among the 504 cases enrolled in the FOLL05 trial (NCT00774826) were centralized and assessed for the BCL2/IGH at diagnosis, at the end of treatment, and after 12 and 24 months.\nResults: At diagnosis, the molecular marker was detected in 53% of cases. Patients without molecular marker or with a low molecular tumor burden (&lt;1 \u00d7 10\u22124 copies) showed higher complete remission (CR) rate and longer progression-free survival (PFS; 3-year PFS 80% vs. 59%; P = 0.015). PFS was significantly conditioned by the PCR status at 12 and 24 months, with 3-year PFS of 66% for MRD\u2212 cases versus 41% for those MRD+ at 12 months (P = 0.015), and 84% versus 50% at 24 months (P = 0.014). The MRD negativity at 12 and 24 months resulted in an improved PFS both in CR and in partial remission (PR) patients (3-year PFS = 72% for cases CR/PCR\u2212 vs. 32% for those CR/PCR+ vs. 62% for those PR/PCR\u2212 and 25% for patients in PR/PCR+; P = 0.001). The prognostic value of MRD at 12 and 24 months of follow-up was confirmed also in multivariate analysis.\nConclusions: In this study, standardized molecular techniques have been adopted and applied on bone marrow samples from a large cohort. Data reported show that the MRD detection is a powerful independent predictor of PFS in patients with follicular lymphoma receiving conventional chemoimmunotherapy. Clin Cancer Res; 20(24); 6398\u2013405. \u00a92014 AACR.", "author" : [ { "dropping-particle" : "", "family" : "Galimberti", "given" : "Sara", "non-dropping-particle" : "", "parse-names" : false, "suffix" : "" }, { "dropping-particle" : "", "family" : "Luminari", "given" : "Stefano", "non-dropping-particle" : "", "parse-names" : false, "suffix" : "" }, { "dropping-particle" : "", "family" : "Ciabatti", "given" : "Elena", "non-dropping-particle" : "", "parse-names" : false, "suffix" : "" }, { "dropping-particle" : "", "family" : "Grassi", "given" : "Susanna", "non-dropping-particle" : "", "parse-names" : false, "suffix" : "" }, { "dropping-particle" : "", "family" : "Guerrini", "given" : "Francesca", "non-dropping-particle" : "", "parse-names" : false, "suffix" : "" }, { "dropping-particle" : "", "family" : "Dondi", "given" : "Alessra", "non-dropping-particle" : "", "parse-names" : false, "suffix" : "" }, { "dropping-particle" : "", "family" : "Marcheselli", "given" : "Luigi", "non-dropping-particle" : "", "parse-names" : false, "suffix" : "" }, { "dropping-particle" : "", "family" : "Ladetto", "given" : "Marco", "non-dropping-particle" : "", "parse-names" : false, "suffix" : "" }, { "dropping-particle" : "", "family" : "Piccaluga", "given" : "Pier Paolo", "non-dropping-particle" : "", "parse-names" : false, "suffix" : "" }, { "dropping-particle" : "", "family" : "Gazzola", "given" : "Anna", "non-dropping-particle" : "", "parse-names" : false, "suffix" : "" }, { "dropping-particle" : "", "family" : "Mannu", "given" : "Claudia", "non-dropping-particle" : "", "parse-names" : false, "suffix" : "" }, { "dropping-particle" : "", "family" : "Monitillo", "given" : "Luigia", "non-dropping-particle" : "", "parse-names" : false, "suffix" : "" }, { "dropping-particle" : "", "family" : "Mantoan", "given" : "Barbara", "non-dropping-particle" : "", "parse-names" : false, "suffix" : "" }, { "dropping-particle" : "Del", "family" : "Giudice", "given" : "Ilaria", "non-dropping-particle" : "", "parse-names" : false, "suffix" : "" }, { "dropping-particle" : "Della", "family" : "Starza", "given" : "Irene", "non-dropping-particle" : "", "parse-names" : false, "suffix" : "" }, { "dropping-particle" : "", "family" : "Cavalli", "given" : "Marzia", "non-dropping-particle" : "", "parse-names" : false, "suffix" : "" }, { "dropping-particle" : "", "family" : "Arcaini", "given" : "Luca", "non-dropping-particle" : "", "parse-names" : false, "suffix" : "" }, { "dropping-particle" : "", "family" : "Tucci", "given" : "Alessra", "non-dropping-particle" : "", "parse-names" : false, "suffix" : "" }, { "dropping-particle" : "", "family" : "Palumbo", "given" : "Giuseppe Alberto", "non-dropping-particle" : "", "parse-names" : false, "suffix" : "" }, { "dropping-particle" : "", "family" : "Rigacci", "given" : "Luigi", "non-dropping-particle" : "", "parse-names" : false, "suffix" : "" }, { "dropping-particle" : "", "family" : "Pulsoni", "given" : "Alessro", "non-dropping-particle" : "", "parse-names" : false, "suffix" : "" }, { "dropping-particle" : "", "family" : "Vitolo", "given" : "Umberto", "non-dropping-particle" : "", "parse-names" : false, "suffix" : "" }, { "dropping-particle" : "", "family" : "Boccomini", "given" : "Carola", "non-dropping-particle" : "", "parse-names" : false, "suffix" : "" }, { "dropping-particle" : "", "family" : "Vallisa", "given" : "Daniele", "non-dropping-particle" : "", "parse-names" : false, "suffix" : "" }, { "dropping-particle" : "", "family" : "Bertoldero", "given" : "Giovanni", "non-dropping-particle" : "", "parse-names" : false, "suffix" : "" }, { "dropping-particle" : "", "family" : "Gaidano", "given" : "Gianluca", "non-dropping-particle" : "", "parse-names" : false, "suffix" : "" }, { "dropping-particle" : "", "family" : "Musto", "given" : "Pellegrino", "non-dropping-particle" : "", "parse-names" : false, "suffix" : "" }, { "dropping-particle" : "", "family" : "Petrini", "given" : "Mario", "non-dropping-particle" : "", "parse-names" : false, "suffix" : "" }, { "dropping-particle" : "", "family" : "Federico", "given" : "Massimo", "non-dropping-particle" : "", "parse-names" : false, "suffix" : "" } ], "container-title" : "Clinical Cancer Research", "id" : "ITEM-1", "issue" : "24", "issued" : { "date-parts" : [ [ "2014" ] ] }, "page" : "6398-6405", "title" : "Minimal residual disease after conventional treatment significantly impacts on progression-free survival of patients with follicular lymphoma: The FIL FOLL05 trial", "type" : "paper-conference", "volume" : "20" }, "uris" : [ "http://www.mendeley.com/documents/?uuid=2785a662-0639-439a-9792-d845d0d4b110", "http://www.mendeley.com/documents/?uuid=ef2a2f66-c368-42a7-ba84-ebefefea2dc8" ] } ], "mendeley" : { "formattedCitation" : "(26)", "plainTextFormattedCitation" : "(26)", "previouslyFormattedCitation" : "(26)"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(26)</w:t>
      </w:r>
      <w:r>
        <w:rPr>
          <w:rFonts w:ascii="Arial" w:hAnsi="Arial" w:cs="Arial"/>
          <w:bCs/>
          <w:color w:val="222222"/>
          <w:shd w:val="clear" w:color="auto" w:fill="FFFFFF"/>
          <w:lang w:val="en-US"/>
        </w:rPr>
        <w:fldChar w:fldCharType="end"/>
      </w:r>
    </w:p>
    <w:p w:rsidR="00295834" w:rsidRPr="0025576A" w:rsidRDefault="00295834" w:rsidP="0025576A">
      <w:pPr>
        <w:spacing w:line="360" w:lineRule="auto"/>
        <w:rPr>
          <w:rFonts w:ascii="Arial" w:hAnsi="Arial" w:cs="Arial"/>
          <w:bCs/>
          <w:color w:val="222222"/>
          <w:shd w:val="clear" w:color="auto" w:fill="FFFFFF"/>
          <w:lang w:val="en-US"/>
        </w:rPr>
      </w:pP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lastRenderedPageBreak/>
        <w:t>Based on these data MR is confirmed as a promising prognostic factor in the post</w:t>
      </w:r>
      <w:r>
        <w:rPr>
          <w:rFonts w:ascii="Arial" w:hAnsi="Arial" w:cs="Arial"/>
          <w:bCs/>
          <w:color w:val="222222"/>
          <w:shd w:val="clear" w:color="auto" w:fill="FFFFFF"/>
          <w:lang w:val="en-US"/>
        </w:rPr>
        <w:t>-</w:t>
      </w:r>
      <w:r w:rsidRPr="0025576A">
        <w:rPr>
          <w:rFonts w:ascii="Arial" w:hAnsi="Arial" w:cs="Arial"/>
          <w:bCs/>
          <w:color w:val="222222"/>
          <w:shd w:val="clear" w:color="auto" w:fill="FFFFFF"/>
          <w:lang w:val="en-US"/>
        </w:rPr>
        <w:t>induction assessment of response similarly to what is done in other lymphomas or hematologic malignancies. The use of MRD in clinical practice however, is limited by lack of consensus and standardization on MRD tec</w:t>
      </w:r>
      <w:r>
        <w:rPr>
          <w:rFonts w:ascii="Arial" w:hAnsi="Arial" w:cs="Arial"/>
          <w:bCs/>
          <w:color w:val="222222"/>
          <w:shd w:val="clear" w:color="auto" w:fill="FFFFFF"/>
          <w:lang w:val="en-US"/>
        </w:rPr>
        <w:t>hn</w:t>
      </w:r>
      <w:r w:rsidRPr="0025576A">
        <w:rPr>
          <w:rFonts w:ascii="Arial" w:hAnsi="Arial" w:cs="Arial"/>
          <w:bCs/>
          <w:color w:val="222222"/>
          <w:shd w:val="clear" w:color="auto" w:fill="FFFFFF"/>
          <w:lang w:val="en-US"/>
        </w:rPr>
        <w:t>iques and timing and by the lack of molecular marker in all patients with FL; the rate of patient without measurable marker is around 30% that can be only partial</w:t>
      </w:r>
      <w:r>
        <w:rPr>
          <w:rFonts w:ascii="Arial" w:hAnsi="Arial" w:cs="Arial"/>
          <w:bCs/>
          <w:color w:val="222222"/>
          <w:shd w:val="clear" w:color="auto" w:fill="FFFFFF"/>
          <w:lang w:val="en-US"/>
        </w:rPr>
        <w:t>ly</w:t>
      </w:r>
      <w:r w:rsidRPr="0025576A">
        <w:rPr>
          <w:rFonts w:ascii="Arial" w:hAnsi="Arial" w:cs="Arial"/>
          <w:bCs/>
          <w:color w:val="222222"/>
          <w:shd w:val="clear" w:color="auto" w:fill="FFFFFF"/>
          <w:lang w:val="en-US"/>
        </w:rPr>
        <w:t xml:space="preserve"> improved with better methods and technologies (VDJ region analysis or rarer breakpoint regions of </w:t>
      </w:r>
      <w:r w:rsidRPr="0025576A">
        <w:rPr>
          <w:rFonts w:ascii="Arial" w:hAnsi="Arial" w:cs="Arial"/>
          <w:bCs/>
          <w:i/>
          <w:iCs/>
          <w:color w:val="222222"/>
          <w:shd w:val="clear" w:color="auto" w:fill="FFFFFF"/>
          <w:lang w:val="en-US"/>
        </w:rPr>
        <w:t>BCL2/IGH</w:t>
      </w:r>
      <w:r w:rsidRPr="0025576A">
        <w:rPr>
          <w:rFonts w:ascii="Arial" w:hAnsi="Arial" w:cs="Arial"/>
          <w:bCs/>
          <w:color w:val="222222"/>
          <w:shd w:val="clear" w:color="auto" w:fill="FFFFFF"/>
          <w:lang w:val="en-US"/>
        </w:rPr>
        <w:t> chromosomal translocation). Over the last number of years, the concept that tumor cells undergoing apoptosis or necrosis release cell-free circulating DNA (</w:t>
      </w:r>
      <w:proofErr w:type="spellStart"/>
      <w:r w:rsidRPr="0025576A">
        <w:rPr>
          <w:rFonts w:ascii="Arial" w:hAnsi="Arial" w:cs="Arial"/>
          <w:bCs/>
          <w:color w:val="222222"/>
          <w:shd w:val="clear" w:color="auto" w:fill="FFFFFF"/>
          <w:lang w:val="en-US"/>
        </w:rPr>
        <w:t>cfDNA</w:t>
      </w:r>
      <w:proofErr w:type="spellEnd"/>
      <w:r w:rsidRPr="0025576A">
        <w:rPr>
          <w:rFonts w:ascii="Arial" w:hAnsi="Arial" w:cs="Arial"/>
          <w:bCs/>
          <w:color w:val="222222"/>
          <w:shd w:val="clear" w:color="auto" w:fill="FFFFFF"/>
          <w:lang w:val="en-US"/>
        </w:rPr>
        <w:t xml:space="preserve">) into the blood, enabled the use of whole exome sequencing (“next-generation sequencing technologies” – NGS) to detect tumor presence from blood samples. Recently </w:t>
      </w:r>
      <w:proofErr w:type="spellStart"/>
      <w:r w:rsidRPr="0025576A">
        <w:rPr>
          <w:rFonts w:ascii="Arial" w:hAnsi="Arial" w:cs="Arial"/>
          <w:bCs/>
          <w:color w:val="222222"/>
          <w:shd w:val="clear" w:color="auto" w:fill="FFFFFF"/>
          <w:lang w:val="en-US"/>
        </w:rPr>
        <w:t>Roschewski</w:t>
      </w:r>
      <w:proofErr w:type="spellEnd"/>
      <w:r w:rsidRPr="0025576A">
        <w:rPr>
          <w:rFonts w:ascii="Arial" w:hAnsi="Arial" w:cs="Arial"/>
          <w:bCs/>
          <w:color w:val="222222"/>
          <w:shd w:val="clear" w:color="auto" w:fill="FFFFFF"/>
          <w:lang w:val="en-US"/>
        </w:rPr>
        <w:t> </w:t>
      </w:r>
      <w:r w:rsidRPr="0025576A">
        <w:rPr>
          <w:rFonts w:ascii="Arial" w:hAnsi="Arial" w:cs="Arial"/>
          <w:bCs/>
          <w:i/>
          <w:iCs/>
          <w:color w:val="222222"/>
          <w:shd w:val="clear" w:color="auto" w:fill="FFFFFF"/>
          <w:lang w:val="en-US"/>
        </w:rPr>
        <w:t>et al</w:t>
      </w:r>
      <w:r w:rsidRPr="0025576A">
        <w:rPr>
          <w:rFonts w:ascii="Arial" w:hAnsi="Arial" w:cs="Arial"/>
          <w:bCs/>
          <w:color w:val="222222"/>
          <w:shd w:val="clear" w:color="auto" w:fill="FFFFFF"/>
          <w:lang w:val="en-US"/>
        </w:rPr>
        <w:t xml:space="preserve">. used this technology to monitor response in 126 patients with diffuse large B-cell lymphoma, and showed that the presence of detectable </w:t>
      </w:r>
      <w:proofErr w:type="spellStart"/>
      <w:r w:rsidRPr="0025576A">
        <w:rPr>
          <w:rFonts w:ascii="Arial" w:hAnsi="Arial" w:cs="Arial"/>
          <w:bCs/>
          <w:color w:val="222222"/>
          <w:shd w:val="clear" w:color="auto" w:fill="FFFFFF"/>
          <w:lang w:val="en-US"/>
        </w:rPr>
        <w:t>cfDNA</w:t>
      </w:r>
      <w:proofErr w:type="spellEnd"/>
      <w:r w:rsidRPr="0025576A">
        <w:rPr>
          <w:rFonts w:ascii="Arial" w:hAnsi="Arial" w:cs="Arial"/>
          <w:bCs/>
          <w:color w:val="222222"/>
          <w:shd w:val="clear" w:color="auto" w:fill="FFFFFF"/>
          <w:lang w:val="en-US"/>
        </w:rPr>
        <w:t xml:space="preserve"> during surveillance was associated with a higher risk of lymphoma progression compared with that of patients with undetectable circulating tumor DNA</w:t>
      </w:r>
      <w:r w:rsidR="00C555D8">
        <w:rPr>
          <w:rFonts w:ascii="Arial" w:hAnsi="Arial" w:cs="Arial"/>
          <w:bCs/>
          <w:color w:val="222222"/>
          <w:shd w:val="clear" w:color="auto" w:fill="FFFFFF"/>
          <w:lang w:val="en-US"/>
        </w:rPr>
        <w:t xml:space="preserve"> </w:t>
      </w:r>
      <w:r w:rsidR="00C555D8">
        <w:rPr>
          <w:rFonts w:ascii="Arial" w:hAnsi="Arial" w:cs="Arial"/>
          <w:bCs/>
          <w:color w:val="222222"/>
          <w:shd w:val="clear" w:color="auto" w:fill="FFFFFF"/>
          <w:lang w:val="en-US"/>
        </w:rPr>
        <w:fldChar w:fldCharType="begin" w:fldLock="1"/>
      </w:r>
      <w:r w:rsidR="0017693A">
        <w:rPr>
          <w:rFonts w:ascii="Arial" w:hAnsi="Arial" w:cs="Arial"/>
          <w:bCs/>
          <w:color w:val="222222"/>
          <w:shd w:val="clear" w:color="auto" w:fill="FFFFFF"/>
          <w:lang w:val="en-US"/>
        </w:rPr>
        <w:instrText>ADDIN CSL_CITATION { "citationItems" : [ { "id" : "ITEM-1", "itemData" : { "ISBN" : "0006-4971", "ISSN" : "1528-0020", "abstract" : "Background: Diffuse large B-cell lymphoma (DLBCL) can be cured with frontline therapy, but the prognosis of patients with relapse in the modern era is poor. Radiology scans (CT and PET) are commonly used as surveillance tools after therapy but do not improve outcomes and are associated with long-term health risks. Interim scans have also been used to identify early treatment failures, but are limited by false positives. Reliable predictive biomarkers that predict relapse may improve clinical outcomes. LymphoSIGHT\u00aa is a high-throughput DNA sequencing method that can detect and quantify circulating tumor DNA as minimal residual disease (MRD). We have previously reported its ability to detect circulating tumor DNA in serum after frontline therapy in DLBCL (Roschewski ASH 2013). Here, we analyzed the ability of serum MRD to predict both early treatment failure and relapse from remission in a large cohort of newly diagnosed DLBCL patients treated with curative intent.\\r\\n\\r\\nMethods: Patients with DLBCL and treated at the NCI with EPOCH-based chemotherapy +/-rituximab between July 1996 and October 2013 had research serum samples collected pre-Tx, at each cycle, and at each surveillance visit. Surveillance visits included serum samples with paired CT scans at 3, 4, 6, and 12-month intervals for the first 5 years. Pre-treatment formalin-fixed paraffin embedded (FFPE) tissue specimens and/or baseline serum were de-identified and sent for identification of tumor-specific clonotypes. Tumor DNA was amplified using locus-specific primer sets for the immunoglobulin heavy-chain locus (IGH) complete (IGH-VDJH), IGH incomplete (IGH-DJH), and immunoglobulin k locus (IGK). Amplified products were sequenced, and patients in whom a high-frequency tumor clone (.5%) was not identified were excluded from the MRD analysis. Tumor-specific clonotypes were quantitated in the serum as MRD and analyzed for the ability to predict early treatment failure (interim monitoring) and relapse from remission (surveillance monitoring). Disease progression during therapy or &lt;6 mos from completion was considered early treatment failure.\\r\\n\\r\\nResults: 198 patients with DLBCL had pre-treatment specimens screened for a pre-treatment tumor clonotype with 3 excluded due to &lt;10ng input DNA. When FFPE was available, 94 of 112 samples (86%) identified a clone while only 32 of 86 samples (37%) identified a clone without FFPE. The median age was 44 years (14-85) and an IPI risk groups included 56 low,\u2026", "author" : [ { "dropping-particle" : "", "family" : "Roschewski", "given" : "Mark", "non-dropping-particle" : "", "parse-names" : false, "suffix" : "" }, { "dropping-particle" : "", "family" : "Dunleavy", "given" : "Kieron", "non-dropping-particle" : "", "parse-names" : false, "suffix" : "" }, { "dropping-particle" : "", "family" : "Pittaluga", "given" : "Stefania", "non-dropping-particle" : "", "parse-names" : false, "suffix" : "" }, { "dropping-particle" : "", "family" : "Kong", "given" : "Katie", "non-dropping-particle" : "", "parse-names" : false, "suffix" : "" } ], "container-title" : "Blood", "id" : "ITEM-1", "issue" : "21", "issued" : { "date-parts" : [ [ "2014" ] ] }, "page" : "139", "title" : "Monitoring of Circulating Tumor DNA As Minimal Residual Disease in Diffuse Large B-Cell Lymphoma", "type" : "article-journal", "volume" : "124" }, "uris" : [ "http://www.mendeley.com/documents/?uuid=bc28f3c1-24d7-4d8b-afa9-c8ef66cf9848" ] } ], "mendeley" : { "formattedCitation" : "(27)", "plainTextFormattedCitation" : "(27)", "previouslyFormattedCitation" : "(27)" }, "properties" : { "noteIndex" : 0 }, "schema" : "https://github.com/citation-style-language/schema/raw/master/csl-citation.json" }</w:instrText>
      </w:r>
      <w:r w:rsidR="00C555D8">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(27)</w:t>
      </w:r>
      <w:r w:rsidR="00C555D8">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This new tool, named “liquid biopsy”, and the use of peripheral blood might further improve MRD studies in FL.</w:t>
      </w:r>
    </w:p>
    <w:p w:rsidR="00295834" w:rsidRPr="00B62CCB" w:rsidRDefault="00295834" w:rsidP="0025576A">
      <w:pPr>
        <w:pStyle w:val="NormalWeb"/>
        <w:spacing w:before="0" w:beforeAutospacing="0" w:after="0" w:afterAutospacing="0" w:line="360" w:lineRule="auto"/>
        <w:textAlignment w:val="baseline"/>
        <w:rPr>
          <w:rFonts w:ascii="Arial" w:hAnsi="Arial" w:cs="Arial"/>
          <w:b/>
          <w:bCs/>
          <w:color w:val="222222"/>
          <w:shd w:val="clear" w:color="auto" w:fill="FFFFFF"/>
          <w:lang w:val="en-US"/>
        </w:rPr>
      </w:pPr>
    </w:p>
    <w:p w:rsidR="00295834" w:rsidRPr="00B62CCB" w:rsidRDefault="00295834" w:rsidP="0025576A">
      <w:pPr>
        <w:pStyle w:val="NormalWeb"/>
        <w:spacing w:before="0" w:beforeAutospacing="0" w:after="0" w:afterAutospacing="0" w:line="360" w:lineRule="auto"/>
        <w:textAlignment w:val="baseline"/>
        <w:rPr>
          <w:rFonts w:ascii="Arial" w:hAnsi="Arial" w:cs="Arial"/>
          <w:b/>
          <w:bCs/>
          <w:color w:val="222222"/>
          <w:shd w:val="clear" w:color="auto" w:fill="FFFFFF"/>
          <w:lang w:val="en-US"/>
        </w:rPr>
      </w:pPr>
      <w:r w:rsidRPr="00B62CCB">
        <w:rPr>
          <w:rFonts w:ascii="Arial" w:hAnsi="Arial" w:cs="Arial"/>
          <w:b/>
          <w:bCs/>
          <w:color w:val="222222"/>
          <w:shd w:val="clear" w:color="auto" w:fill="FFFFFF"/>
          <w:lang w:val="en-US"/>
        </w:rPr>
        <w:t>Combined models</w:t>
      </w: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 xml:space="preserve">All previously discussed prognostic factors were defined using multivariable models that also included commonly used clinical prognostic indexes of individual factors </w:t>
      </w:r>
      <w:r>
        <w:rPr>
          <w:rFonts w:ascii="Arial" w:hAnsi="Arial" w:cs="Arial"/>
          <w:bCs/>
          <w:color w:val="222222"/>
          <w:shd w:val="clear" w:color="auto" w:fill="FFFFFF"/>
          <w:lang w:val="en-US"/>
        </w:rPr>
        <w:fldChar w:fldCharType="begin" w:fldLock="1"/>
      </w:r>
      <w:r w:rsidR="00C555D8">
        <w:rPr>
          <w:rFonts w:ascii="Arial" w:hAnsi="Arial" w:cs="Arial"/>
          <w:bCs/>
          <w:color w:val="222222"/>
          <w:shd w:val="clear" w:color="auto" w:fill="FFFFFF"/>
          <w:lang w:val="en-US"/>
        </w:rPr>
        <w:instrText>ADDIN CSL_CITATION { "citationItems" : [ { "id" : "ITEM-1", "itemData" : { "DOI" : "10.1200/JCO.2016.66.9440", "ISBN" : "1527-7755 (Electronic)\r0732-183X (Linking)", "ISSN" : "15277755", "PMID" : "27551111", "abstract" : "PURPOSE Identifying patients at high risk of progression and early death among those with high-tumor-burden follicular lymphoma (FL) is unsatisfactory with current prognostic models. This study aimed to determine the prognostic impact of the total metabolic tumor volume (TMTV) measured at baseline with [(18)F]fluorodeoxyglucose/positron emission tomography-computed tomography ([(18)F]FDG/PET-CT) scans and its added value to these models. PATIENTS AND METHODS A pooled analysis was performed by using patient data and centrally reviewed baseline PET-CT scans for 185 patients with FL who were receiving immunochemotherapy within three prospective trials. TMTV was computed by using the 41% maximum standardized uptake value thresholding method, and the optimal cutoff for survival prediction was determined. RESULTS Median age was 55 years, 92% of patients had stage III to IV disease, 37% had a Follicular Lymphoma International Prognostic Index (FLIPI) score of 3 to 5, and 31% had a FLIPI2 score of 3 to 5. With a median follow-up of 64 months, overall 5-year progression-free survival (PFS) was 55% and overall survival (OS) was 92%. Median TMTV was 297 cm(3) (quartile 1 through quartile 3, 135 to 567 cm(3)). The optimal cutoff identified was 510 cm(3), with a markedly inferior survival in the 29% of patients with TMTV &gt; 510 cm(3). Five-year PFS was 33% versus 65% (hazard ratio [HR], 2.90; P &lt; .001), and 5-year OS was 85% versus 95% (HR, 3.45; P = .010). On multivariable analysis, TMTV (HR, 2.3; P = .002) and FLIPI2 score (HR, 2.2; P = .002) were independent predictors of PFS. In combination, they identify three risk groups: high TMTV and intermediate-to-high FLIPI2 score with 5-year PFS of 20% (HR, 5.0; P &lt; .001), high TMTV or intermediate-to-high FLIPI2 score with 5-year PFS of 46% (HR, 2.1; P = .007), and low TMTV and low FLIP2 with 5-year PFS of 69%. CONCLUSION Baseline TMTV is a strong independent predictor of outcome in FL. In combination with FLIPI2 score, it identifies patients at high risk of early progression. It warrants further validation as a biomarker for development of first-line PET-adapted approaches in FL.", "author" : [ { "dropping-particle" : "", "family" : "Meignan", "given" : "Michel", "non-dropping-particle" : "", "parse-names" : false, "suffix" : "" }, { "dropping-particle" : "", "family" : "Cottereau", "given" : "Anne S\u00e9gol\u00e8ne", "non-dropping-particle" : "", "parse-names" : false, "suffix" : "" }, { "dropping-particle" : "", "family" : "Versari", "given" : "Annibale", "non-dropping-particle" : "", "parse-names" : false, "suffix" : "" }, { "dropping-particle" : "", "family" : "Chartier", "given" : "Lo\u00efc", "non-dropping-particle" : "", "parse-names" : false, "suffix" : "" }, { "dropping-particle" : "", "family" : "Dupuis", "given" : "Jehan", "non-dropping-particle" : "", "parse-names" : false, "suffix" : "" }, { "dropping-particle" : "", "family" : "Boussetta", "given" : "Sami", "non-dropping-particle" : "", "parse-names" : false, "suffix" : "" }, { "dropping-particle" : "", "family" : "Grassi", "given" : "Ilaria", "non-dropping-particle" : "", "parse-names" : false, "suffix" : "" }, { "dropping-particle" : "", "family" : "Casasnovas", "given" : "Ren\u00e9 Olivier", "non-dropping-particle" : "", "parse-names" : false, "suffix" : "" }, { "dropping-particle" : "", "family" : "Haioun", "given" : "Corinne", "non-dropping-particle" : "", "parse-names" : false, "suffix" : "" }, { "dropping-particle" : "", "family" : "Tilly", "given" : "Herv\u00e9", "non-dropping-particle" : "", "parse-names" : false, "suffix" : "" }, { "dropping-particle" : "", "family" : "Tarantino", "given" : "Vittoria", "non-dropping-particle" : "", "parse-names" : false, "suffix" : "" }, { "dropping-particle" : "", "family" : "Dubreuil", "given" : "Julien", "non-dropping-particle" : "", "parse-names" : false, "suffix" : "" }, { "dropping-particle" : "", "family" : "Federico", "given" : "Massimo", "non-dropping-particle" : "", "parse-names" : false, "suffix" : "" }, { "dropping-particle" : "", "family" : "Salles", "given" : "Gilles", "non-dropping-particle" : "", "parse-names" : false, "suffix" : "" }, { "dropping-particle" : "", "family" : "Luminari", "given" : "Stefano", "non-dropping-particle" : "", "parse-names" : false, "suffix" : "" }, { "dropping-particle" : "", "family" : "Trotman", "given" : "Judith", "non-dropping-particle" : "", "parse-names" : false, "suffix" : "" } ], "container-title" : "Journal of Clinical Oncology", "id" : "ITEM-1", "issue" : "30", "issued" : { "date-parts" : [ [ "2016" ] ] }, "page" : "3618-3626", "title" : "Baseline metabolic tumor volume predicts outcome in high-tumor-burden follicular lymphoma: A pooled analysis of three multicenter studies", "type" : "paper-conference", "volume" : "34" }, "uris" : [ "http://www.mendeley.com/documents/?uuid=e6f4f720-f6aa-4964-a222-2b45e6908d7d" ] }, { "id" : "ITEM-2", "itemData" : { "DOI" : "10.1016/S1470-2045(15)00169-2", "ISBN" : "0000000027", "ISSN" : "14745488", "PMID" : "26256760", "abstract" : "Background: Follicular lymphoma is a clinically and genetically heterogeneous disease, but the prognostic value of somatic mutations has not been systematically assessed. We aimed to improve risk stratification of patients receiving first-line immunochemotherapy by integrating gene mutations into a prognostic model. Methods: We did DNA deep sequencing to retrospectively analyse the mutation status of 74 genes in 151 follicular lymphoma biopsy specimens that were obtained from patients within 1 year before beginning immunochemotherapy consisting of rituximab, cyclophosphamide, doxorubicin, vincristine, and prednisone (R-CHOP). These patients were recruited between May 4, 2000, and Oct 20, 2010, as part of a phase 3 trial (GLSG2000). Eligible patients had symptomatic, advanced stage follicular lymphoma and were previously untreated. The primary endpoints were failure-free survival (defined as less than a partial remission at the end of induction, relapse, progression, or death) and overall survival calculated from date of treatment initiation. Median follow-up was 7\u00b77 years (IQR 5\u00b75-9\u00b73). Mutations and clinical factors were incorporated into a risk model for failure-free survival using multivariable L1-penalised Cox regression. We validated the risk model in an independent population-based cohort of 107 patients with symptomatic follicular lymphoma considered ineligible for curative irradiation. Pretreatment biopsies were taken between Feb 24, 2004, and Nov 24, 2009, within 1 year before beginning first-line immunochemotherapy consisting of rituximab, cyclophosphamide, vincristine, and prednisone (R-CVP). Median follow-up was 6\u00b77 years (IQR 5\u00b77-7\u00b76). Findings: We established a clinicogenetic risk model (termed m7-FLIPI) that included the mutation status of seven genes (. EZH2, ARID1A, MEF2B, EP300, FOXO1, CREBBP, and CARD11), the Follicular Lymphoma International Prognostic Index (FLIPI), and Eastern Cooperative Oncology Group (ECOG) performance status. In the training cohort, m7-FLIPI defined a high-risk group (28%, 43/151) with 5-year failure-free survival of 38\u00b729% (95% CI 25\u00b731-57\u00b795) versus 77\u00b721% (95% CI 69\u00b721-86\u00b714) for the low-risk group (hazard ratio [HR] 4\u00b714, 95% CI 2\u00b747-6\u00b793; p&lt;0\u00b70001; bootstrap-corrected HR 2\u00b702), and outperformed a prognostic model of only gene mutations (HR 3\u00b776, 95% CI 2\u00b710-6\u00b774; p&lt;0\u00b70001; bootstrap-corrected HR 1\u00b757). The positive predictive value and negative predictive value for 5-year failure-free survival were 64% and\u2026", "author" : [ { "dropping-particle" : "", "family" : "Pastore", "given" : "Alessandro", "non-dropping-particle" : "", "parse-names" : false, "suffix" : "" }, { "dropping-particle" : "", "family" : "Jurinovic", "given" : "Vindi", "non-dropping-particle" : "", "parse-names" : false, "suffix" : "" }, { "dropping-particle" : "", "family" : "Kridel", "given" : "Robert", "non-dropping-particle" : "", "parse-names" : false, "suffix" : "" }, { "dropping-particle" : "", "family" : "Hoster", "given" : "Eva", "non-dropping-particle" : "", "parse-names" : false, "suffix" : "" }, { "dropping-particle" : "", "family" : "Staiger", "given" : "Annette M.", "non-dropping-particle" : "", "parse-names" : false, "suffix" : "" }, { "dropping-particle" : "", "family" : "Szczepanowski", "given" : "Monika", "non-dropping-particle" : "", "parse-names" : false, "suffix" : "" }, { "dropping-particle" : "", "family" : "Pott", "given" : "Christiane", "non-dropping-particle" : "", "parse-names" : false, "suffix" : "" }, { "dropping-particle" : "", "family" : "Kopp", "given" : "Nadja", "non-dropping-particle" : "", "parse-names" : false, "suffix" : "" }, { "dropping-particle" : "", "family" : "Murakami", "given" : "Mark", "non-dropping-particle" : "", "parse-names" : false, "suffix" : "" }, { "dropping-particle" : "", "family" : "Horn", "given" : "Heike", "non-dropping-particle" : "", "parse-names" : false, "suffix" : "" }, { "dropping-particle" : "", "family" : "Leich", "given" : "Ellen", "non-dropping-particle" : "", "parse-names" : false, "suffix" : "" }, { "dropping-particle" : "", "family" : "Moccia", "given" : "Alden A.", "non-dropping-particle" : "", "parse-names" : false, "suffix" : "" }, { "dropping-particle" : "", "family" : "Mottok", "given" : "Anja", "non-dropping-particle" : "", "parse-names" : false, "suffix" : "" }, { "dropping-particle" : "", "family" : "Sunkavalli", "given" : "Ashwini", "non-dropping-particle" : "", "parse-names" : false, "suffix" : "" }, { "dropping-particle" : "", "family" : "Hummelen", "given" : "Paul", "non-dropping-particle" : "Van", "parse-names" : false, "suffix" : "" }, { "dropping-particle" : "", "family" : "Ducar", "given" : "Matthew", "non-dropping-particle" : "", "parse-names" : false, "suffix" : "" }, { "dropping-particle" : "", "family" : "Ennishi", "given" : "Daisuke", "non-dropping-particle" : "", "parse-names" : false, "suffix" : "" }, { "dropping-particle" : "", "family" : "Shulha", "given" : "Hennady P.", "non-dropping-particle" : "", "parse-names" : false, "suffix" : "" }, { "dropping-particle" : "", "family" : "Hother", "given" : "Christoffer", "non-dropping-particle" : "", "parse-names" : false, "suffix" : "" }, { "dropping-particle" : "", "family" : "Connors", "given" : "Joseph M.", "non-dropping-particle" : "", "parse-names" : false, "suffix" : "" }, { "dropping-particle" : "", "family" : "Sehn", "given" : "Laurie H.", "non-dropping-particle" : "", "parse-names" : false, "suffix" : "" }, { "dropping-particle" : "", "family" : "Dreyling", "given" : "Martin", "non-dropping-particle" : "", "parse-names" : false, "suffix" : "" }, { "dropping-particle" : "", "family" : "Neuberg", "given" : "Donna", "non-dropping-particle" : "", "parse-names" : false, "suffix" : "" }, { "dropping-particle" : "", "family" : "M\u00f6ller", "given" : "Peter", "non-dropping-particle" : "", "parse-names" : false, "suffix" : "" }, { "dropping-particle" : "", "family" : "Feller", "given" : "Alfred C.", "non-dropping-particle" : "", "parse-names" : false, "suffix" : "" }, { "dropping-particle" : "", "family" : "Hansmann", "given" : "Martin L.", "non-dropping-particle" : "", "parse-names" : false, "suffix" : "" }, { "dropping-particle" : "", "family" : "Stein", "given" : "Harald", "non-dropping-particle" : "", "parse-names" : false, "suffix" : "" }, { "dropping-particle" : "", "family" : "Rosenwald", "given" : "Andreas", "non-dropping-particle" : "", "parse-names" : false, "suffix" : "" }, { "dropping-particle" : "", "family" : "Ott", "given" : "German", "non-dropping-particle" : "", "parse-names" : false, "suffix" : "" }, { "dropping-particle" : "", "family" : "Klapper", "given" : "Wolfram", "non-dropping-particle" : "", "parse-names" : false, "suffix" : "" }, { "dropping-particle" : "", "family" : "Unterhalt", "given" : "Michael", "non-dropping-particle" : "", "parse-names" : false, "suffix" : "" }, { "dropping-particle" : "", "family" : "Hiddemann", "given" : "Wolfgang", "non-dropping-particle" : "", "parse-names" : false, "suffix" : "" }, { "dropping-particle" : "", "family" : "Gascoyne", "given" : "Randy D.", "non-dropping-particle" : "", "parse-names" : false, "suffix" : "" }, { "dropping-particle" : "", "family" : "Weinstock", "given" : "David M.", "non-dropping-particle" : "", "parse-names" : false, "suffix" : "" }, { "dropping-particle" : "", "family" : "Weigert", "given" : "Oliver", "non-dropping-particle" : "", "parse-names" : false, "suffix" : "" } ], "container-title" : "The Lancet Oncology", "id" : "ITEM-2", "issue" : "9", "issued" : { "date-parts" : [ [ "2015" ] ] }, "page" : "1111-1122", "title" : "Integration of gene mutations in risk prognostication for patients receiving first-line immunochemotherapy for follicular lymphoma: A retrospective analysis of a prospective clinical trial and validation in a population-based registry", "type" : "article-journal", "volume" : "16" }, "uris" : [ "http://www.mendeley.com/documents/?uuid=4e86000c-ed39-404e-8fed-62ae9a74d232", "http://www.mendeley.com/documents/?uuid=42831248-81dd-4e4a-bfd3-51cfb484878f" ] } ], "mendeley" : { "formattedCitation" : "(13,14)", "plainTextFormattedCitation" : "(13,14)", "previouslyFormattedCitation" : "(13,14)"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(13,14)</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This suggests that prognostication of FL patient could be improved by combining different parameters and also integrating baseline and post induction factors.</w:t>
      </w: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r w:rsidRPr="00B62CCB">
        <w:rPr>
          <w:rFonts w:ascii="Arial" w:hAnsi="Arial" w:cs="Arial"/>
          <w:b/>
          <w:bCs/>
          <w:color w:val="222222"/>
          <w:shd w:val="clear" w:color="auto" w:fill="FFFFFF"/>
          <w:lang w:val="en-US"/>
        </w:rPr>
        <w:t>PET response and MRD</w:t>
      </w:r>
      <w:r w:rsidRPr="0025576A">
        <w:rPr>
          <w:rFonts w:ascii="Arial" w:hAnsi="Arial" w:cs="Arial"/>
          <w:bCs/>
          <w:color w:val="222222"/>
          <w:shd w:val="clear" w:color="auto" w:fill="FFFFFF"/>
          <w:lang w:val="en-US"/>
        </w:rPr>
        <w:br/>
        <w:t xml:space="preserve">Luminari et al. combined metabolic and molecular response in a small group of 41 patients with FL for whom both MRD analysis and central review of post induction PET were available. PET/MRD concordance was 76%, with Kappa=0.249, suggesting that PET and MRD when done at the end of induction therapy are not strongly correlated. Taken separately the positivity rates were 27% and 11% for MRD and PET, respectively. In a stratified analysis combining the information on PET and MRD into 2 groups (PET−/MRD− vs. PET+ or MRD+), the achievement of both PET and MRD negativity (32% of cases) was associated to a better outcome, with a 5-yr PFS of 75% and 35% for PET/MRD −/− and PET+ or MRD+, respectively. Although conducted on a small series of patients, this study shows that combining both EOT PET and MRD in patients with FL may </w:t>
      </w:r>
      <w:r w:rsidRPr="0025576A">
        <w:rPr>
          <w:rFonts w:ascii="Arial" w:hAnsi="Arial" w:cs="Arial"/>
          <w:bCs/>
          <w:color w:val="222222"/>
          <w:shd w:val="clear" w:color="auto" w:fill="FFFFFF"/>
          <w:lang w:val="en-US"/>
        </w:rPr>
        <w:lastRenderedPageBreak/>
        <w:t>improve our ability to predict the risk of progression</w:t>
      </w:r>
      <w:r>
        <w:rPr>
          <w:rFonts w:ascii="Arial" w:hAnsi="Arial" w:cs="Arial"/>
          <w:bCs/>
          <w:color w:val="222222"/>
          <w:shd w:val="clear" w:color="auto" w:fill="FFFFFF"/>
          <w:lang w:val="en-US"/>
        </w:rPr>
        <w:fldChar w:fldCharType="begin" w:fldLock="1"/>
      </w:r>
      <w:r w:rsidR="0017693A">
        <w:rPr>
          <w:rFonts w:ascii="Arial" w:hAnsi="Arial" w:cs="Arial"/>
          <w:bCs/>
          <w:color w:val="222222"/>
          <w:shd w:val="clear" w:color="auto" w:fill="FFFFFF"/>
          <w:lang w:val="en-US"/>
        </w:rPr>
        <w:instrText>ADDIN CSL_CITATION { "citationItems" : [ { "id" : "ITEM-1", "itemData" : { "DOI" : "10.3324/haematol.2015.132811", "ISSN" : "15928721", "PMID" : "26471485", "author" : [ { "dropping-particle" : "", "family" : "Luminari", "given" : "Stefano", "non-dropping-particle" : "", "parse-names" : false, "suffix" : "" }, { "dropping-particle" : "", "family" : "Galimberti", "given" : "Sara", "non-dropping-particle" : "", "parse-names" : false, "suffix" : "" }, { "dropping-particle" : "", "family" : "Versari", "given" : "Annibale", "non-dropping-particle" : "", "parse-names" : false, "suffix" : "" }, { "dropping-particle" : "", "family" : "Biasoli", "given" : "Irene", "non-dropping-particle" : "", "parse-names" : false, "suffix" : "" }, { "dropping-particle" : "", "family" : "Anastasia", "given" : "Antonella", "non-dropping-particle" : "", "parse-names" : false, "suffix" : "" }, { "dropping-particle" : "", "family" : "Rusconi", "given" : "Chiara", "non-dropping-particle" : "", "parse-names" : false, "suffix" : "" }, { "dropping-particle" : "", "family" : "Ferrari", "given" : "Angela", "non-dropping-particle" : "", "parse-names" : false, "suffix" : "" }, { "dropping-particle" : "", "family" : "Petrini", "given" : "Mario", "non-dropping-particle" : "", "parse-names" : false, "suffix" : "" }, { "dropping-particle" : "", "family" : "Manni", "given" : "Martina", "non-dropping-particle" : "", "parse-names" : false, "suffix" : "" }, { "dropping-particle" : "", "family" : "Federico", "given" : "Massimo", "non-dropping-particle" : "", "parse-names" : false, "suffix" : "" } ], "container-title" : "Haematologica", "id" : "ITEM-1", "issue" : "2", "issued" : { "date-parts" : [ [ "2016" ] ] }, "page" : "e66-e68", "title" : "Positron emission tomography response and minimal residual disease impact on progression-free survival in patients with follicular lymphoma. A subset analysis from the FOLL05 trial of the fondazione italiana linfomi", "type" : "article", "volume" : "101" }, "uris" : [ "http://www.mendeley.com/documents/?uuid=2174b128-51ea-4272-ac7b-78113f783d29" ] } ], "mendeley" : { "formattedCitation" : "(28)", "plainTextFormattedCitation" : "(28)", "previouslyFormattedCitation" : "(28)"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(28)</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xml:space="preserve">. Based on these preliminary results the Fondazione </w:t>
      </w:r>
      <w:proofErr w:type="spellStart"/>
      <w:r w:rsidRPr="0025576A">
        <w:rPr>
          <w:rFonts w:ascii="Arial" w:hAnsi="Arial" w:cs="Arial"/>
          <w:bCs/>
          <w:color w:val="222222"/>
          <w:shd w:val="clear" w:color="auto" w:fill="FFFFFF"/>
          <w:lang w:val="en-US"/>
        </w:rPr>
        <w:t>Italiana</w:t>
      </w:r>
      <w:proofErr w:type="spellEnd"/>
      <w:r w:rsidRPr="0025576A">
        <w:rPr>
          <w:rFonts w:ascii="Arial" w:hAnsi="Arial" w:cs="Arial"/>
          <w:bCs/>
          <w:color w:val="222222"/>
          <w:shd w:val="clear" w:color="auto" w:fill="FFFFFF"/>
          <w:lang w:val="en-US"/>
        </w:rPr>
        <w:t xml:space="preserve"> </w:t>
      </w:r>
      <w:proofErr w:type="spellStart"/>
      <w:r w:rsidRPr="0025576A">
        <w:rPr>
          <w:rFonts w:ascii="Arial" w:hAnsi="Arial" w:cs="Arial"/>
          <w:bCs/>
          <w:color w:val="222222"/>
          <w:shd w:val="clear" w:color="auto" w:fill="FFFFFF"/>
          <w:lang w:val="en-US"/>
        </w:rPr>
        <w:t>Linfomi</w:t>
      </w:r>
      <w:proofErr w:type="spellEnd"/>
      <w:r w:rsidRPr="0025576A">
        <w:rPr>
          <w:rFonts w:ascii="Arial" w:hAnsi="Arial" w:cs="Arial"/>
          <w:bCs/>
          <w:color w:val="222222"/>
          <w:shd w:val="clear" w:color="auto" w:fill="FFFFFF"/>
          <w:lang w:val="en-US"/>
        </w:rPr>
        <w:t xml:space="preserve"> designed the FOLL12 trial to investigate the efficacy of a response-adapted strategy in patients with FL (ClinicalTrials.gov Identifier: NCT02063685).  This multicenter, phase III, randomized study, has recently completed the enrollment of the planned 800 cases with newly diagnosed FLIPI2 intermediate-high risk stage II-IV FL requiring therapeutic intervention and randomly assigned them to either standard or experimental response-driven (</w:t>
      </w:r>
      <w:r w:rsidR="00C555D8">
        <w:rPr>
          <w:rFonts w:ascii="Arial" w:hAnsi="Arial" w:cs="Arial"/>
          <w:bCs/>
          <w:color w:val="222222"/>
          <w:shd w:val="clear" w:color="auto" w:fill="FFFFFF"/>
          <w:lang w:val="en-US"/>
        </w:rPr>
        <w:t>Figure 1</w:t>
      </w:r>
      <w:proofErr w:type="gramStart"/>
      <w:r w:rsidR="00C555D8">
        <w:rPr>
          <w:rFonts w:ascii="Arial" w:hAnsi="Arial" w:cs="Arial"/>
          <w:bCs/>
          <w:color w:val="222222"/>
          <w:shd w:val="clear" w:color="auto" w:fill="FFFFFF"/>
          <w:lang w:val="en-US"/>
        </w:rPr>
        <w:t>)</w:t>
      </w:r>
      <w:r w:rsidRPr="0025576A">
        <w:rPr>
          <w:rFonts w:ascii="Arial" w:hAnsi="Arial" w:cs="Arial"/>
          <w:bCs/>
          <w:color w:val="222222"/>
          <w:shd w:val="clear" w:color="auto" w:fill="FFFFFF"/>
          <w:lang w:val="en-US"/>
        </w:rPr>
        <w:t xml:space="preserve"> .</w:t>
      </w:r>
      <w:proofErr w:type="gramEnd"/>
      <w:r w:rsidRPr="0025576A">
        <w:rPr>
          <w:rFonts w:ascii="Arial" w:hAnsi="Arial" w:cs="Arial"/>
          <w:bCs/>
          <w:color w:val="222222"/>
          <w:shd w:val="clear" w:color="auto" w:fill="FFFFFF"/>
          <w:lang w:val="en-US"/>
        </w:rPr>
        <w:t xml:space="preserve"> After a common induction treatment consisting of 6 cycles of R-CHOP or R-</w:t>
      </w:r>
      <w:proofErr w:type="spellStart"/>
      <w:r w:rsidRPr="0025576A">
        <w:rPr>
          <w:rFonts w:ascii="Arial" w:hAnsi="Arial" w:cs="Arial"/>
          <w:bCs/>
          <w:color w:val="222222"/>
          <w:shd w:val="clear" w:color="auto" w:fill="FFFFFF"/>
          <w:lang w:val="en-US"/>
        </w:rPr>
        <w:t>bendamustine</w:t>
      </w:r>
      <w:proofErr w:type="spellEnd"/>
      <w:r w:rsidRPr="0025576A">
        <w:rPr>
          <w:rFonts w:ascii="Arial" w:hAnsi="Arial" w:cs="Arial"/>
          <w:bCs/>
          <w:color w:val="222222"/>
          <w:shd w:val="clear" w:color="auto" w:fill="FFFFFF"/>
          <w:lang w:val="en-US"/>
        </w:rPr>
        <w:t xml:space="preserve"> followed by 2 additional doses of rituximab, responding patients in the standard arm receive rituximab maintenance therapy (every 2 months for 2 years), while responding patients in the experimental arm are assigned to different post-induction treatments based on PET and MRD results. PET- and MRD-negative patients undergo observation, PET-negative but MRD-positive patients receive pre-emptive rituximab therapy (4 weekly doses for a maximum of 3 courses until </w:t>
      </w:r>
      <w:proofErr w:type="spellStart"/>
      <w:r w:rsidRPr="0025576A">
        <w:rPr>
          <w:rFonts w:ascii="Arial" w:hAnsi="Arial" w:cs="Arial"/>
          <w:bCs/>
          <w:color w:val="222222"/>
          <w:shd w:val="clear" w:color="auto" w:fill="FFFFFF"/>
          <w:lang w:val="en-US"/>
        </w:rPr>
        <w:t>negativization</w:t>
      </w:r>
      <w:proofErr w:type="spellEnd"/>
      <w:r w:rsidRPr="0025576A">
        <w:rPr>
          <w:rFonts w:ascii="Arial" w:hAnsi="Arial" w:cs="Arial"/>
          <w:bCs/>
          <w:color w:val="222222"/>
          <w:shd w:val="clear" w:color="auto" w:fill="FFFFFF"/>
          <w:lang w:val="en-US"/>
        </w:rPr>
        <w:t xml:space="preserve"> of MRD) and PET-positive patients receive a consolidation (90)Y ibritumomab </w:t>
      </w:r>
      <w:proofErr w:type="spellStart"/>
      <w:r w:rsidRPr="0025576A">
        <w:rPr>
          <w:rFonts w:ascii="Arial" w:hAnsi="Arial" w:cs="Arial"/>
          <w:bCs/>
          <w:color w:val="222222"/>
          <w:shd w:val="clear" w:color="auto" w:fill="FFFFFF"/>
          <w:lang w:val="en-US"/>
        </w:rPr>
        <w:t>tiuxetan</w:t>
      </w:r>
      <w:proofErr w:type="spellEnd"/>
      <w:r w:rsidRPr="0025576A">
        <w:rPr>
          <w:rFonts w:ascii="Arial" w:hAnsi="Arial" w:cs="Arial"/>
          <w:bCs/>
          <w:color w:val="222222"/>
          <w:shd w:val="clear" w:color="auto" w:fill="FFFFFF"/>
          <w:lang w:val="en-US"/>
        </w:rPr>
        <w:t xml:space="preserve"> (0.4 </w:t>
      </w:r>
      <w:proofErr w:type="spellStart"/>
      <w:r w:rsidRPr="0025576A">
        <w:rPr>
          <w:rFonts w:ascii="Arial" w:hAnsi="Arial" w:cs="Arial"/>
          <w:bCs/>
          <w:color w:val="222222"/>
          <w:shd w:val="clear" w:color="auto" w:fill="FFFFFF"/>
          <w:lang w:val="en-US"/>
        </w:rPr>
        <w:t>mCi</w:t>
      </w:r>
      <w:proofErr w:type="spellEnd"/>
      <w:r w:rsidRPr="0025576A">
        <w:rPr>
          <w:rFonts w:ascii="Arial" w:hAnsi="Arial" w:cs="Arial"/>
          <w:bCs/>
          <w:color w:val="222222"/>
          <w:shd w:val="clear" w:color="auto" w:fill="FFFFFF"/>
          <w:lang w:val="en-US"/>
        </w:rPr>
        <w:t xml:space="preserve">/kg) dose prior to starting conventional rituximab maintenance. This study aimed at evaluating whether a PET and MRD response-based maintenance therapy is non inferior when compared to standard than rituximab maintenance therapy in terms of PFS. </w:t>
      </w: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p>
    <w:p w:rsidR="00295834" w:rsidRPr="00FE2FE4" w:rsidRDefault="000E07BE" w:rsidP="0025576A">
      <w:pPr>
        <w:pStyle w:val="NormalWeb"/>
        <w:spacing w:before="0" w:beforeAutospacing="0" w:after="0" w:afterAutospacing="0" w:line="360" w:lineRule="auto"/>
        <w:textAlignment w:val="baseline"/>
        <w:rPr>
          <w:rFonts w:ascii="Arial" w:hAnsi="Arial" w:cs="Arial"/>
          <w:b/>
          <w:bCs/>
          <w:color w:val="222222"/>
          <w:shd w:val="clear" w:color="auto" w:fill="FFFFFF"/>
          <w:lang w:val="en-US"/>
        </w:rPr>
      </w:pPr>
      <w:r>
        <w:rPr>
          <w:rFonts w:ascii="Arial" w:hAnsi="Arial" w:cs="Arial"/>
          <w:b/>
          <w:bCs/>
          <w:color w:val="222222"/>
          <w:shd w:val="clear" w:color="auto" w:fill="FFFFFF"/>
          <w:lang w:val="en-US"/>
        </w:rPr>
        <w:t>c</w:t>
      </w: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proofErr w:type="spellStart"/>
      <w:r w:rsidRPr="0025576A">
        <w:rPr>
          <w:rFonts w:ascii="Arial" w:hAnsi="Arial" w:cs="Arial"/>
          <w:bCs/>
          <w:color w:val="222222"/>
          <w:shd w:val="clear" w:color="auto" w:fill="FFFFFF"/>
          <w:lang w:val="en-US"/>
        </w:rPr>
        <w:t>Cottereau</w:t>
      </w:r>
      <w:proofErr w:type="spellEnd"/>
      <w:r w:rsidRPr="0025576A">
        <w:rPr>
          <w:rFonts w:ascii="Arial" w:hAnsi="Arial" w:cs="Arial"/>
          <w:bCs/>
          <w:color w:val="222222"/>
          <w:shd w:val="clear" w:color="auto" w:fill="FFFFFF"/>
          <w:lang w:val="en-US"/>
        </w:rPr>
        <w:t xml:space="preserve"> et al. combined metabolic response and TMTV in 159 patients with advanced stage FL from three prospective trials. In the univariate analysis both high TMTV (&gt;510cm3) and positive EOI PET were independent, significant risk factors for PFS. Their combination stratified the population into three risk groups: </w:t>
      </w:r>
      <w:r w:rsidR="00753DF5" w:rsidRPr="0025576A">
        <w:rPr>
          <w:rFonts w:ascii="Arial" w:hAnsi="Arial" w:cs="Arial"/>
          <w:bCs/>
          <w:color w:val="222222"/>
          <w:shd w:val="clear" w:color="auto" w:fill="FFFFFF"/>
          <w:lang w:val="en-US"/>
        </w:rPr>
        <w:t>5-year</w:t>
      </w:r>
      <w:r w:rsidRPr="0025576A">
        <w:rPr>
          <w:rFonts w:ascii="Arial" w:hAnsi="Arial" w:cs="Arial"/>
          <w:bCs/>
          <w:color w:val="222222"/>
          <w:shd w:val="clear" w:color="auto" w:fill="FFFFFF"/>
          <w:lang w:val="en-US"/>
        </w:rPr>
        <w:t xml:space="preserve"> PFS was 67%, 33% and 23% for patients without risk factors (64%), for those with one</w:t>
      </w:r>
      <w:r>
        <w:rPr>
          <w:rFonts w:ascii="Arial" w:hAnsi="Arial" w:cs="Arial"/>
          <w:bCs/>
          <w:color w:val="222222"/>
          <w:shd w:val="clear" w:color="auto" w:fill="FFFFFF"/>
          <w:lang w:val="en-US"/>
        </w:rPr>
        <w:t xml:space="preserve"> of</w:t>
      </w:r>
      <w:r w:rsidRPr="0025576A">
        <w:rPr>
          <w:rFonts w:ascii="Arial" w:hAnsi="Arial" w:cs="Arial"/>
          <w:bCs/>
          <w:color w:val="222222"/>
          <w:shd w:val="clear" w:color="auto" w:fill="FFFFFF"/>
          <w:lang w:val="en-US"/>
        </w:rPr>
        <w:t xml:space="preserve"> the two adverse features (27%), and for patients with both adverse factors (8%); 10%, 39% and 54% were POD24 in the three </w:t>
      </w:r>
      <w:proofErr w:type="spellStart"/>
      <w:r w:rsidRPr="0025576A">
        <w:rPr>
          <w:rFonts w:ascii="Arial" w:hAnsi="Arial" w:cs="Arial"/>
          <w:bCs/>
          <w:color w:val="222222"/>
          <w:shd w:val="clear" w:color="auto" w:fill="FFFFFF"/>
          <w:lang w:val="en-US"/>
        </w:rPr>
        <w:t>groupos</w:t>
      </w:r>
      <w:proofErr w:type="spellEnd"/>
      <w:r w:rsidRPr="0025576A">
        <w:rPr>
          <w:rFonts w:ascii="Arial" w:hAnsi="Arial" w:cs="Arial"/>
          <w:bCs/>
          <w:color w:val="222222"/>
          <w:shd w:val="clear" w:color="auto" w:fill="FFFFFF"/>
          <w:lang w:val="en-US"/>
        </w:rPr>
        <w:t xml:space="preserve">, respectively.  This model enhanced the prognostic value of PET staging and response assessment, and allowed the identification of a small subset of patients with a very high risk of progression and POD24. </w:t>
      </w:r>
      <w:r>
        <w:rPr>
          <w:rFonts w:ascii="Arial" w:hAnsi="Arial" w:cs="Arial"/>
          <w:bCs/>
          <w:color w:val="222222"/>
          <w:shd w:val="clear" w:color="auto" w:fill="FFFFFF"/>
          <w:lang w:val="en-US"/>
        </w:rPr>
        <w:fldChar w:fldCharType="begin" w:fldLock="1"/>
      </w:r>
      <w:r w:rsidR="0017693A">
        <w:rPr>
          <w:rFonts w:ascii="Arial" w:hAnsi="Arial" w:cs="Arial"/>
          <w:bCs/>
          <w:color w:val="222222"/>
          <w:shd w:val="clear" w:color="auto" w:fill="FFFFFF"/>
          <w:lang w:val="en-US"/>
        </w:rPr>
        <w:instrText>ADDIN CSL_CITATION { "citationItems" : [ { "id" : "ITEM-1", "itemData" : { "DOI" : "https://doi.org/10.1182/blood-2017-11-816298", "PMID" : "29559480", "abstract" : "Both total metabolic tumor volume (TMTV), computed on baseline PET, and end of induction PET (EOI PET) are imaging biomarkers showing promise for early risk stratification in patients with high tumor burden follicular lymphoma. A model was built incorporating these two factors in 159 patients from three prospective trials. Median follow up was 64 months. High TMTV (&gt;510cm3) and positive EOI PET were independent, significant risk factors for progression. Their combination stratified the population into three risk groups: patients with no risk factors (n = 102;64%) had a 5-year PFS of 67%, versus 33% (HR = 2.9 95%CI (1.8-4.9)) for patients with one (n = 44;27%) and only 23% (HR = 4.6 95%CI (2.3-9.2)) for patients with both risk factors (n = 13;8%); 2-year PFS was respectively 90% versus 61% (HR=4.8 95%CI(2.2-10.4)) and 46% (HR=8.1 95%CI(3.1-21.3)). This model enhances the prognostic value of PET staging and response assessment, identifying a subset of patients with a very high risk of progression and early treatment failure at 2 years.", "author" : [ { "dropping-particle" : "", "family" : "Cottereau, A. S., Versari, A., Luminari, S., Dupuis, J., Chartier, L., Casasnovas, R., Berriolo-Riedinger, A., Menga, M., Haioun, C., Tilly, H., Tarantino, V., Federico, M., Salles, G., Trotman, J., &amp; Meignan", "given" : "M.", "non-dropping-particle" : "", "parse-names" : false, "suffix" : "" } ], "container-title" : "Blood", "id" : "ITEM-1", "issued" : { "date-parts" : [ [ "2018" ] ] }, "title" : "Prognostic model for high tumor burden follicular lymphoma integrating baseline and end induction PET: a LYSA/FIL study.", "type" : "article-journal" }, "uris" : [ "http://www.mendeley.com/documents/?uuid=89d2c510-a58d-427c-bed8-d36885c49c84", "http://www.mendeley.com/documents/?uuid=a53fb2db-b554-4a8b-9be9-5cb2ac43d482" ] } ], "mendeley" : { "formattedCitation" : "(29)", "plainTextFormattedCitation" : "(29)", "previouslyFormattedCitation" : "(29)"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(29)</w:t>
      </w:r>
      <w:r>
        <w:rPr>
          <w:rFonts w:ascii="Arial" w:hAnsi="Arial" w:cs="Arial"/>
          <w:bCs/>
          <w:color w:val="222222"/>
          <w:shd w:val="clear" w:color="auto" w:fill="FFFFFF"/>
          <w:lang w:val="en-US"/>
        </w:rPr>
        <w:fldChar w:fldCharType="end"/>
      </w: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p>
    <w:p w:rsidR="00295834" w:rsidRPr="0025576A" w:rsidRDefault="00295834" w:rsidP="0025576A">
      <w:pPr>
        <w:pStyle w:val="NormalWeb"/>
        <w:spacing w:before="0" w:beforeAutospacing="0" w:after="0" w:afterAutospacing="0" w:line="360" w:lineRule="auto"/>
        <w:textAlignment w:val="baseline"/>
        <w:rPr>
          <w:rFonts w:ascii="Arial" w:hAnsi="Arial" w:cs="Arial"/>
          <w:b/>
          <w:bCs/>
          <w:color w:val="222222"/>
          <w:shd w:val="clear" w:color="auto" w:fill="FFFFFF"/>
          <w:lang w:val="en-US"/>
        </w:rPr>
      </w:pPr>
      <w:r w:rsidRPr="0025576A">
        <w:rPr>
          <w:rFonts w:ascii="Arial" w:hAnsi="Arial" w:cs="Arial"/>
          <w:b/>
          <w:bCs/>
          <w:color w:val="222222"/>
          <w:shd w:val="clear" w:color="auto" w:fill="FFFFFF"/>
          <w:lang w:val="en-US"/>
        </w:rPr>
        <w:lastRenderedPageBreak/>
        <w:t xml:space="preserve">TREATMENT OF </w:t>
      </w:r>
      <w:proofErr w:type="gramStart"/>
      <w:r w:rsidRPr="0025576A">
        <w:rPr>
          <w:rFonts w:ascii="Arial" w:hAnsi="Arial" w:cs="Arial"/>
          <w:b/>
          <w:bCs/>
          <w:color w:val="222222"/>
          <w:shd w:val="clear" w:color="auto" w:fill="FFFFFF"/>
          <w:lang w:val="en-US"/>
        </w:rPr>
        <w:t>HIGH RISK</w:t>
      </w:r>
      <w:proofErr w:type="gramEnd"/>
      <w:r w:rsidRPr="0025576A">
        <w:rPr>
          <w:rFonts w:ascii="Arial" w:hAnsi="Arial" w:cs="Arial"/>
          <w:b/>
          <w:bCs/>
          <w:color w:val="222222"/>
          <w:shd w:val="clear" w:color="auto" w:fill="FFFFFF"/>
          <w:lang w:val="en-US"/>
        </w:rPr>
        <w:t xml:space="preserve"> PATIENTS</w:t>
      </w: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Available guidelines for the treatment of FL patients do not recommend the use of prognostic factors to decide which treatment should be discussed with the patient. Clinical prognostic indexes are not considered as decisional factors and only stage, symptoms and tumor burden (TB) are used to identify patients eligible for radiation treatment (stage I-II), immunotherapy or observation (stage II-IV with lo</w:t>
      </w:r>
      <w:r>
        <w:rPr>
          <w:rFonts w:ascii="Arial" w:hAnsi="Arial" w:cs="Arial"/>
          <w:bCs/>
          <w:color w:val="222222"/>
          <w:shd w:val="clear" w:color="auto" w:fill="FFFFFF"/>
          <w:lang w:val="en-US"/>
        </w:rPr>
        <w:t>w TB), and immunochemotherapy (h</w:t>
      </w:r>
      <w:r w:rsidRPr="0025576A">
        <w:rPr>
          <w:rFonts w:ascii="Arial" w:hAnsi="Arial" w:cs="Arial"/>
          <w:bCs/>
          <w:color w:val="222222"/>
          <w:shd w:val="clear" w:color="auto" w:fill="FFFFFF"/>
          <w:lang w:val="en-US"/>
        </w:rPr>
        <w:t>igh TB). The same guidelines are highly vague in defining recommendations for patients with relapsed refractory FL. In this setting available options range from observation t</w:t>
      </w:r>
      <w:r>
        <w:rPr>
          <w:rFonts w:ascii="Arial" w:hAnsi="Arial" w:cs="Arial"/>
          <w:bCs/>
          <w:color w:val="222222"/>
          <w:shd w:val="clear" w:color="auto" w:fill="FFFFFF"/>
          <w:lang w:val="en-US"/>
        </w:rPr>
        <w:t>o the use of immunochemotherapy or</w:t>
      </w:r>
      <w:r w:rsidRPr="0025576A">
        <w:rPr>
          <w:rFonts w:ascii="Arial" w:hAnsi="Arial" w:cs="Arial"/>
          <w:bCs/>
          <w:color w:val="222222"/>
          <w:shd w:val="clear" w:color="auto" w:fill="FFFFFF"/>
          <w:lang w:val="en-US"/>
        </w:rPr>
        <w:t xml:space="preserve"> to the use of autolog</w:t>
      </w:r>
      <w:r>
        <w:rPr>
          <w:rFonts w:ascii="Arial" w:hAnsi="Arial" w:cs="Arial"/>
          <w:bCs/>
          <w:color w:val="222222"/>
          <w:shd w:val="clear" w:color="auto" w:fill="FFFFFF"/>
          <w:lang w:val="en-US"/>
        </w:rPr>
        <w:t>ous stem cell transplant (ASCT) or to</w:t>
      </w:r>
      <w:r w:rsidRPr="0025576A">
        <w:rPr>
          <w:rFonts w:ascii="Arial" w:hAnsi="Arial" w:cs="Arial"/>
          <w:bCs/>
          <w:color w:val="222222"/>
          <w:shd w:val="clear" w:color="auto" w:fill="FFFFFF"/>
          <w:lang w:val="en-US"/>
        </w:rPr>
        <w:t xml:space="preserve"> one of the several new available drugs.</w:t>
      </w:r>
      <w:r>
        <w:rPr>
          <w:rFonts w:ascii="Arial" w:hAnsi="Arial" w:cs="Arial"/>
          <w:bCs/>
          <w:color w:val="222222"/>
          <w:shd w:val="clear" w:color="auto" w:fill="FFFFFF"/>
          <w:lang w:val="en-US"/>
        </w:rPr>
        <w:fldChar w:fldCharType="begin" w:fldLock="1"/>
      </w:r>
      <w:r w:rsidR="0017693A">
        <w:rPr>
          <w:rFonts w:ascii="Arial" w:hAnsi="Arial" w:cs="Arial"/>
          <w:bCs/>
          <w:color w:val="222222"/>
          <w:shd w:val="clear" w:color="auto" w:fill="FFFFFF"/>
          <w:lang w:val="en-US"/>
        </w:rPr>
        <w:instrText>ADDIN CSL_CITATION { "citationItems" : [ { "id" : "ITEM-1", "itemData" : { "DOI" : "10.1093/annonc/mdw400", "ISBN" : "09237534 (ISSN)", "ISSN" : "15698041", "PMID" : "27664263", "author" : [ { "dropping-particle" : "", "family" : "Dreyling", "given" : "M.", "non-dropping-particle" : "", "parse-names" : false, "suffix" : "" }, { "dropping-particle" : "", "family" : "Ghielmini", "given" : "M.", "non-dropping-particle" : "", "parse-names" : false, "suffix" : "" }, { "dropping-particle" : "", "family" : "Rule", "given" : "S.", "non-dropping-particle" : "", "parse-names" : false, "suffix" : "" }, { "dropping-particle" : "", "family" : "Salles", "given" : "G.", "non-dropping-particle" : "", "parse-names" : false, "suffix" : "" }, { "dropping-particle" : "", "family" : "Vitolo", "given" : "U.", "non-dropping-particle" : "", "parse-names" : false, "suffix" : "" }, { "dropping-particle" : "", "family" : "Ladetto", "given" : "M.", "non-dropping-particle" : "", "parse-names" : false, "suffix" : "" }, { "dropping-particle" : "", "family" : "on behalf of the ESMO Guidelines Committee", "given" : "clinicalguidelines@esmo org", "non-dropping-particle" : "", "parse-names" : false, "suffix" : "" } ], "container-title" : "Annals of Oncology", "id" : "ITEM-1", "issued" : { "date-parts" : [ [ "2016" ] ] }, "page" : "v83-v90", "title" : "Newly diagnosed and relapsed follicular lymphoma: ESMO clinical practice guidelines for diagnosis, treatment and follow-up", "type" : "article-journal", "volume" : "27" }, "uris" : [ "http://www.mendeley.com/documents/?uuid=5244d0b5-41cf-43a5-86ca-f1ebde4ed482", "http://www.mendeley.com/documents/?uuid=0cffbe23-3b9a-45d1-9326-743017acdd0d" ] } ], "mendeley" : { "formattedCitation" : "(30)", "plainTextFormattedCitation" : "(30)", "previouslyFormattedCitation" : "(30)"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(30)</w:t>
      </w:r>
      <w:r>
        <w:rPr>
          <w:rFonts w:ascii="Arial" w:hAnsi="Arial" w:cs="Arial"/>
          <w:bCs/>
          <w:color w:val="222222"/>
          <w:shd w:val="clear" w:color="auto" w:fill="FFFFFF"/>
          <w:lang w:val="en-US"/>
        </w:rPr>
        <w:fldChar w:fldCharType="end"/>
      </w: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 xml:space="preserve">At a first sight then no evidence is available to support any suggestions on how to treat high risk patients with FL. There are however some data that can be used to recommend different therapies using validated definition of </w:t>
      </w:r>
      <w:proofErr w:type="gramStart"/>
      <w:r w:rsidRPr="0025576A">
        <w:rPr>
          <w:rFonts w:ascii="Arial" w:hAnsi="Arial" w:cs="Arial"/>
          <w:bCs/>
          <w:color w:val="222222"/>
          <w:shd w:val="clear" w:color="auto" w:fill="FFFFFF"/>
          <w:lang w:val="en-US"/>
        </w:rPr>
        <w:t>high risk</w:t>
      </w:r>
      <w:proofErr w:type="gramEnd"/>
      <w:r w:rsidRPr="0025576A">
        <w:rPr>
          <w:rFonts w:ascii="Arial" w:hAnsi="Arial" w:cs="Arial"/>
          <w:bCs/>
          <w:color w:val="222222"/>
          <w:shd w:val="clear" w:color="auto" w:fill="FFFFFF"/>
          <w:lang w:val="en-US"/>
        </w:rPr>
        <w:t xml:space="preserve"> patients. Moreover, clinical trials are starting to explore the concept of risk adapted therapy in FL patients as discussed above.</w:t>
      </w: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Among available options for relapsed refractory FL there is a general consensus that ASCT should be used in patients with FL patients who experience a relapse within 3 years from their first line of therapy and who are eligible for intensified treatment. The use of ASCT in relapsed refractory patients is</w:t>
      </w:r>
      <w:r>
        <w:rPr>
          <w:rFonts w:ascii="Arial" w:hAnsi="Arial" w:cs="Arial"/>
          <w:bCs/>
          <w:color w:val="222222"/>
          <w:shd w:val="clear" w:color="auto" w:fill="FFFFFF"/>
          <w:lang w:val="en-US"/>
        </w:rPr>
        <w:t xml:space="preserve"> supported by one positive but i</w:t>
      </w:r>
      <w:r w:rsidRPr="0025576A">
        <w:rPr>
          <w:rFonts w:ascii="Arial" w:hAnsi="Arial" w:cs="Arial"/>
          <w:bCs/>
          <w:color w:val="222222"/>
          <w:shd w:val="clear" w:color="auto" w:fill="FFFFFF"/>
          <w:lang w:val="en-US"/>
        </w:rPr>
        <w:t>ncomplete randomized trial and by a huge number of retrospective studies with discordant results</w:t>
      </w:r>
      <w:r>
        <w:rPr>
          <w:rFonts w:ascii="Arial" w:hAnsi="Arial" w:cs="Arial"/>
          <w:bCs/>
          <w:color w:val="222222"/>
          <w:shd w:val="clear" w:color="auto" w:fill="FFFFFF"/>
          <w:lang w:val="en-US"/>
        </w:rPr>
        <w:fldChar w:fldCharType="begin" w:fldLock="1"/>
      </w:r>
      <w:r w:rsidR="0017693A">
        <w:rPr>
          <w:rFonts w:ascii="Arial" w:hAnsi="Arial" w:cs="Arial"/>
          <w:bCs/>
          <w:color w:val="222222"/>
          <w:shd w:val="clear" w:color="auto" w:fill="FFFFFF"/>
          <w:lang w:val="en-US"/>
        </w:rPr>
        <w:instrText>ADDIN CSL_CITATION { "citationItems" : [ { "id" : "ITEM-1", "itemData" : { "DOI" : "10.3324/haematol.2013.084723", "ISSN" : "03906078", "PMID" : "23813647", "abstract" : "The aim of this project was to define indications for hematopoietic stem cell transplantation in follicular lymphoma in Europe. In the absence of evidence-based data, a RAND-modified Delphi procedure was used by an expert panel. After pre-defining statements, these were individually/anonymously scored by each participant using a 9-point scale. Consensus was reached that: 1) high-dose therapy with autologous stem cell rescue is not an appropriate option to consolidate first remission in patients responding to immuno-chemotherapy outside clinical trials; 2) in patients with first chemo-sensitive relapse, high-dose therapy with autologous stem cell rescue is an appropriate option to consolidate remission, especially in patients with a short response after immuno-chemotherapy or with high-risk FLIPI; 3) high-dose therapy with autologous stem cell rescue is also appropriate in second/subsequent chemo-sensitive relapses; 4) allotransplant (preferably a reduced intensity conditioning-allotransplant) should be considered at relapse after high-dose therapy with autologous stem cell rescue. No consensus was reached on the role of high-dose therapy with autologous stem cell rescue in low-risk first relapse, or on when an allotransplant should be preferred over high-dose therapy with autologous stem cell rescue. In the absence of evidence-based data, the consensus method used was a valuable tool to define indications for hematopoietic stem cell transplant in follicular lymphoma.", "author" : [ { "dropping-particle" : "", "family" : "Montoto", "given" : "Silvia", "non-dropping-particle" : "", "parse-names" : false, "suffix" : "" }, { "dropping-particle" : "", "family" : "Corradini", "given" : "Paolo", "non-dropping-particle" : "", "parse-names" : false, "suffix" : "" }, { "dropping-particle" : "", "family" : "Dreyling", "given" : "Martin", "non-dropping-particle" : "", "parse-names" : false, "suffix" : "" }, { "dropping-particle" : "", "family" : "Ghielmini", "given" : "Michele", "non-dropping-particle" : "", "parse-names" : false, "suffix" : "" }, { "dropping-particle" : "", "family" : "Kimby", "given" : "Eva", "non-dropping-particle" : "", "parse-names" : false, "suffix" : "" }, { "dropping-particle" : "", "family" : "L\u00f3pez-Guillermo", "given" : "Armando", "non-dropping-particle" : "", "parse-names" : false, "suffix" : "" }, { "dropping-particle" : "", "family" : "Mackinnon", "given" : "Stephen", "non-dropping-particle" : "", "parse-names" : false, "suffix" : "" }, { "dropping-particle" : "", "family" : "Marcus", "given" : "Robert E.", "non-dropping-particle" : "", "parse-names" : false, "suffix" : "" }, { "dropping-particle" : "", "family" : "Salles", "given" : "Gilles", "non-dropping-particle" : "", "parse-names" : false, "suffix" : "" }, { "dropping-particle" : "", "family" : "Schouten", "given" : "Harry C.", "non-dropping-particle" : "", "parse-names" : false, "suffix" : "" }, { "dropping-particle" : "", "family" : "Sureda", "given" : "Anna", "non-dropping-particle" : "", "parse-names" : false, "suffix" : "" }, { "dropping-particle" : "", "family" : "Dreger", "given" : "Peter", "non-dropping-particle" : "", "parse-names" : false, "suffix" : "" } ], "container-title" : "Haematologica", "id" : "ITEM-1", "issue" : "7", "issued" : { "date-parts" : [ [ "2013" ] ] }, "page" : "1014-1021", "title" : "Indications for hematopoietic stem cell transplantation in patients with follicular lymphoma: A consensus project of the EBMT-lymphoma working party", "type" : "article-journal", "volume" : "98" }, "uris" : [ "http://www.mendeley.com/documents/?uuid=4e26ad5a-87bf-4f5b-b9a2-942c866f4b29", "http://www.mendeley.com/documents/?uuid=b39d3096-2803-4363-9e44-76117a3d94d0" ] }, { "id" : "ITEM-2", "itemData" : { "DOI" : "10.1200/JCO.2003.10.023", "ISBN" : "0732-183X (Print)\\r0732-183X (Linking)", "ISSN" : "0732183X", "PMID" : "14517188", "abstract" : "PURPOSE: To determine, in a randomized clinical trial, whether high-dose therapy (HDT) followed by autologous stem-cell transplantation is more effective than standard treatment with regard to progression-free survival (PFS) and overall survival (OS) in patients with relapsed follicular non-Hodgkin's lymphoma; and to assess the additional value of B-cell purging of the stem-cell graft with regards to PFS and OS. PATIENTS AND METHODS: Patients received three cycles of chemotherapy. Responding patients with limited bone marrow infiltration were eligible for random assignment to three further cycles of chemotherapy (C), unpurged HDT (U), or purged HDT (P). RESULTS: Between August 1993 and April 1997, 140 patients were registered from 36 centers internationally, and 89 were randomly assigned. Reasons for not randomizing included patient refusal, early progression, or death on induction therapy. With a 69-month median follow-up, the log-rank P value for PFS and OS were.0037 and.079, respectively. For PFS, the hazard ratios (95% CIs) for U versus C, P versus C, and P versus U were 0.33 (0.16 to 0.70), 0.38 (0.19 to 0.79), and 1.02 (0.51 to 2.05), respectively. The hazard ratio (95% CI) for C versus U + P was 0.30 (0.15 to 0.61). Hazard ratios (95% CIs) for OS were 0.43 (0.18 to 1.06), 0.43 (0.18 to 1.02), and 0.72 (0.32 to 1.63). For C versus U + P, the hazard ratio (95% CI) was 0.40 (0.18 to 0.89). Kaplan-Meier estimates (95% CIs) of 2-year PFS for C, U, and P were 26% (8% to 44%), 58% (37% to 79%), and 55% (34% to 75%), respectively. OS at 4 years for C, U, and P are 46% (25% to 67%), 71% (52% to 91%), and 77% (60% to 95%) respectively. CONCLUSION: HDT significantly improves PFS and OS. There is no clear evidence of benefit through purging.", "author" : [ { "dropping-particle" : "", "family" : "Schouten", "given" : "Harry C.", "non-dropping-particle" : "", "parse-names" : false, "suffix" : "" }, { "dropping-particle" : "", "family" : "Qian", "given" : "Wendi", "non-dropping-particle" : "", "parse-names" : false, "suffix" : "" }, { "dropping-particle" : "", "family" : "Kvaloy", "given" : "Stein", "non-dropping-particle" : "", "parse-names" : false, "suffix" : "" }, { "dropping-particle" : "", "family" : "Porcellini", "given" : "Adolfo", "non-dropping-particle" : "", "parse-names" : false, "suffix" : "" }, { "dropping-particle" : "", "family" : "Hagberg", "given" : "Hans", "non-dropping-particle" : "", "parse-names" : false, "suffix" : "" }, { "dropping-particle" : "", "family" : "Johnsen", "given" : "Hans Erik", "non-dropping-particle" : "", "parse-names" : false, "suffix" : "" }, { "dropping-particle" : "", "family" : "Doorduijn", "given" : "Jeanette K.", "non-dropping-particle" : "", "parse-names" : false, "suffix" : "" }, { "dropping-particle" : "", "family" : "Sydes", "given" : "Matthew R.", "non-dropping-particle" : "", "parse-names" : false, "suffix" : "" }, { "dropping-particle" : "", "family" : "Kvalheim", "given" : "Gunnar", "non-dropping-particle" : "", "parse-names" : false, "suffix" : "" } ], "container-title" : "Journal of Clinical Oncology", "id" : "ITEM-2", "issue" : "21", "issued" : { "date-parts" : [ [ "2003" ] ] }, "page" : "3918-3927", "title" : "High-dose therapy improves progression-free survival and survival in relapsed follicular non-Hodgkin's lymphoma: Results from the randomized European CUP trial", "type" : "article-journal", "volume" : "21" }, "uris" : [ "http://www.mendeley.com/documents/?uuid=403761d9-5bc8-4501-827b-723a2a8f3ff3", "http://www.mendeley.com/documents/?uuid=1ee48b68-ee4a-4827-9373-3abf618700f9" ] } ], "mendeley" : { "formattedCitation" : "(31,32)", "plainTextFormattedCitation" : "(31,32)", "previouslyFormattedCitation" : "(31,32)"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(31,32)</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xml:space="preserve">. </w:t>
      </w: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 xml:space="preserve">The concept that ASCT could be effective in early relapsed patients suggests it as a good option for patients with POD24; </w:t>
      </w:r>
      <w:r w:rsidR="00753DF5" w:rsidRPr="0025576A">
        <w:rPr>
          <w:rFonts w:ascii="Arial" w:hAnsi="Arial" w:cs="Arial"/>
          <w:bCs/>
          <w:color w:val="222222"/>
          <w:shd w:val="clear" w:color="auto" w:fill="FFFFFF"/>
          <w:lang w:val="en-US"/>
        </w:rPr>
        <w:t>unfortunately,</w:t>
      </w:r>
      <w:r w:rsidRPr="0025576A">
        <w:rPr>
          <w:rFonts w:ascii="Arial" w:hAnsi="Arial" w:cs="Arial"/>
          <w:bCs/>
          <w:color w:val="222222"/>
          <w:shd w:val="clear" w:color="auto" w:fill="FFFFFF"/>
          <w:lang w:val="en-US"/>
        </w:rPr>
        <w:t xml:space="preserve"> in the original POD24 paper it is not possible to assess the role of ASCT for patients with early relapse as only 8% of them actually followed the guidelines and was treated with ASCT as salvage therapy. Data to support t</w:t>
      </w:r>
      <w:r>
        <w:rPr>
          <w:rFonts w:ascii="Arial" w:hAnsi="Arial" w:cs="Arial"/>
          <w:bCs/>
          <w:color w:val="222222"/>
          <w:shd w:val="clear" w:color="auto" w:fill="FFFFFF"/>
          <w:lang w:val="en-US"/>
        </w:rPr>
        <w:t>he use of ASCT in early relapses</w:t>
      </w:r>
      <w:r w:rsidRPr="0025576A">
        <w:rPr>
          <w:rFonts w:ascii="Arial" w:hAnsi="Arial" w:cs="Arial"/>
          <w:bCs/>
          <w:color w:val="222222"/>
          <w:shd w:val="clear" w:color="auto" w:fill="FFFFFF"/>
          <w:lang w:val="en-US"/>
        </w:rPr>
        <w:t xml:space="preserve"> can be found in two recent studies. </w:t>
      </w: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 xml:space="preserve">In the first one </w:t>
      </w:r>
      <w:proofErr w:type="spellStart"/>
      <w:r w:rsidRPr="0025576A">
        <w:rPr>
          <w:rFonts w:ascii="Arial" w:hAnsi="Arial" w:cs="Arial"/>
          <w:bCs/>
          <w:color w:val="222222"/>
          <w:shd w:val="clear" w:color="auto" w:fill="FFFFFF"/>
          <w:lang w:val="en-US"/>
        </w:rPr>
        <w:t>Casulo</w:t>
      </w:r>
      <w:proofErr w:type="spellEnd"/>
      <w:r w:rsidRPr="0025576A">
        <w:rPr>
          <w:rFonts w:ascii="Arial" w:hAnsi="Arial" w:cs="Arial"/>
          <w:bCs/>
          <w:color w:val="222222"/>
          <w:shd w:val="clear" w:color="auto" w:fill="FFFFFF"/>
          <w:lang w:val="en-US"/>
        </w:rPr>
        <w:t xml:space="preserve"> et al. analyzed data on 348 patients from the Center for International Blood and Marrow Transplant Research (CIBMTR) and the National </w:t>
      </w:r>
      <w:proofErr w:type="spellStart"/>
      <w:r w:rsidRPr="0025576A">
        <w:rPr>
          <w:rFonts w:ascii="Arial" w:hAnsi="Arial" w:cs="Arial"/>
          <w:bCs/>
          <w:color w:val="222222"/>
          <w:shd w:val="clear" w:color="auto" w:fill="FFFFFF"/>
          <w:lang w:val="en-US"/>
        </w:rPr>
        <w:t>LymphoCare</w:t>
      </w:r>
      <w:proofErr w:type="spellEnd"/>
      <w:r w:rsidRPr="0025576A">
        <w:rPr>
          <w:rFonts w:ascii="Arial" w:hAnsi="Arial" w:cs="Arial"/>
          <w:bCs/>
          <w:color w:val="222222"/>
          <w:shd w:val="clear" w:color="auto" w:fill="FFFFFF"/>
          <w:lang w:val="en-US"/>
        </w:rPr>
        <w:t xml:space="preserve"> Study (NLCS) to determine whether ASCT can improve outcomes in this high-risk FL subgroup. A first group of 174 patients with early failure who did not receive ASCT from NLCS was compared with a matched group of 175 patients who received ASCT obtained from CIBMTR. The planned subgroup analysis showed that patients </w:t>
      </w:r>
      <w:r w:rsidRPr="0025576A">
        <w:rPr>
          <w:rFonts w:ascii="Arial" w:hAnsi="Arial" w:cs="Arial"/>
          <w:bCs/>
          <w:color w:val="222222"/>
          <w:shd w:val="clear" w:color="auto" w:fill="FFFFFF"/>
          <w:lang w:val="en-US"/>
        </w:rPr>
        <w:lastRenderedPageBreak/>
        <w:t>receiving ASCT soon after treatment failure (≤1 year) had higher 5-year OS than those without ASCT (73% vs. 60%, P = .05). On multivariate analysis, early use of ASCT was associated with significantly r</w:t>
      </w:r>
      <w:r>
        <w:rPr>
          <w:rFonts w:ascii="Arial" w:hAnsi="Arial" w:cs="Arial"/>
          <w:bCs/>
          <w:color w:val="222222"/>
          <w:shd w:val="clear" w:color="auto" w:fill="FFFFFF"/>
          <w:lang w:val="en-US"/>
        </w:rPr>
        <w:t>educed mortality</w:t>
      </w:r>
      <w:r w:rsidRPr="0025576A">
        <w:rPr>
          <w:rFonts w:ascii="Arial" w:hAnsi="Arial" w:cs="Arial"/>
          <w:bCs/>
          <w:color w:val="222222"/>
          <w:shd w:val="clear" w:color="auto" w:fill="FFFFFF"/>
          <w:lang w:val="en-US"/>
        </w:rPr>
        <w:t xml:space="preserve"> </w:t>
      </w:r>
      <w:r>
        <w:rPr>
          <w:rFonts w:ascii="Arial" w:hAnsi="Arial" w:cs="Arial"/>
          <w:bCs/>
          <w:color w:val="222222"/>
          <w:shd w:val="clear" w:color="auto" w:fill="FFFFFF"/>
          <w:lang w:val="en-US"/>
        </w:rPr>
        <w:fldChar w:fldCharType="begin" w:fldLock="1"/>
      </w:r>
      <w:r w:rsidR="0017693A">
        <w:rPr>
          <w:rFonts w:ascii="Arial" w:hAnsi="Arial" w:cs="Arial"/>
          <w:bCs/>
          <w:color w:val="222222"/>
          <w:shd w:val="clear" w:color="auto" w:fill="FFFFFF"/>
          <w:lang w:val="en-US"/>
        </w:rPr>
        <w:instrText>ADDIN CSL_CITATION { "citationItems" : [ { "id" : "ITEM-1", "itemData" : { "DOI" : "10.1016/j.bbmt.2017.12.771", "ISSN" : "15236536", "abstract" : "Patients with follicular lymphoma (FL) experiencing early therapy failure (ETF) within 2 years of frontline chemoimmunotherapy have poor overall survival (OS). We analyzed data from the Center for International Blood and Marrow Transplant Research (CIBMTR) and the National LymphoCare Study (NLCS) to determine whether autologous hematopoietic cell transplant (autoHCT) can improve outcomes in this high-risk FL subgroup. ETF was defined as failure to achieve at least partial response after frontline chemoimmunotherapy or lymphoma progression within 2 years of frontline chemoimmunotherapy. We identified 2 groups: the non-autoHCT cohort (patients from the NLCS with ETF not undergoing autoHCT) and the autoHCT cohort (CIBMTR patients with ETF undergoing autoHCT). All patients received rituximab-based chemotherapy as frontline treatment; 174 non-autoHCT patients and 175 autoHCT patients were identified and analyzed. There was no difference in 5-year OS between the 2 groups (60% versus 67%, respectively; P = .16). A planned subgroup analysis showed that patients with ETF receiving autoHCT soon after treatment failure (\u22641 year of ETF; n = 123) had higher 5-year OS than those without autoHCT (73% versus 60%, P = .05). On multivariate analysis, early use of autoHCT was associated with significantly reduced mortality (hazard ratio, .63; 95% confidence interval, .42 to .94; P = .02). Patients with FL experiencing ETF after frontline chemoimmunotherapy lack optimal therapy. We demonstrate improved OS when receiving autoHCT within 1 year of treatment failure. Results from this unique collaboration between the NLCS and CIBMTR support consideration of early consolidation with autoHCT in select FL patients experiencing ETF.", "author" : [ { "dropping-particle" : "", "family" : "Casulo", "given" : "Carla", "non-dropping-particle" : "", "parse-names" : false, "suffix" : "" }, { "dropping-particle" : "", "family" : "Friedberg", "given" : "Jonathan W.", "non-dropping-particle" : "", "parse-names" : false, "suffix" : "" }, { "dropping-particle" : "", "family" : "Ahn", "given" : "Kwang W.", "non-dropping-particle" : "", "parse-names" : false, "suffix" : "" }, { "dropping-particle" : "", "family" : "Flowers", "given" : "Christopher", "non-dropping-particle" : "", "parse-names" : false, "suffix" : "" }, { "dropping-particle" : "", "family" : "DiGilio", "given" : "Alyssa", "non-dropping-particle" : "", "parse-names" : false, "suffix" : "" }, { "dropping-particle" : "", "family" : "Smith", "given" : "Sonali M.", "non-dropping-particle" : "", "parse-names" : false, "suffix" : "" }, { "dropping-particle" : "", "family" : "Ahmed", "given" : "Sairah", "non-dropping-particle" : "", "parse-names" : false, "suffix" : "" }, { "dropping-particle" : "", "family" : "Inwards", "given" : "David", "non-dropping-particle" : "", "parse-names" : false, "suffix" : "" }, { "dropping-particle" : "", "family" : "Aljurf", "given" : "Mahmoud", "non-dropping-particle" : "", "parse-names" : false, "suffix" : "" }, { "dropping-particle" : "", "family" : "Chen", "given" : "Andy I.", "non-dropping-particle" : "", "parse-names" : false, "suffix" : "" }, { "dropping-particle" : "", "family" : "Choe", "given" : "Hannah", "non-dropping-particle" : "", "parse-names" : false, "suffix" : "" }, { "dropping-particle" : "", "family" : "Cohen", "given" : "Jonathon", "non-dropping-particle" : "", "parse-names" : false, "suffix" : "" }, { "dropping-particle" : "", "family" : "Copelan", "given" : "Edward", "non-dropping-particle" : "", "parse-names" : false, "suffix" : "" }, { "dropping-particle" : "", "family" : "Farooq", "given" : "Umar", "non-dropping-particle" : "", "parse-names" : false, "suffix" : "" }, { "dropping-particle" : "", "family" : "Fenske", "given" : "Timothy S.", "non-dropping-particle" : "", "parse-names" : false, "suffix" : "" }, { "dropping-particle" : "", "family" : "Freytes", "given" : "Cesar", "non-dropping-particle" : "", "parse-names" : false, "suffix" : "" }, { "dropping-particle" : "", "family" : "Gaballa", "given" : "Sameh", "non-dropping-particle" : "", "parse-names" : false, "suffix" : "" }, { "dropping-particle" : "", "family" : "Ganguly", "given" : "Siddhartha", "non-dropping-particle" : "", "parse-names" : false, "suffix" : "" }, { "dropping-particle" : "", "family" : "Jethava", "given" : "Yogesh", "non-dropping-particle" : "", "parse-names" : false, "suffix" : "" }, { "dropping-particle" : "", "family" : "Kamble", "given" : "Rammurti T.", "non-dropping-particle" : "", "parse-names" : false, "suffix" : "" }, { "dropping-particle" : "", "family" : "Kenkre", "given" : "Vaishalee P.", "non-dropping-particle" : "", "parse-names" : false, "suffix" : "" }, { "dropping-particle" : "", "family" : "Lazarus", "given" : "Hillard", "non-dropping-particle" : "", "parse-names" : false, "suffix" : "" }, { "dropping-particle" : "", "family" : "Lazaryan", "given" : "Aleksandr", "non-dropping-particle" : "", "parse-names" : false, "suffix" : "" }, { "dropping-particle" : "", "family" : "Olsson", "given" : "Richard F.", "non-dropping-particle" : "", "parse-names" : false, "suffix" : "" }, { "dropping-particle" : "", "family" : "Rezvani", "given" : "Andrew R.", "non-dropping-particle" : "", "parse-names" : false, "suffix" : "" }, { "dropping-particle" : "", "family" : "Rizzieri", "given" : "David", "non-dropping-particle" : "", "parse-names" : false, "suffix" : "" }, { "dropping-particle" : "", "family" : "Seo", "given" : "Sachiko", "non-dropping-particle" : "", "parse-names" : false, "suffix" : "" }, { "dropping-particle" : "", "family" : "Shah", "given" : "Gunjan L.", "non-dropping-particle" : "", "parse-names" : false, "suffix" : "" }, { "dropping-particle" : "", "family" : "Shah", "given" : "Nina", "non-dropping-particle" : "", "parse-names" : false, "suffix" : "" }, { "dropping-particle" : "", "family" : "Solh", "given" : "Melham", "non-dropping-particle" : "", "parse-names" : false, "suffix" : "" }, { "dropping-particle" : "", "family" : "Sureda", "given" : "Anna", "non-dropping-particle" : "", "parse-names" : false, "suffix" : "" }, { "dropping-particle" : "", "family" : "William", "given" : "Basem", "non-dropping-particle" : "", "parse-names" : false, "suffix" : "" }, { "dropping-particle" : "", "family" : "Cumpston", "given" : "Aaron", "non-dropping-particle" : "", "parse-names" : false, "suffix" : "" }, { "dropping-particle" : "", "family" : "Zelenetz", "given" : "Andrew D.", "non-dropping-particle" : "", "parse-names" : false, "suffix" : "" }, { "dropping-particle" : "", "family" : "Link", "given" : "Brian K.", "non-dropping-particle" : "", "parse-names" : false, "suffix" : "" }, { "dropping-particle" : "", "family" : "Hamadani", "given" : "Mehdi", "non-dropping-particle" : "", "parse-names" : false, "suffix" : "" } ], "container-title" : "Biology of Blood and Marrow Transplantation", "id" : "ITEM-1", "issued" : { "date-parts" : [ [ "2018" ] ] }, "title" : "Autologous Transplantation in Follicular Lymphoma with Early Therapy Failure: A National LymphoCare Study and Center for International Blood and Marrow Transplant Research Analysis", "type" : "article-newspaper" }, "uris" : [ "http://www.mendeley.com/documents/?uuid=2ffe79e6-e281-4577-a7c8-e77dbb5a2bf5", "http://www.mendeley.com/documents/?uuid=f69c762b-ec77-46c9-89a4-ee480405c02d" ] } ], "mendeley" : { "formattedCitation" : "(33)", "plainTextFormattedCitation" : "(33)", "previouslyFormattedCitation" : "(33)"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(33)</w:t>
      </w:r>
      <w:r>
        <w:rPr>
          <w:rFonts w:ascii="Arial" w:hAnsi="Arial" w:cs="Arial"/>
          <w:bCs/>
          <w:color w:val="222222"/>
          <w:shd w:val="clear" w:color="auto" w:fill="FFFFFF"/>
          <w:lang w:val="en-US"/>
        </w:rPr>
        <w:fldChar w:fldCharType="end"/>
      </w:r>
      <w:r>
        <w:rPr>
          <w:rFonts w:ascii="Arial" w:hAnsi="Arial" w:cs="Arial"/>
          <w:bCs/>
          <w:color w:val="222222"/>
          <w:shd w:val="clear" w:color="auto" w:fill="FFFFFF"/>
          <w:lang w:val="en-US"/>
        </w:rPr>
        <w:t>.</w:t>
      </w:r>
      <w:r w:rsidRPr="0025576A">
        <w:rPr>
          <w:rFonts w:ascii="Arial" w:hAnsi="Arial" w:cs="Arial"/>
          <w:bCs/>
          <w:color w:val="222222"/>
          <w:shd w:val="clear" w:color="auto" w:fill="FFFFFF"/>
          <w:lang w:val="en-US"/>
        </w:rPr>
        <w:t xml:space="preserve"> In the second study </w:t>
      </w:r>
      <w:proofErr w:type="spellStart"/>
      <w:r w:rsidRPr="0025576A">
        <w:rPr>
          <w:rFonts w:ascii="Arial" w:hAnsi="Arial" w:cs="Arial"/>
          <w:bCs/>
          <w:color w:val="222222"/>
          <w:shd w:val="clear" w:color="auto" w:fill="FFFFFF"/>
          <w:lang w:val="en-US"/>
        </w:rPr>
        <w:t>Jurinovich</w:t>
      </w:r>
      <w:proofErr w:type="spellEnd"/>
      <w:r w:rsidRPr="0025576A">
        <w:rPr>
          <w:rFonts w:ascii="Arial" w:hAnsi="Arial" w:cs="Arial"/>
          <w:bCs/>
          <w:color w:val="222222"/>
          <w:shd w:val="clear" w:color="auto" w:fill="FFFFFF"/>
          <w:lang w:val="en-US"/>
        </w:rPr>
        <w:t xml:space="preserve"> et al. evaluated 113 patients with FL who were enrolled in 2 consecutive randomized trials of the German </w:t>
      </w:r>
      <w:proofErr w:type="gramStart"/>
      <w:r w:rsidRPr="0025576A">
        <w:rPr>
          <w:rFonts w:ascii="Arial" w:hAnsi="Arial" w:cs="Arial"/>
          <w:bCs/>
          <w:color w:val="222222"/>
          <w:shd w:val="clear" w:color="auto" w:fill="FFFFFF"/>
          <w:lang w:val="en-US"/>
        </w:rPr>
        <w:t>Low Grade</w:t>
      </w:r>
      <w:proofErr w:type="gramEnd"/>
      <w:r w:rsidRPr="0025576A">
        <w:rPr>
          <w:rFonts w:ascii="Arial" w:hAnsi="Arial" w:cs="Arial"/>
          <w:bCs/>
          <w:color w:val="222222"/>
          <w:shd w:val="clear" w:color="auto" w:fill="FFFFFF"/>
          <w:lang w:val="en-US"/>
        </w:rPr>
        <w:t xml:space="preserve"> Lymphoma Study Group, who had POD24 and had not received prior ASCT. POD24 patients were more likely to receive ASCT as 2nd-line treatment (46% vs 22%; p=0.008) compared to patients without POD24. In univariate and multivariate analysis, ASCT for POD24 patients was associated with significantly better 5-year 2nd-line PFS and OS rates of 51% vs 19% and 77% vs 46%, respectively.</w:t>
      </w:r>
      <w:r>
        <w:rPr>
          <w:rFonts w:ascii="Arial" w:hAnsi="Arial" w:cs="Arial"/>
          <w:bCs/>
          <w:color w:val="222222"/>
          <w:shd w:val="clear" w:color="auto" w:fill="FFFFFF"/>
          <w:lang w:val="en-US"/>
        </w:rPr>
        <w:fldChar w:fldCharType="begin" w:fldLock="1"/>
      </w:r>
      <w:r w:rsidR="0017693A">
        <w:rPr>
          <w:rFonts w:ascii="Arial" w:hAnsi="Arial" w:cs="Arial"/>
          <w:bCs/>
          <w:color w:val="222222"/>
          <w:shd w:val="clear" w:color="auto" w:fill="FFFFFF"/>
          <w:lang w:val="en-US"/>
        </w:rPr>
        <w:instrText>ADDIN CSL_CITATION { "citationItems" : [ { "id" : "ITEM-1", "itemData" : { "author" : [ { "dropping-particle" : "", "family" : "Vindi Jurinovic, Bernd Metzner, Michael Pfreundschuh, Norbert Schmitz, Hannes Wandt, Christian Peschel, Martin Dreyling, Wolfgang Hiddemann, Eva Hoster", "given" : "Michael Unterhalt and Oliver Weigert", "non-dropping-particle" : "", "parse-names" : false, "suffix" : "" } ], "container-title" : "Blood", "id" : "ITEM-1", "issue" : "22", "issued" : { "date-parts" : [ [ "2016" ] ] }, "page" : "3464", "title" : "Autologous Stem Cell Transplantation for Patients with Early Progression of Follicular Lymphoma- Retrospective Analysis of 2 Randomized Trials of the German Low Grade Lymphoma Study Group (GLSG)", "type" : "article-journal", "volume" : "128" }, "uris" : [ "http://www.mendeley.com/documents/?uuid=b974e940-dd5f-4769-ac13-8ece58f2c95e", "http://www.mendeley.com/documents/?uuid=48f1493d-ada0-4489-a2f3-75f1f5f3bcc5" ] } ], "mendeley" : { "formattedCitation" : "(34)", "plainTextFormattedCitation" : "(34)", "previouslyFormattedCitation" : "(34)"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(34)</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xml:space="preserve"> In two additional retrospective studies the suggestion that in patients with POD24 an allogeneic transplant could be more effective than ASCT is also made </w:t>
      </w:r>
      <w:r>
        <w:rPr>
          <w:rFonts w:ascii="Arial" w:hAnsi="Arial" w:cs="Arial"/>
          <w:bCs/>
          <w:color w:val="222222"/>
          <w:shd w:val="clear" w:color="auto" w:fill="FFFFFF"/>
          <w:lang w:val="en-US"/>
        </w:rPr>
        <w:fldChar w:fldCharType="begin" w:fldLock="1"/>
      </w:r>
      <w:r w:rsidR="0017693A">
        <w:rPr>
          <w:rFonts w:ascii="Arial" w:hAnsi="Arial" w:cs="Arial"/>
          <w:bCs/>
          <w:color w:val="222222"/>
          <w:shd w:val="clear" w:color="auto" w:fill="FFFFFF"/>
          <w:lang w:val="en-US"/>
        </w:rPr>
        <w:instrText>ADDIN CSL_CITATION { "citationItems" : [ { "id" : "ITEM-1", "itemData" : { "DOI" : "10.1111/bjh.13947", "ISSN" : "13652141", "author" : [ { "dropping-particle" : "", "family" : "Lunning", "given" : "Matthew A.", "non-dropping-particle" : "", "parse-names" : false, "suffix" : "" }, { "dropping-particle" : "", "family" : "Migliacci", "given" : "Jocelyn C.", "non-dropping-particle" : "", "parse-names" : false, "suffix" : "" }, { "dropping-particle" : "", "family" : "Hilden", "given" : "Patrick", "non-dropping-particle" : "", "parse-names" : false, "suffix" : "" }, { "dropping-particle" : "", "family" : "Devlin", "given" : "Sean M.", "non-dropping-particle" : "", "parse-names" : false, "suffix" : "" }, { "dropping-particle" : "", "family" : "Castro-Malaspina", "given" : "Hugo", "non-dropping-particle" : "", "parse-names" : false, "suffix" : "" }, { "dropping-particle" : "", "family" : "Giralt", "given" : "Sergio", "non-dropping-particle" : "", "parse-names" : false, "suffix" : "" }, { "dropping-particle" : "", "family" : "Perales", "given" : "Miguel Angel", "non-dropping-particle" : "", "parse-names" : false, "suffix" : "" }, { "dropping-particle" : "", "family" : "Zelenetz", "given" : "Andrew D.", "non-dropping-particle" : "", "parse-names" : false, "suffix" : "" }, { "dropping-particle" : "", "family" : "Moskowitz", "given" : "Craig H.", "non-dropping-particle" : "", "parse-names" : false, "suffix" : "" }, { "dropping-particle" : "", "family" : "Sauter", "given" : "Craig S.", "non-dropping-particle" : "", "parse-names" : false, "suffix" : "" } ], "container-title" : "British Journal of Haematology", "id" : "ITEM-1", "issue" : "2", "issued" : { "date-parts" : [ [ "2016" ] ] }, "page" : "260-264", "title" : "The potential benefit of allogeneic over autologous transplantation in patients with very early relapsed and refractory follicular lymphoma with prior remission duration of \u226412 months", "type" : "article-journal", "volume" : "173" }, "uris" : [ "http://www.mendeley.com/documents/?uuid=87910ace-5125-4b28-b10f-ec04134df1b9", "http://www.mendeley.com/documents/?uuid=0be775b9-282b-41f8-8a91-858fd6eeb545" ] }, { "id" : "ITEM-2", "itemData" : { "DOI" : "10.1038/bmt.2013.83", "ISSN" : "02683369", "PMID" : "23771004", "abstract" : "Both auto-SCT and reduced intensity allo-SCT (RIST) are employed in the treatment of relapsed follicular lymphoma (FL). We have analysed the outcome of these two transplant procedures when used as a first transplant in this setting. We conducted a retrospective comparison of 726 patients who underwent an auto-SCT and 149 who underwent a RIST as a first transplant procedure for relapsed FL as reported to the Lymphoma Working Party of the European Bone Marrow Transplant. The non-relapse mortality (NRM) was significantly worse for patients undergoing a RIST (relative risk (RR) 4.0, P&lt;0.001). The 1-year NRM was 15% for those undergoing a RIST compared with 3% for those undergoing an auto-SCT. Disease relapse or progression were significantly worse for those receiving an auto-SCT (RR 3.1, P&lt;0.001). Patients undergoing a RIST had a 5-year relapse rate of 20% compared with 47% for those undergoing an auto-SCT. The PFS at 5 years was 57% for patients receiving a RIST compared with 48% for those receiving an auto-SCT. There was no significant difference in OS between the two groups. RIST is associated with a higher NRM and lower relapse rate in patients with relapsed FL.", "author" : [ { "dropping-particle" : "", "family" : "Robinson", "given" : "S. P.", "non-dropping-particle" : "", "parse-names" : false, "suffix" : "" }, { "dropping-particle" : "", "family" : "Canals", "given" : "C.", "non-dropping-particle" : "", "parse-names" : false, "suffix" : "" }, { "dropping-particle" : "", "family" : "Luang", "given" : "J. J.", "non-dropping-particle" : "", "parse-names" : false, "suffix" : "" }, { "dropping-particle" : "", "family" : "Tilly", "given" : "H.", "non-dropping-particle" : "", "parse-names" : false, "suffix" : "" }, { "dropping-particle" : "", "family" : "Crawley", "given" : "C.", "non-dropping-particle" : "", "parse-names" : false, "suffix" : "" }, { "dropping-particle" : "", "family" : "Cahn", "given" : "J. Y.", "non-dropping-particle" : "", "parse-names" : false, "suffix" : "" }, { "dropping-particle" : "", "family" : "Pohlreich", "given" : "D.", "non-dropping-particle" : "", "parse-names" : false, "suffix" : "" }, { "dropping-particle" : "", "family" : "Gouill", "given" : "S.", "non-dropping-particle" : "Le", "parse-names" : false, "suffix" : "" }, { "dropping-particle" : "", "family" : "Gilleece", "given" : "M.", "non-dropping-particle" : "", "parse-names" : false, "suffix" : "" }, { "dropping-particle" : "", "family" : "Milpied", "given" : "N.", "non-dropping-particle" : "", "parse-names" : false, "suffix" : "" }, { "dropping-particle" : "", "family" : "Attal", "given" : "M.", "non-dropping-particle" : "", "parse-names" : false, "suffix" : "" }, { "dropping-particle" : "", "family" : "Biron", "given" : "P.", "non-dropping-particle" : "", "parse-names" : false, "suffix" : "" }, { "dropping-particle" : "", "family" : "Maury", "given" : "S.", "non-dropping-particle" : "", "parse-names" : false, "suffix" : "" }, { "dropping-particle" : "", "family" : "Rambaldi", "given" : "A.", "non-dropping-particle" : "", "parse-names" : false, "suffix" : "" }, { "dropping-particle" : "", "family" : "Maertens", "given" : "J.", "non-dropping-particle" : "", "parse-names" : false, "suffix" : "" }, { "dropping-particle" : "", "family" : "Capria", "given" : "S.", "non-dropping-particle" : "", "parse-names" : false, "suffix" : "" }, { "dropping-particle" : "", "family" : "Colombat", "given" : "P.", "non-dropping-particle" : "", "parse-names" : false, "suffix" : "" }, { "dropping-particle" : "", "family" : "Montoto", "given" : "S.", "non-dropping-particle" : "", "parse-names" : false, "suffix" : "" }, { "dropping-particle" : "", "family" : "Sureda", "given" : "A.", "non-dropping-particle" : "", "parse-names" : false, "suffix" : "" } ], "container-title" : "Bone Marrow Transplantation", "id" : "ITEM-2", "issue" : "11", "issued" : { "date-parts" : [ [ "2013" ] ] }, "page" : "1409-1414", "title" : "The outcome of reduced intensity allogeneic stem cell transplantation and autologous stem cell transplantation when performed as a first transplant strategy in relapsed follicular lymphoma: An analysis from the Lymphoma Working Party of the EBMT", "type" : "article-journal", "volume" : "48" }, "uris" : [ "http://www.mendeley.com/documents/?uuid=4a81d818-9499-4ca9-89be-3d019414220d", "http://www.mendeley.com/documents/?uuid=df8810c6-2871-45de-8527-43d441d697dc" ] } ], "mendeley" : { "formattedCitation" : "(35,36)", "plainTextFormattedCitation" : "(35,36)", "previouslyFormattedCitation" : "(35,36)"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(35,36)</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xml:space="preserve"> but this option can only be offered to a small number of patients.</w:t>
      </w: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In summary also if based on retrospective studies available data strongly support the hypothesis that standard conventional therapy of patients who are at high risk because of POD24 is largely unsatisfactory and that if the patient is fit enough the option ASCT should always be considered. Randomized trials comparing ASCT vs conventional immunochemotherapy for POD24 patients are strongly warranted.</w:t>
      </w: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 xml:space="preserve"> </w:t>
      </w: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 xml:space="preserve">In patients who are not eligible for ASCT several conventional therapies are available but few </w:t>
      </w:r>
      <w:proofErr w:type="gramStart"/>
      <w:r w:rsidRPr="0025576A">
        <w:rPr>
          <w:rFonts w:ascii="Arial" w:hAnsi="Arial" w:cs="Arial"/>
          <w:bCs/>
          <w:color w:val="222222"/>
          <w:shd w:val="clear" w:color="auto" w:fill="FFFFFF"/>
          <w:lang w:val="en-US"/>
        </w:rPr>
        <w:t>recommendation</w:t>
      </w:r>
      <w:proofErr w:type="gramEnd"/>
      <w:r w:rsidRPr="0025576A">
        <w:rPr>
          <w:rFonts w:ascii="Arial" w:hAnsi="Arial" w:cs="Arial"/>
          <w:bCs/>
          <w:color w:val="222222"/>
          <w:shd w:val="clear" w:color="auto" w:fill="FFFFFF"/>
          <w:lang w:val="en-US"/>
        </w:rPr>
        <w:t xml:space="preserve"> can be done suggesting the enrollment into a clinical trial as first opt</w:t>
      </w:r>
      <w:r>
        <w:rPr>
          <w:rFonts w:ascii="Arial" w:hAnsi="Arial" w:cs="Arial"/>
          <w:bCs/>
          <w:color w:val="222222"/>
          <w:shd w:val="clear" w:color="auto" w:fill="FFFFFF"/>
          <w:lang w:val="en-US"/>
        </w:rPr>
        <w:t xml:space="preserve">ion, if available and to use </w:t>
      </w:r>
      <w:r w:rsidRPr="0025576A">
        <w:rPr>
          <w:rFonts w:ascii="Arial" w:hAnsi="Arial" w:cs="Arial"/>
          <w:bCs/>
          <w:color w:val="222222"/>
          <w:shd w:val="clear" w:color="auto" w:fill="FFFFFF"/>
          <w:lang w:val="en-US"/>
        </w:rPr>
        <w:t xml:space="preserve">the most intensive treatment that can be tolerated by the patient as alternative option.  Some interesting data can be found with new drugs that were recently approved by national health authorities for the treatment of relapsed refractory FL based on their documented activity with phase II or phase III data. These include the pI3K inhibitor </w:t>
      </w:r>
      <w:proofErr w:type="spellStart"/>
      <w:r w:rsidRPr="0025576A">
        <w:rPr>
          <w:rFonts w:ascii="Arial" w:hAnsi="Arial" w:cs="Arial"/>
          <w:bCs/>
          <w:color w:val="222222"/>
          <w:shd w:val="clear" w:color="auto" w:fill="FFFFFF"/>
          <w:lang w:val="en-US"/>
        </w:rPr>
        <w:t>idelalisib</w:t>
      </w:r>
      <w:proofErr w:type="spellEnd"/>
      <w:r w:rsidRPr="0025576A">
        <w:rPr>
          <w:rFonts w:ascii="Arial" w:hAnsi="Arial" w:cs="Arial"/>
          <w:bCs/>
          <w:color w:val="222222"/>
          <w:shd w:val="clear" w:color="auto" w:fill="FFFFFF"/>
          <w:lang w:val="en-US"/>
        </w:rPr>
        <w:t xml:space="preserve">, the immunomodulator Lenalidomide and the new anti CD20 monoclonal antibody </w:t>
      </w:r>
      <w:proofErr w:type="spellStart"/>
      <w:r w:rsidRPr="0025576A">
        <w:rPr>
          <w:rFonts w:ascii="Arial" w:hAnsi="Arial" w:cs="Arial"/>
          <w:bCs/>
          <w:color w:val="222222"/>
          <w:shd w:val="clear" w:color="auto" w:fill="FFFFFF"/>
          <w:lang w:val="en-US"/>
        </w:rPr>
        <w:t>Obinutuzumab</w:t>
      </w:r>
      <w:proofErr w:type="spellEnd"/>
      <w:r w:rsidRPr="0025576A">
        <w:rPr>
          <w:rFonts w:ascii="Arial" w:hAnsi="Arial" w:cs="Arial"/>
          <w:bCs/>
          <w:color w:val="222222"/>
          <w:shd w:val="clear" w:color="auto" w:fill="FFFFFF"/>
          <w:lang w:val="en-US"/>
        </w:rPr>
        <w:t xml:space="preserve"> </w:t>
      </w:r>
      <w:r>
        <w:rPr>
          <w:rFonts w:ascii="Arial" w:hAnsi="Arial" w:cs="Arial"/>
          <w:bCs/>
          <w:color w:val="222222"/>
          <w:shd w:val="clear" w:color="auto" w:fill="FFFFFF"/>
          <w:lang w:val="en-US"/>
        </w:rPr>
        <w:fldChar w:fldCharType="begin" w:fldLock="1"/>
      </w:r>
      <w:r w:rsidR="0017693A">
        <w:rPr>
          <w:rFonts w:ascii="Arial" w:hAnsi="Arial" w:cs="Arial"/>
          <w:bCs/>
          <w:color w:val="222222"/>
          <w:shd w:val="clear" w:color="auto" w:fill="FFFFFF"/>
          <w:lang w:val="en-US"/>
        </w:rPr>
        <w:instrText>ADDIN CSL_CITATION { "citationItems" : [ { "id" : "ITEM-1", "itemData" : { "DOI" : "10.1056/NEJMoa1314583", "ISBN" : "1533-4406 (Electronic)\\n0028-4793 (Linking)", "ISSN" : "0028-4793", "PMID" : "24450858", "abstract" : "Background Phosphatidylinositol-3-kinase delta (PI3K\u03b4) mediates B-cell receptor signaling and microenvironmental support signals that promote the growth and survival of malignant B lymphocytes. In a phase 1 study, idelalisib, an orally active selective PI3K\u03b4 inhibitor, showed antitumor activity in patients with previously treated indolent non-Hodgkin's lymphomas. Methods In this single-group, open-label, phase 2 study, 125 patients with indolent non-Hodgkin's lymphomas who had not had a response to rituximab and an alkylating agent or had had a relapse within 6 months after receipt of those therapies were administered idelalisib, 150 mg twice daily, until the disease progressed or the patient withdrew from the study. The primary end point was the overall rate of response; secondary end points included the duration of response, progression-free survival, and safety. Results The median age of the patients was 64 years (range, 33 to 87); patients had received a median of four prior therapies (range, 2 to 12)...", "author" : [ { "dropping-particle" : "", "family" : "Gopal", "given" : "Ajay K.", "non-dropping-particle" : "", "parse-names" : false, "suffix" : "" }, { "dropping-particle" : "", "family" : "Kahl", "given" : "Brad S.", "non-dropping-particle" : "", "parse-names" : false, "suffix" : "" }, { "dropping-particle" : "", "family" : "Vos", "given" : "Sven", "non-dropping-particle" : "de", "parse-names" : false, "suffix" : "" }, { "dropping-particle" : "", "family" : "Wagner-Johnston", "given" : "Nina D.", "non-dropping-particle" : "", "parse-names" : false, "suffix" : "" }, { "dropping-particle" : "", "family" : "Schuster", "given" : "Stephen J.", "non-dropping-particle" : "", "parse-names" : false, "suffix" : "" }, { "dropping-particle" : "", "family" : "Jurczak", "given" : "Wojciech J.", "non-dropping-particle" : "", "parse-names" : false, "suffix" : "" }, { "dropping-particle" : "", "family" : "Flinn", "given" : "Ian W.", "non-dropping-particle" : "", "parse-names" : false, "suffix" : "" }, { "dropping-particle" : "", "family" : "Flowers", "given" : "Christopher R.", "non-dropping-particle" : "", "parse-names" : false, "suffix" : "" }, { "dropping-particle" : "", "family" : "Martin", "given" : "Peter", "non-dropping-particle" : "", "parse-names" : false, "suffix" : "" }, { "dropping-particle" : "", "family" : "Viardot", "given" : "Andreas", "non-dropping-particle" : "", "parse-names" : false, "suffix" : "" }, { "dropping-particle" : "", "family" : "Blum", "given" : "Kristie A.", "non-dropping-particle" : "", "parse-names" : false, "suffix" : "" }, { "dropping-particle" : "", "family" : "Goy", "given" : "Andre H.", "non-dropping-particle" : "", "parse-names" : false, "suffix" : "" }, { "dropping-particle" : "", "family" : "Davies", "given" : "Andrew J.", "non-dropping-particle" : "", "parse-names" : false, "suffix" : "" }, { "dropping-particle" : "", "family" : "Zinzani", "given" : "Pier Luigi", "non-dropping-particle" : "", "parse-names" : false, "suffix" : "" }, { "dropping-particle" : "", "family" : "Dreyling", "given" : "Martin", "non-dropping-particle" : "", "parse-names" : false, "suffix" : "" }, { "dropping-particle" : "", "family" : "Johnson", "given" : "Dave", "non-dropping-particle" : "", "parse-names" : false, "suffix" : "" }, { "dropping-particle" : "", "family" : "Miller", "given" : "Langdon L.", "non-dropping-particle" : "", "parse-names" : false, "suffix" : "" }, { "dropping-particle" : "", "family" : "Holes", "given" : "Leanne", "non-dropping-particle" : "", "parse-names" : false, "suffix" : "" }, { "dropping-particle" : "", "family" : "Li", "given" : "Daniel", "non-dropping-particle" : "", "parse-names" : false, "suffix" : "" }, { "dropping-particle" : "", "family" : "Dansey", "given" : "Roger D.", "non-dropping-particle" : "", "parse-names" : false, "suffix" : "" }, { "dropping-particle" : "", "family" : "Godfrey", "given" : "Wayne R.", "non-dropping-particle" : "", "parse-names" : false, "suffix" : "" }, { "dropping-particle" : "", "family" : "Salles", "given" : "Gilles A.", "non-dropping-particle" : "", "parse-names" : false, "suffix" : "" } ], "container-title" : "New England Journal of Medicine", "id" : "ITEM-1", "issue" : "11", "issued" : { "date-parts" : [ [ "2014" ] ] }, "page" : "1008-1018", "title" : "PI3K\u03b4 Inhibition by Idelalisib in Patients with Relapsed Indolent Lymphoma", "type" : "article-journal", "volume" : "370" }, "uris" : [ "http://www.mendeley.com/documents/?uuid=04ec7b5c-b723-4ecd-8671-efbd655cb659", "http://www.mendeley.com/documents/?uuid=9265e9a9-b6d8-4ca3-8abe-233f87c9a1cd" ] }, { "id" : "ITEM-2", "itemData" : { "DOI" : "10.1016/S1470-2045(16)30097-3", "ISBN" : "1474-5488 (Electronic)\r1470-2045 (Linking)", "ISSN" : "14745488", "PMID" : "27345636", "abstract" : "Background Patients with indolent non-Hodgkin lymphoma who fail to achieve adequate disease control with rituximab-based treatment have few treatment options and a poor prognosis. We aimed to assess a combination of obinutuzumab (GA101), a novel glyco-engineered type II anti-CD20 monoclonal antibody, and bendamustine in this patient population. Methods In this open-label, randomised, phase 3 study (GADOLIN), patients aged 18 years or older with histologically documented, CD20-positive indolent non-Hodgkin lymphoma refractory to rituximab were enrolled at 83 hospital and community sites in 14 countries in Europe, Asia, and North and Central America. Patients were randomly assigned (1:1) using a hierarchical dynamic randomisation scheme stratified by indolent non-Hodgkin lymphoma subtype, rituximab-refractory type, number of previous therapies, and geographical region, to receive induction treatment (six 28-day cycles) with obinutuzumab plus bendamustine or bendamustine monotherapy, both given intravenously. Obinutuzumab plus bendamustine dosing was obinutuzumab 1000 mg (days 1, 8, and 15, cycle 1; day 1, cycles 2\u20136) plus bendamustine 90 mg/m2per day (days 1 and 2, cycles 1\u20136), and bendamustine monotherapy dosing was 120 mg/m2per day (days 1 and 2, all cycles). Non-progressing patients in the obinutuzumab plus bendamustine group received obinutuzumab maintenance (1000 mg every 2 months) for up to 2 years. The primary endpoint was progression-free survival in all randomised patients, as assessed by an independent review committee. Safety was assessed in all patients who received any amount of obinutuzumab or bendamustine. This study is registered with ClinicalTrials.gov, number NCT01059630, and has stopped recruiting patients. Findings Between April 15, 2010, and Sept 1, 2014, when the study was stopped after a pre-planned interim analysis, 396 patients were randomly assigned (194 to obinutuzumab plus bendamustine and 202 to bendamustine monotherapy). After a median follow-up time of 21\u00b79 months (IQR 12\u00b71\u201331\u00b70) in the obinutuzumab plus bendamustine group and 20\u00b73 months (9\u00b75\u201329\u00b77) in the bendamustine monotherapy group, progression-free survival was significantly longer with obinutuzumab plus bendamustine (median not reached [95% CI 22\u00b75 months\u2013not estimable]) than with bendamustine monotherapy (14\u00b79 months [12\u00b78\u201316\u00b76]; hazard ratio 0\u00b755 [95% CI 0\u00b740\u20130\u00b774]; p=0\u00b70001). Grade 3\u20135 adverse events occurred in 132 (68%) of 194 patients in the obinutuzumab plus be\u2026", "author" : [ { "dropping-particle" : "", "family" : "Sehn", "given" : "Laurie H.", "non-dropping-particle" : "", "parse-names" : false, "suffix" : "" }, { "dropping-particle" : "", "family" : "Chua", "given" : "Neil", "non-dropping-particle" : "", "parse-names" : false, "suffix" : "" }, { "dropping-particle" : "", "family" : "Mayer", "given" : "Jiri", "non-dropping-particle" : "", "parse-names" : false, "suffix" : "" }, { "dropping-particle" : "", "family" : "Dueck", "given" : "Gregg", "non-dropping-particle" : "", "parse-names" : false, "suffix" : "" }, { "dropping-particle" : "", "family" : "Trn\u011bn\u00fd", "given" : "Marek", "non-dropping-particle" : "", "parse-names" : false, "suffix" : "" }, { "dropping-particle" : "", "family" : "Bouabdallah", "given" : "Kamal", "non-dropping-particle" : "", "parse-names" : false, "suffix" : "" }, { "dropping-particle" : "", "family" : "Fowler", "given" : "Nathan", "non-dropping-particle" : "", "parse-names" : false, "suffix" : "" }, { "dropping-particle" : "", "family" : "Delwail", "given" : "Vincent", "non-dropping-particle" : "", "parse-names" : false, "suffix" : "" }, { "dropping-particle" : "", "family" : "Press", "given" : "Oliver", "non-dropping-particle" : "", "parse-names" : false, "suffix" : "" }, { "dropping-particle" : "", "family" : "Salles", "given" : "Gilles", "non-dropping-particle" : "", "parse-names" : false, "suffix" : "" }, { "dropping-particle" : "", "family" : "Gribben", "given" : "John", "non-dropping-particle" : "", "parse-names" : false, "suffix" : "" }, { "dropping-particle" : "", "family" : "Lennard", "given" : "Anne", "non-dropping-particle" : "", "parse-names" : false, "suffix" : "" }, { "dropping-particle" : "", "family" : "Lugtenburg", "given" : "Pieternella J.", "non-dropping-particle" : "", "parse-names" : false, "suffix" : "" }, { "dropping-particle" : "", "family" : "Dimier", "given" : "Natalie", "non-dropping-particle" : "", "parse-names" : false, "suffix" : "" }, { "dropping-particle" : "", "family" : "Wassner-Fritsch", "given" : "Elisabeth", "non-dropping-particle" : "", "parse-names" : false, "suffix" : "" }, { "dropping-particle" : "", "family" : "Fingerle-Rowson", "given" : "G\u00fcnter", "non-dropping-particle" : "", "parse-names" : false, "suffix" : "" }, { "dropping-particle" : "", "family" : "Cheson", "given" : "Bruce D.", "non-dropping-particle" : "", "parse-names" : false, "suffix" : "" } ], "container-title" : "The Lancet Oncology", "id" : "ITEM-2", "issue" : "8", "issued" : { "date-parts" : [ [ "2016" ] ] }, "page" : "1081-1093", "title" : "Obinutuzumab plus bendamustine versus bendamustine monotherapy in patients with rituximab-refractory indolent non-Hodgkin lymphoma (GADOLIN): a randomised, controlled, open-label, multicentre, phase 3 trial", "type" : "article-journal", "volume" : "17" }, "uris" : [ "http://www.mendeley.com/documents/?uuid=0940853f-7898-43e0-ac57-6b7a0ac7f14e", "http://www.mendeley.com/documents/?uuid=b298782d-1b04-41b6-ae69-941a15480232" ] }, { "id" : "ITEM-3", "itemData" : { "DOI" : "10.1200/JCO.2014.59.9258", "ISBN" : "1527-7755 (Electronic)\\r0732-183X (Linking)", "ISSN" : "15277755", "PMID" : "26304886", "abstract" : "PURPOSE: Lenalidomide and rituximab (LR) are active agents in follicular lymphoma (FL). Combination regimens have not been previously assessed in randomized studies. PATIENTS AND METHODS: The Cancer and Leukemia Group B (Alliance) 50401 trial is a randomized phase II trial studying rituximab (375 mg/m(2) weekly for 4 weeks), lenalidomide (15 mg per day on days 1 to 21, followed by 7 days of rest, in cycle 1 and then 20 mg per day on days 1 to 21, followed by 7 days of rest, in cycles 2 to 12), or LR. The rituximab-alone arm was discontinued as a result of poor accrual. Eligibility included recurrent FL and prior rituximab with time to progression of &gt;/= 6 months from last dose. Aspirin or heparin was recommended for patients at high thrombosis risk. RESULTS: Ninety-one patients (lenalidomide, n = 45; LR, n = 46) received treatment; median age was 63 years (range, 34 to 89 years), and 58% were intermediate or high risk according to the Follicular Lymphoma International Prognostic Index. In the lenalidomide and LR arms, grade 3 to 4 adverse events occurred in 58% and 53% of patients, with 9% and 11% of patients experiencing grade 4 toxicity, respectively; grade 3 to 4 adverse events included neutropenia (16% v 20%, respectively), fatigue (9% v 13%, respectively), and thrombosis (16% [n = 7] v 4% [n = 2], respectively; P = .157). Thirty-six percent of lenalidomide patients and 63% of LR patients completed 12 cycles. Lenalidomide alone was associated with more treatment failures, with 22% of patients discontinuing treatment as a result of adverse events. Dose-intensity exceeded 80% in both arms. Overall response rate was 53% (20% complete response) and 76% (39% complete response) for lenalidomide alone and LR, respectively (P = .029). At the median follow-up of 2.5 years, median time to progression was 1.1 year for lenalidomide alone and 2 years for LR (P = .0023). CONCLUSION: LR is more active than lenalidomide alone in recurrent FL with similar toxicity, warranting further study in B-cell non-Hodgkin lymphoma as a platform for addition of novel agents.", "author" : [ { "dropping-particle" : "", "family" : "Leonard", "given" : "John P.", "non-dropping-particle" : "", "parse-names" : false, "suffix" : "" }, { "dropping-particle" : "", "family" : "Jung", "given" : "Sin Ho", "non-dropping-particle" : "", "parse-names" : false, "suffix" : "" }, { "dropping-particle" : "", "family" : "Johnson", "given" : "Jeffrey", "non-dropping-particle" : "", "parse-names" : false, "suffix" : "" }, { "dropping-particle" : "", "family" : "Pitcher", "given" : "Brandelyn N.", "non-dropping-particle" : "", "parse-names" : false, "suffix" : "" }, { "dropping-particle" : "", "family" : "Bartlett", "given" : "Nancy L.", "non-dropping-particle" : "", "parse-names" : false, "suffix" : "" }, { "dropping-particle" : "", "family" : "Blum", "given" : "Kristie A.", "non-dropping-particle" : "", "parse-names" : false, "suffix" : "" }, { "dropping-particle" : "", "family" : "Czuczman", "given" : "Myron", "non-dropping-particle" : "", "parse-names" : false, "suffix" : "" }, { "dropping-particle" : "", "family" : "Giguere", "given" : "Jeffrey K.", "non-dropping-particle" : "", "parse-names" : false, "suffix" : "" }, { "dropping-particle" : "", "family" : "Cheson", "given" : "Bruce D.", "non-dropping-particle" : "", "parse-names" : false, "suffix" : "" } ], "container-title" : "Journal of Clinical Oncology", "id" : "ITEM-3", "issue" : "31", "issued" : { "date-parts" : [ [ "2015" ] ] }, "page" : "3635-3640", "title" : "Randomized trial of lenalidomide alone versus lenalidomide plus rituximab in patients with recurrent follicular lymphoma: CALGB 50401 (Alliance)", "type" : "article-journal", "volume" : "33" }, "uris" : [ "http://www.mendeley.com/documents/?uuid=5838ba0a-7403-44da-8e1d-593d2fdc8f69", "http://www.mendeley.com/documents/?uuid=631671c0-b574-4a12-9385-bc0eeef36251" ] } ], "mendeley" : { "formattedCitation" : "(37\u201339)", "plainTextFormattedCitation" : "(37\u201339)", "previouslyFormattedCitation" : "(37\u201339)"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(37–39)</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xml:space="preserve">. </w:t>
      </w:r>
      <w:proofErr w:type="gramStart"/>
      <w:r w:rsidRPr="0025576A">
        <w:rPr>
          <w:rFonts w:ascii="Arial" w:hAnsi="Arial" w:cs="Arial"/>
          <w:bCs/>
          <w:color w:val="222222"/>
          <w:shd w:val="clear" w:color="auto" w:fill="FFFFFF"/>
          <w:lang w:val="en-US"/>
        </w:rPr>
        <w:t>Unfortunately</w:t>
      </w:r>
      <w:proofErr w:type="gramEnd"/>
      <w:r w:rsidRPr="0025576A">
        <w:rPr>
          <w:rFonts w:ascii="Arial" w:hAnsi="Arial" w:cs="Arial"/>
          <w:bCs/>
          <w:color w:val="222222"/>
          <w:shd w:val="clear" w:color="auto" w:fill="FFFFFF"/>
          <w:lang w:val="en-US"/>
        </w:rPr>
        <w:t xml:space="preserve"> neither for lenalidomide nor for </w:t>
      </w:r>
      <w:proofErr w:type="spellStart"/>
      <w:r w:rsidRPr="0025576A">
        <w:rPr>
          <w:rFonts w:ascii="Arial" w:hAnsi="Arial" w:cs="Arial"/>
          <w:bCs/>
          <w:color w:val="222222"/>
          <w:shd w:val="clear" w:color="auto" w:fill="FFFFFF"/>
          <w:lang w:val="en-US"/>
        </w:rPr>
        <w:t>obinutuzumab</w:t>
      </w:r>
      <w:proofErr w:type="spellEnd"/>
      <w:r w:rsidRPr="0025576A">
        <w:rPr>
          <w:rFonts w:ascii="Arial" w:hAnsi="Arial" w:cs="Arial"/>
          <w:bCs/>
          <w:color w:val="222222"/>
          <w:shd w:val="clear" w:color="auto" w:fill="FFFFFF"/>
          <w:lang w:val="en-US"/>
        </w:rPr>
        <w:t xml:space="preserve"> analysis for the subgroup of patients with early relapse are available.</w:t>
      </w: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proofErr w:type="spellStart"/>
      <w:r w:rsidRPr="0025576A">
        <w:rPr>
          <w:rFonts w:ascii="Arial" w:hAnsi="Arial" w:cs="Arial"/>
          <w:bCs/>
          <w:color w:val="222222"/>
          <w:shd w:val="clear" w:color="auto" w:fill="FFFFFF"/>
          <w:lang w:val="en-US"/>
        </w:rPr>
        <w:t>Idelalisib</w:t>
      </w:r>
      <w:proofErr w:type="spellEnd"/>
      <w:r w:rsidRPr="0025576A">
        <w:rPr>
          <w:rFonts w:ascii="Arial" w:hAnsi="Arial" w:cs="Arial"/>
          <w:bCs/>
          <w:color w:val="222222"/>
          <w:shd w:val="clear" w:color="auto" w:fill="FFFFFF"/>
          <w:lang w:val="en-US"/>
        </w:rPr>
        <w:t xml:space="preserve"> is an orally selective active Phosphatidylinositol-3-kinase delta (PI3Kδ) inhibitor whose activity was shown in a phase 2 study of 125 patients with FL patients who had not had a response to rituximab and an alkylating agent or had had a relapse within 6 months </w:t>
      </w:r>
      <w:r>
        <w:rPr>
          <w:rFonts w:ascii="Arial" w:hAnsi="Arial" w:cs="Arial"/>
          <w:bCs/>
          <w:color w:val="222222"/>
          <w:shd w:val="clear" w:color="auto" w:fill="FFFFFF"/>
          <w:lang w:val="en-US"/>
        </w:rPr>
        <w:fldChar w:fldCharType="begin" w:fldLock="1"/>
      </w:r>
      <w:r w:rsidR="0017693A">
        <w:rPr>
          <w:rFonts w:ascii="Arial" w:hAnsi="Arial" w:cs="Arial"/>
          <w:bCs/>
          <w:color w:val="222222"/>
          <w:shd w:val="clear" w:color="auto" w:fill="FFFFFF"/>
          <w:lang w:val="en-US"/>
        </w:rPr>
        <w:instrText>ADDIN CSL_CITATION { "citationItems" : [ { "id" : "ITEM-1", "itemData" : { "DOI" : "10.1056/NEJMoa1314583", "ISBN" : "1533-4406 (Electronic)\\n0028-4793 (Linking)", "ISSN" : "0028-4793", "PMID" : "24450858", "abstract" : "Background Phosphatidylinositol-3-kinase delta (PI3K\u03b4) mediates B-cell receptor signaling and microenvironmental support signals that promote the growth and survival of malignant B lymphocytes. In a phase 1 study, idelalisib, an orally active selective PI3K\u03b4 inhibitor, showed antitumor activity in patients with previously treated indolent non-Hodgkin's lymphomas. Methods In this single-group, open-label, phase 2 study, 125 patients with indolent non-Hodgkin's lymphomas who had not had a response to rituximab and an alkylating agent or had had a relapse within 6 months after receipt of those therapies were administered idelalisib, 150 mg twice daily, until the disease progressed or the patient withdrew from the study. The primary end point was the overall rate of response; secondary end points included the duration of response, progression-free survival, and safety. Results The median age of the patients was 64 years (range, 33 to 87); patients had received a median of four prior therapies (range, 2 to 12)...", "author" : [ { "dropping-particle" : "", "family" : "Gopal", "given" : "Ajay K.", "non-dropping-particle" : "", "parse-names" : false, "suffix" : "" }, { "dropping-particle" : "", "family" : "Kahl", "given" : "Brad S.", "non-dropping-particle" : "", "parse-names" : false, "suffix" : "" }, { "dropping-particle" : "", "family" : "Vos", "given" : "Sven", "non-dropping-particle" : "de", "parse-names" : false, "suffix" : "" }, { "dropping-particle" : "", "family" : "Wagner-Johnston", "given" : "Nina D.", "non-dropping-particle" : "", "parse-names" : false, "suffix" : "" }, { "dropping-particle" : "", "family" : "Schuster", "given" : "Stephen J.", "non-dropping-particle" : "", "parse-names" : false, "suffix" : "" }, { "dropping-particle" : "", "family" : "Jurczak", "given" : "Wojciech J.", "non-dropping-particle" : "", "parse-names" : false, "suffix" : "" }, { "dropping-particle" : "", "family" : "Flinn", "given" : "Ian W.", "non-dropping-particle" : "", "parse-names" : false, "suffix" : "" }, { "dropping-particle" : "", "family" : "Flowers", "given" : "Christopher R.", "non-dropping-particle" : "", "parse-names" : false, "suffix" : "" }, { "dropping-particle" : "", "family" : "Martin", "given" : "Peter", "non-dropping-particle" : "", "parse-names" : false, "suffix" : "" }, { "dropping-particle" : "", "family" : "Viardot", "given" : "Andreas", "non-dropping-particle" : "", "parse-names" : false, "suffix" : "" }, { "dropping-particle" : "", "family" : "Blum", "given" : "Kristie A.", "non-dropping-particle" : "", "parse-names" : false, "suffix" : "" }, { "dropping-particle" : "", "family" : "Goy", "given" : "Andre H.", "non-dropping-particle" : "", "parse-names" : false, "suffix" : "" }, { "dropping-particle" : "", "family" : "Davies", "given" : "Andrew J.", "non-dropping-particle" : "", "parse-names" : false, "suffix" : "" }, { "dropping-particle" : "", "family" : "Zinzani", "given" : "Pier Luigi", "non-dropping-particle" : "", "parse-names" : false, "suffix" : "" }, { "dropping-particle" : "", "family" : "Dreyling", "given" : "Martin", "non-dropping-particle" : "", "parse-names" : false, "suffix" : "" }, { "dropping-particle" : "", "family" : "Johnson", "given" : "Dave", "non-dropping-particle" : "", "parse-names" : false, "suffix" : "" }, { "dropping-particle" : "", "family" : "Miller", "given" : "Langdon L.", "non-dropping-particle" : "", "parse-names" : false, "suffix" : "" }, { "dropping-particle" : "", "family" : "Holes", "given" : "Leanne", "non-dropping-particle" : "", "parse-names" : false, "suffix" : "" }, { "dropping-particle" : "", "family" : "Li", "given" : "Daniel", "non-dropping-particle" : "", "parse-names" : false, "suffix" : "" }, { "dropping-particle" : "", "family" : "Dansey", "given" : "Roger D.", "non-dropping-particle" : "", "parse-names" : false, "suffix" : "" }, { "dropping-particle" : "", "family" : "Godfrey", "given" : "Wayne R.", "non-dropping-particle" : "", "parse-names" : false, "suffix" : "" }, { "dropping-particle" : "", "family" : "Salles", "given" : "Gilles A.", "non-dropping-particle" : "", "parse-names" : false, "suffix" : "" } ], "container-title" : "New England Journal of Medicine", "id" : "ITEM-1", "issue" : "11", "issued" : { "date-parts" : [ [ "2014" ] ] }, "page" : "1008-1018", "title" : "PI3K\u03b4 Inhibition by Idelalisib in Patients with Relapsed Indolent Lymphoma", "type" : "article-journal", "volume" : "370" }, "uris" : [ "http://www.mendeley.com/documents/?uuid=9265e9a9-b6d8-4ca3-8abe-233f87c9a1cd", "http://www.mendeley.com/documents/?uuid=04ec7b5c-b723-4ecd-8671-efbd655cb659" ] } ], "mendeley" : { "formattedCitation" : "(40)", "plainTextFormattedCitation" : "(40)", "previouslyFormattedCitation" : "(40)"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(40)</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xml:space="preserve">. A retrospective post hoc analysis of the main study was conducted to examine whether </w:t>
      </w:r>
      <w:proofErr w:type="spellStart"/>
      <w:r w:rsidRPr="0025576A">
        <w:rPr>
          <w:rFonts w:ascii="Arial" w:hAnsi="Arial" w:cs="Arial"/>
          <w:bCs/>
          <w:color w:val="222222"/>
          <w:shd w:val="clear" w:color="auto" w:fill="FFFFFF"/>
          <w:lang w:val="en-US"/>
        </w:rPr>
        <w:t>idelalisib</w:t>
      </w:r>
      <w:proofErr w:type="spellEnd"/>
      <w:r w:rsidRPr="0025576A">
        <w:rPr>
          <w:rFonts w:ascii="Arial" w:hAnsi="Arial" w:cs="Arial"/>
          <w:bCs/>
          <w:color w:val="222222"/>
          <w:shd w:val="clear" w:color="auto" w:fill="FFFFFF"/>
          <w:lang w:val="en-US"/>
        </w:rPr>
        <w:t xml:space="preserve"> improved clinical outcomes in patients with FL experiencing early progressive disease (PD) after initial chemoimmunotherapy. Of the 72 patients with FL, 46 received </w:t>
      </w:r>
      <w:proofErr w:type="gramStart"/>
      <w:r w:rsidRPr="0025576A">
        <w:rPr>
          <w:rFonts w:ascii="Arial" w:hAnsi="Arial" w:cs="Arial"/>
          <w:bCs/>
          <w:color w:val="222222"/>
          <w:shd w:val="clear" w:color="auto" w:fill="FFFFFF"/>
          <w:lang w:val="en-US"/>
        </w:rPr>
        <w:t>first-line</w:t>
      </w:r>
      <w:proofErr w:type="gramEnd"/>
      <w:r w:rsidRPr="0025576A">
        <w:rPr>
          <w:rFonts w:ascii="Arial" w:hAnsi="Arial" w:cs="Arial"/>
          <w:bCs/>
          <w:color w:val="222222"/>
          <w:shd w:val="clear" w:color="auto" w:fill="FFFFFF"/>
          <w:lang w:val="en-US"/>
        </w:rPr>
        <w:t xml:space="preserve"> chemoimmunotherapy and 37 had early PD within ≤24 months from</w:t>
      </w:r>
      <w:r w:rsidR="00753DF5">
        <w:rPr>
          <w:rFonts w:ascii="Arial" w:hAnsi="Arial" w:cs="Arial"/>
          <w:bCs/>
          <w:color w:val="222222"/>
          <w:shd w:val="clear" w:color="auto" w:fill="FFFFFF"/>
          <w:lang w:val="en-US"/>
        </w:rPr>
        <w:t xml:space="preserve"> the </w:t>
      </w:r>
      <w:r w:rsidR="00753DF5">
        <w:rPr>
          <w:rFonts w:ascii="Arial" w:hAnsi="Arial" w:cs="Arial"/>
          <w:bCs/>
          <w:color w:val="222222"/>
          <w:shd w:val="clear" w:color="auto" w:fill="FFFFFF"/>
          <w:lang w:val="en-US"/>
        </w:rPr>
        <w:lastRenderedPageBreak/>
        <w:t>start of treatment. The ORR</w:t>
      </w:r>
      <w:r w:rsidRPr="0025576A">
        <w:rPr>
          <w:rFonts w:ascii="Arial" w:hAnsi="Arial" w:cs="Arial"/>
          <w:bCs/>
          <w:color w:val="222222"/>
          <w:shd w:val="clear" w:color="auto" w:fill="FFFFFF"/>
          <w:lang w:val="en-US"/>
        </w:rPr>
        <w:t xml:space="preserve"> was 21 out of 37 (57%), with 5 complete responses (14%) and 16 parti</w:t>
      </w:r>
      <w:r>
        <w:rPr>
          <w:rFonts w:ascii="Arial" w:hAnsi="Arial" w:cs="Arial"/>
          <w:bCs/>
          <w:color w:val="222222"/>
          <w:shd w:val="clear" w:color="auto" w:fill="FFFFFF"/>
          <w:lang w:val="en-US"/>
        </w:rPr>
        <w:t>al responses (43%). The median d</w:t>
      </w:r>
      <w:r w:rsidRPr="0025576A">
        <w:rPr>
          <w:rFonts w:ascii="Arial" w:hAnsi="Arial" w:cs="Arial"/>
          <w:bCs/>
          <w:color w:val="222222"/>
          <w:shd w:val="clear" w:color="auto" w:fill="FFFFFF"/>
          <w:lang w:val="en-US"/>
        </w:rPr>
        <w:t>uration of response for all 37 patients with POD24 was 11.8 months</w:t>
      </w:r>
      <w:r>
        <w:rPr>
          <w:rFonts w:ascii="Arial" w:hAnsi="Arial" w:cs="Arial"/>
          <w:bCs/>
          <w:color w:val="222222"/>
          <w:shd w:val="clear" w:color="auto" w:fill="FFFFFF"/>
          <w:lang w:val="en-US"/>
        </w:rPr>
        <w:t xml:space="preserve"> </w:t>
      </w:r>
      <w:r>
        <w:rPr>
          <w:rFonts w:ascii="Arial" w:hAnsi="Arial" w:cs="Arial"/>
          <w:bCs/>
          <w:color w:val="222222"/>
          <w:shd w:val="clear" w:color="auto" w:fill="FFFFFF"/>
          <w:lang w:val="en-US"/>
        </w:rPr>
        <w:fldChar w:fldCharType="begin" w:fldLock="1"/>
      </w:r>
      <w:r w:rsidR="0017693A">
        <w:rPr>
          <w:rFonts w:ascii="Arial" w:hAnsi="Arial" w:cs="Arial"/>
          <w:bCs/>
          <w:color w:val="222222"/>
          <w:shd w:val="clear" w:color="auto" w:fill="FFFFFF"/>
          <w:lang w:val="en-US"/>
        </w:rPr>
        <w:instrText>ADDIN CSL_CITATION { "citationItems" : [ { "id" : "ITEM-1", "itemData" : { "DOI" : "10.1182/blood-2016-12-757740", "ISSN" : "15280020", "PMID" : "28325864", "abstract" : "To the editor:\n\nFollicular lymphoma (FL) is the most common type of indolent non-Hodgkin lymphoma (NHL), accounting for \u223c22% of all patients with NHL.[1][1] Several studies identified a high-risk population of patients, comprising \u223c20% of all patients with NHL, who had FL that progressed within", "author" : [ { "dropping-particle" : "", "family" : "Gopal", "given" : "Ajay K.", "non-dropping-particle" : "", "parse-names" : false, "suffix" : "" }, { "dropping-particle" : "", "family" : "Kahl", "given" : "Brad S.", "non-dropping-particle" : "", "parse-names" : false, "suffix" : "" }, { "dropping-particle" : "", "family" : "Flowers", "given" : "Christopher R.", "non-dropping-particle" : "", "parse-names" : false, "suffix" : "" }, { "dropping-particle" : "", "family" : "Martin", "given" : "Peter", "non-dropping-particle" : "", "parse-names" : false, "suffix" : "" }, { "dropping-particle" : "", "family" : "Ansell", "given" : "Stephen M.", "non-dropping-particle" : "", "parse-names" : false, "suffix" : "" }, { "dropping-particle" : "", "family" : "Abella-Dominicis", "given" : "Esteban", "non-dropping-particle" : "", "parse-names" : false, "suffix" : "" }, { "dropping-particle" : "", "family" : "Koh", "given" : "Brian", "non-dropping-particle" : "", "parse-names" : false, "suffix" : "" }, { "dropping-particle" : "", "family" : "Ye", "given" : "Wei", "non-dropping-particle" : "", "parse-names" : false, "suffix" : "" }, { "dropping-particle" : "", "family" : "Barr", "given" : "Paul M.", "non-dropping-particle" : "", "parse-names" : false, "suffix" : "" }, { "dropping-particle" : "", "family" : "Salles", "given" : "Gilles A.", "non-dropping-particle" : "", "parse-names" : false, "suffix" : "" }, { "dropping-particle" : "", "family" : "Friedberg", "given" : "Jonathan W.", "non-dropping-particle" : "", "parse-names" : false, "suffix" : "" } ], "container-title" : "Blood", "id" : "ITEM-1", "issue" : "22", "issued" : { "date-parts" : [ [ "2017" ] ] }, "page" : "3037-3039", "title" : "Idelalisib is effective in patients with high-risk follicular lymphoma and early relapse after initial chemoimmunotherapy", "type" : "article", "volume" : "129" }, "uris" : [ "http://www.mendeley.com/documents/?uuid=c78bc18e-b450-4f6c-8ba4-5b229c3614c6" ] } ], "mendeley" : { "formattedCitation" : "(41)", "plainTextFormattedCitation" : "(41)", "previouslyFormattedCitation" : "(41)" }, "properties" : { "noteIndex" : 0 }, "schema" : "https://github.com/citation-style-language/schema/raw/master/csl-citation.json" }</w:instrText>
      </w:r>
      <w:r>
        <w:rPr>
          <w:rFonts w:ascii="Arial" w:hAnsi="Arial" w:cs="Arial"/>
          <w:bCs/>
          <w:color w:val="222222"/>
          <w:shd w:val="clear" w:color="auto" w:fill="FFFFFF"/>
          <w:lang w:val="en-US"/>
        </w:rPr>
        <w:fldChar w:fldCharType="separate"/>
      </w:r>
      <w:r w:rsidR="00C555D8" w:rsidRPr="00C555D8">
        <w:rPr>
          <w:rFonts w:ascii="Arial" w:hAnsi="Arial" w:cs="Arial"/>
          <w:bCs/>
          <w:noProof/>
          <w:color w:val="222222"/>
          <w:shd w:val="clear" w:color="auto" w:fill="FFFFFF"/>
          <w:lang w:val="en-US"/>
        </w:rPr>
        <w:t>(41)</w:t>
      </w:r>
      <w:r>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xml:space="preserve">. Interestingly the efficacy and the safety results were not different between this subset analysis and the main study results suggesting that </w:t>
      </w:r>
      <w:proofErr w:type="spellStart"/>
      <w:r w:rsidRPr="0025576A">
        <w:rPr>
          <w:rFonts w:ascii="Arial" w:hAnsi="Arial" w:cs="Arial"/>
          <w:bCs/>
          <w:color w:val="222222"/>
          <w:shd w:val="clear" w:color="auto" w:fill="FFFFFF"/>
          <w:lang w:val="en-US"/>
        </w:rPr>
        <w:t>idelalisb</w:t>
      </w:r>
      <w:proofErr w:type="spellEnd"/>
      <w:r w:rsidRPr="0025576A">
        <w:rPr>
          <w:rFonts w:ascii="Arial" w:hAnsi="Arial" w:cs="Arial"/>
          <w:bCs/>
          <w:color w:val="222222"/>
          <w:shd w:val="clear" w:color="auto" w:fill="FFFFFF"/>
          <w:lang w:val="en-US"/>
        </w:rPr>
        <w:t xml:space="preserve"> can be considered as a good option for the treatment of early relapsed patients who are not eligible to ASCT or in some cases as a bridge to ASCT.</w:t>
      </w: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 xml:space="preserve">Promising new drugs have recently started their clinical development and among them the EZH2 inhibitor </w:t>
      </w:r>
      <w:proofErr w:type="spellStart"/>
      <w:r w:rsidRPr="0025576A">
        <w:rPr>
          <w:rFonts w:ascii="Arial" w:hAnsi="Arial" w:cs="Arial"/>
          <w:bCs/>
          <w:color w:val="222222"/>
          <w:shd w:val="clear" w:color="auto" w:fill="FFFFFF"/>
          <w:lang w:val="en-US"/>
        </w:rPr>
        <w:t>tazemetostat</w:t>
      </w:r>
      <w:proofErr w:type="spellEnd"/>
      <w:r w:rsidR="0017693A">
        <w:rPr>
          <w:rFonts w:ascii="Arial" w:hAnsi="Arial" w:cs="Arial"/>
          <w:bCs/>
          <w:color w:val="222222"/>
          <w:shd w:val="clear" w:color="auto" w:fill="FFFFFF"/>
          <w:lang w:val="en-US"/>
        </w:rPr>
        <w:fldChar w:fldCharType="begin" w:fldLock="1"/>
      </w:r>
      <w:r w:rsidR="0017693A">
        <w:rPr>
          <w:rFonts w:ascii="Arial" w:hAnsi="Arial" w:cs="Arial"/>
          <w:bCs/>
          <w:color w:val="222222"/>
          <w:shd w:val="clear" w:color="auto" w:fill="FFFFFF"/>
          <w:lang w:val="en-US"/>
        </w:rPr>
        <w:instrText>ADDIN CSL_CITATION { "citationItems" : [ { "id" : "ITEM-1", "itemData" : { "abstract" : "Background: New treatments with novel mechanisms of action are needed for patients with relapsed/refractory (R/R) DLBCL and FL. Because tumor cells may depend on the histone methyltransferase EZH2 to perpetuate a less\u2010differentiated state, and activating muta- tions may be oncogenic drivers, tazemetostat, a potent, selective EZH2 inhibitor was developed. Tazemetostat shows antitumor activity in preclinical models and in a phase 1 study in patients (pts) with mutated or wild\u2010type (wt) EZH2 tumours. This open\u2010label, multicentre phase 2 study enrolled pts with either mutated or wt EZH2 R/R DLBCL or FL to determine efficacy and safety in 6 separate cohorts. Methods: Tazemetostat 800 mg is administered po BID. Tumour tissue is analysed prospectively to guide cohort assignment based on EZH2 hot spot activating mutations (Y646X, A682G, A692V) using a cobas\u00ae EZH2 Mutation Test (Roche Molecular Systems, in development). A 62\u2010gene panel is used to assess tissue DNA and circulating tumourDNA (ctDNA) for biomarkers of tazemetostat sensitivity. Key inclusion criteria include: \u226518 yrs old; \u22652 prior treatment regimens; measurable disease; and adequate organ function. The primary endpoint is overall response rate (ORR). Secondary endpoints include progression\u2010free survival and safety/tolerability. Enrolment for monotherapy has been completed in 3 cohorts with wt EZH2 and is ongoing in 2 cohorts of mutant EZH2. Enrolment for a tazemetostat combination with prednis- olone in wt EZH2 DLBCL was recently initiated. Results: As of Feb. 28, 2017, interim safety data are summarized from 165 DLBCL or FL pts with documented tazemetostat dosing. Grade- 3 treatment\u2010emergent adverse events related to tazemetostat were reported in 18% of pts. The most common (&gt;10%) adverse events across all grades were: nausea; thrombocytopenia; cough; diarrhoea; fatigue; and asthenia. Interim efficacy results are summarized from 149 pts (median: 3 prior therapies) and exclude ongoing pts who lack an on\u2010study tumor assessment. The ORR (CR + PR) was 40% in pts with DLBCL with EZH2 mutations (N = 10), 18% in pts with DLBCL with wt EZH2 (N = 85), 63% in FL pts with EZH2 mutations (N = 8), and 28% in FL pts with wt EZH2 (N = 46). In the cohorts of EZH2 mutant FL and EZH2 wt FL, 38% and 30% of pts, respectively, remained on study with stable disease. Safety and efficacy data will be further updated at the conference. The genetic analysis of tumor biomarkers will be reported separately. Conclusion: This p\u2026", "author" : [ { "dropping-particle" : "", "family" : "Morschhauser", "given" : "Frank", "non-dropping-particle" : "", "parse-names" : false, "suffix" : "" }, { "dropping-particle" : "", "family" : "Salles", "given" : "Gilles", "non-dropping-particle" : "", "parse-names" : false, "suffix" : "" }, { "dropping-particle" : "", "family" : "McKay", "given" : "P", "non-dropping-particle" : "", "parse-names" : false, "suffix" : "" }, { "dropping-particle" : "", "family" : "Tilly", "given" : "H", "non-dropping-particle" : "", "parse-names" : false, "suffix" : "" }, { "dropping-particle" : "", "family" : "SChmitt", "given" : "A", "non-dropping-particle" : "", "parse-names" : false, "suffix" : "" }, { "dropping-particle" : "", "family" : "Gerecitano", "given" : "John", "non-dropping-particle" : "", "parse-names" : false, "suffix" : "" }, { "dropping-particle" : "", "family" : "Johson", "given" : "P", "non-dropping-particle" : "", "parse-names" : false, "suffix" : "" }, { "dropping-particle" : "", "family" : "Gouill", "given" : "S", "non-dropping-particle" : "Le", "parse-names" : false, "suffix" : "" }, { "dropping-particle" : "", "family" : "Dickinson", "given" : "M", "non-dropping-particle" : "", "parse-names" : false, "suffix" : "" }, { "dropping-particle" : "", "family" : "Fruchart", "given" : "C", "non-dropping-particle" : "", "parse-names" : false, "suffix" : "" }, { "dropping-particle" : "", "family" : "Lamy", "given" : "T", "non-dropping-particle" : "", "parse-names" : false, "suffix" : "" }, { "dropping-particle" : "", "family" : "Chaidos", "given" : "A", "non-dropping-particle" : "", "parse-names" : false, "suffix" : "" }, { "dropping-particle" : "", "family" : "Jurcak", "given" : "W", "non-dropping-particle" : "", "parse-names" : false, "suffix" : "" }, { "dropping-particle" : "", "family" : "Opat", "given" : "S", "non-dropping-particle" : "", "parse-names" : false, "suffix" : "" }, { "dropping-particle" : "", "family" : "A", "given" : "Clawsonm", "non-dropping-particle" : "", "parse-names" : false, "suffix" : "" }, { "dropping-particle" : "", "family" : "Picazio", "given" : "N", "non-dropping-particle" : "", "parse-names" : false, "suffix" : "" }, { "dropping-particle" : "", "family" : "Ribich", "given" : "S", "non-dropping-particle" : "", "parse-names" : false, "suffix" : "" }, { "dropping-particle" : "", "family" : "Blakemore", "given" : "S", "non-dropping-particle" : "", "parse-names" : false, "suffix" : "" }, { "dropping-particle" : "", "family" : "Larus", "given" : "J", "non-dropping-particle" : "", "parse-names" : false, "suffix" : "" }, { "dropping-particle" : "", "family" : "Miao", "given" : "H", "non-dropping-particle" : "", "parse-names" : false, "suffix" : "" }, { "dropping-particle" : "", "family" : "Ho", "given" : "PT", "non-dropping-particle" : "", "parse-names" : false, "suffix" : "" }, { "dropping-particle" : "", "family" : "Ribrag", "given" : "V.", "non-dropping-particle" : "", "parse-names" : false, "suffix" : "" } ], "container-title" : "International conference on malignant lymphoma", "id" : "ITEM-1", "issued" : { "date-parts" : [ [ "2017" ] ] }, "title" : "INTERIM REPORT FROM A PHASE 2 MULTICENTER STUDY OF TAZEMETOSTAT, AN EZH2 INHIBITOR, IN PATIENTS WITH RELAPSED OR REFRACTORY B\u2010CELL NON\u2010HODGKIN LYMPHOMAS", "type" : "article-journal" }, "uris" : [ "http://www.mendeley.com/documents/?uuid=fe633c2d-4106-45d5-95a9-2fd50ef7dfb6" ] } ], "mendeley" : { "formattedCitation" : "(42)", "plainTextFormattedCitation" : "(42)", "previouslyFormattedCitation" : "(42)" }, "properties" : { "noteIndex" : 0 }, "schema" : "https://github.com/citation-style-language/schema/raw/master/csl-citation.json" }</w:instrText>
      </w:r>
      <w:r w:rsidR="0017693A">
        <w:rPr>
          <w:rFonts w:ascii="Arial" w:hAnsi="Arial" w:cs="Arial"/>
          <w:bCs/>
          <w:color w:val="222222"/>
          <w:shd w:val="clear" w:color="auto" w:fill="FFFFFF"/>
          <w:lang w:val="en-US"/>
        </w:rPr>
        <w:fldChar w:fldCharType="separate"/>
      </w:r>
      <w:r w:rsidR="0017693A" w:rsidRPr="0017693A">
        <w:rPr>
          <w:rFonts w:ascii="Arial" w:hAnsi="Arial" w:cs="Arial"/>
          <w:bCs/>
          <w:noProof/>
          <w:color w:val="222222"/>
          <w:shd w:val="clear" w:color="auto" w:fill="FFFFFF"/>
          <w:lang w:val="en-US"/>
        </w:rPr>
        <w:t>(42)</w:t>
      </w:r>
      <w:r w:rsidR="0017693A">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 and checkpoint inhib</w:t>
      </w:r>
      <w:r>
        <w:rPr>
          <w:rFonts w:ascii="Arial" w:hAnsi="Arial" w:cs="Arial"/>
          <w:bCs/>
          <w:color w:val="222222"/>
          <w:shd w:val="clear" w:color="auto" w:fill="FFFFFF"/>
          <w:lang w:val="en-US"/>
        </w:rPr>
        <w:t>i</w:t>
      </w:r>
      <w:r w:rsidRPr="0025576A">
        <w:rPr>
          <w:rFonts w:ascii="Arial" w:hAnsi="Arial" w:cs="Arial"/>
          <w:bCs/>
          <w:color w:val="222222"/>
          <w:shd w:val="clear" w:color="auto" w:fill="FFFFFF"/>
          <w:lang w:val="en-US"/>
        </w:rPr>
        <w:t>tors have the best chances to move ahead in thei</w:t>
      </w:r>
      <w:r>
        <w:rPr>
          <w:rFonts w:ascii="Arial" w:hAnsi="Arial" w:cs="Arial"/>
          <w:bCs/>
          <w:color w:val="222222"/>
          <w:shd w:val="clear" w:color="auto" w:fill="FFFFFF"/>
          <w:lang w:val="en-US"/>
        </w:rPr>
        <w:t>r</w:t>
      </w:r>
      <w:r w:rsidRPr="0025576A">
        <w:rPr>
          <w:rFonts w:ascii="Arial" w:hAnsi="Arial" w:cs="Arial"/>
          <w:bCs/>
          <w:color w:val="222222"/>
          <w:shd w:val="clear" w:color="auto" w:fill="FFFFFF"/>
          <w:lang w:val="en-US"/>
        </w:rPr>
        <w:t xml:space="preserve"> development</w:t>
      </w:r>
      <w:r w:rsidR="0017693A">
        <w:rPr>
          <w:rFonts w:ascii="Arial" w:hAnsi="Arial" w:cs="Arial"/>
          <w:bCs/>
          <w:color w:val="222222"/>
          <w:shd w:val="clear" w:color="auto" w:fill="FFFFFF"/>
          <w:lang w:val="en-US"/>
        </w:rPr>
        <w:fldChar w:fldCharType="begin" w:fldLock="1"/>
      </w:r>
      <w:r w:rsidR="0017693A">
        <w:rPr>
          <w:rFonts w:ascii="Arial" w:hAnsi="Arial" w:cs="Arial"/>
          <w:bCs/>
          <w:color w:val="222222"/>
          <w:shd w:val="clear" w:color="auto" w:fill="FFFFFF"/>
          <w:lang w:val="en-US"/>
        </w:rPr>
        <w:instrText>ADDIN CSL_CITATION { "citationItems" : [ { "id" : "ITEM-1", "itemData" : { "DOI" : "10.1200/JCO.2017.35.15_suppl.7519", "abstract" : " 7519Background: Follicular lymphoma (FL) tumors are infiltrated with antitumor T cells, however, their function is impaired by immune checkpoints such as PD-1/PD-ligand pathway. Blocking PD-1 enhances the function of antitumor T cells in FL. In addition, blocking PD-1 on NK cells has been shown to enhance the ADCC effect of NK cells. We reasoned that the combination of pembrolizumab (P), an anti-PD-1 antibody (ab), and rituximab (R), an anti-CD20 ab that induces ADCC, is likely to be synergistic through activation of both the innate and adaptive immune systems and result in enhanced clinical activity in FL. Methods: We evaluated P and R in an open-label, non-randomized, single institution, phase II trial (N=30). Key inclusion criteria included adult (age \u2265 18 years), FL grade 1-3a, ECOG 0-1, in relapse after \u22651 prior therapy (tx) and R sensitive disease, defined as a complete (CR) or partial response lasting at least 6 months (mos) after most recent R-containing therapy. Pts received R (375 mg/m2 IV) on days 1, 8, 15, and 22 of cycle 1 and P (200mg IV) q 3 weeks for up to 16 cycles starting on day 2 of cycle 1. Primary endpoint was overall response rate (ORR). Results: 27 pts have initiated therapy, median age 65 (range 42-79), 52% male, 76% had intermediate or high risk FLIPI, 56% met GELF criteria. Median prior tx =1 (range 1-4). Adverse events (AE) regardless of causality were mild, most grade 1-2. Grade 3 AE\u2019s included nausea (N=2), infusion reaction (N=2), aseptic meningitis (N=1), pneumonia (N=1). Immune-related AEs included grade 2 diarrhea (N=2), grade 2 pneumonitis (N=1), grade 2 skin rash (N=1). At the pre-planned interim analysis (N=15), ORR was 80%, CR rate was 60%. With a median follow up of 7 mos (range 0.5-17), median DOR, PFS, and OS has not been reached. PD-L1 expression was tested in 8 baseline tumor samples using PD-L1 22C3 IHC pharmDx and was detected in histiocytes in all 8 tumors, present in only 1-8% of tumor cells in 5 tumors. Additional biomarker analyses are ongoing. Conclusions: The combination of P and R is well tolerated in relapsed FL and is associated with high overall and CR rate. These interim results warrant further investigation of this combination in FL. Clinical trial information: NCT02446457. ", "author" : [ { "dropping-particle" : "", "family" : "Nastoupil", "given" : "Loretta J", "non-dropping-particle" : "", "parse-names" : false, "suffix" : "" }, { "dropping-particle" : "", "family" : "Westin", "given" : "Jason R", "non-dropping-particle" : "", "parse-names" : false, "suffix" : "" }, { "dropping-particle" : "", "family" : "Fowler", "given" : "Nathan Hale", "non-dropping-particle" : "", "parse-names" : false, "suffix" : "" }, { "dropping-particle" : "", "family" : "Fanale", "given" : "Michelle A", "non-dropping-particle" : "", "parse-names" : false, "suffix" : "" }, { "dropping-particle" : "", "family" : "Samaniego", "given" : "Felipe", "non-dropping-particle" : "", "parse-names" : false, "suffix" : "" }, { "dropping-particle" : "", "family" : "Oki", "given" : "Yasuhiro", "non-dropping-particle" : "", "parse-names" : false, "suffix" : "" }, { "dropping-particle" : "", "family" : "Obi", "given" : "Chizobam", "non-dropping-particle" : "", "parse-names" : false, "suffix" : "" }, { "dropping-particle" : "", "family" : "Cao", "given" : "JingJing", "non-dropping-particle" : "", "parse-names" : false, "suffix" : "" }, { "dropping-particle" : "", "family" : "Cheng", "given" : "Xiaoyun", "non-dropping-particle" : "", "parse-names" : false, "suffix" : "" }, { "dropping-particle" : "", "family" : "Ma", "given" : "Man Chun John", "non-dropping-particle" : "", "parse-names" : false, "suffix" : "" }, { "dropping-particle" : "", "family" : "Wang", "given" : "Zhiqiang", "non-dropping-particle" : "", "parse-names" : false, "suffix" : "" }, { "dropping-particle" : "", "family" : "Chu", "given" : "Fuliang", "non-dropping-particle" : "", "parse-names" : false, "suffix" : "" }, { "dropping-particle" : "", "family" : "Feng", "given" : "Lei", "non-dropping-particle" : "", "parse-names" : false, "suffix" : "" }, { "dropping-particle" : "", "family" : "Zhou", "given" : "Shouhao", "non-dropping-particle" : "", "parse-names" : false, "suffix" : "" }, { "dropping-particle" : "", "family" : "Davis", "given" : "Richard Eric", "non-dropping-particle" : "", "parse-names" : false, "suffix" : "" }, { "dropping-particle" : "", "family" : "Neelapu", "given" : "Sattva Swarup", "non-dropping-particle" : "", "parse-names" : false, "suffix" : "" } ], "container-title" : "Journal of Clinical Oncology", "id" : "ITEM-1", "issue" : "15_suppl", "issued" : { "date-parts" : [ [ "2017" ] ] }, "page" : "7519", "title" : "Response rates with pembrolizumab in combination with rituximab in patients with relapsed follicular lymphoma: Interim results of an on open-label, phase II study.", "type" : "article-journal", "volume" : "35" }, "uris" : [ "http://www.mendeley.com/documents/?uuid=1b0ccabc-e5b9-4d71-a0e1-d7bd08dedebe" ] } ], "mendeley" : { "formattedCitation" : "(43)", "plainTextFormattedCitation" : "(43)" }, "properties" : { "noteIndex" : 0 }, "schema" : "https://github.com/citation-style-language/schema/raw/master/csl-citation.json" }</w:instrText>
      </w:r>
      <w:r w:rsidR="0017693A">
        <w:rPr>
          <w:rFonts w:ascii="Arial" w:hAnsi="Arial" w:cs="Arial"/>
          <w:bCs/>
          <w:color w:val="222222"/>
          <w:shd w:val="clear" w:color="auto" w:fill="FFFFFF"/>
          <w:lang w:val="en-US"/>
        </w:rPr>
        <w:fldChar w:fldCharType="separate"/>
      </w:r>
      <w:r w:rsidR="0017693A" w:rsidRPr="0017693A">
        <w:rPr>
          <w:rFonts w:ascii="Arial" w:hAnsi="Arial" w:cs="Arial"/>
          <w:bCs/>
          <w:noProof/>
          <w:color w:val="222222"/>
          <w:shd w:val="clear" w:color="auto" w:fill="FFFFFF"/>
          <w:lang w:val="en-US"/>
        </w:rPr>
        <w:t>(43)</w:t>
      </w:r>
      <w:r w:rsidR="0017693A">
        <w:rPr>
          <w:rFonts w:ascii="Arial" w:hAnsi="Arial" w:cs="Arial"/>
          <w:bCs/>
          <w:color w:val="222222"/>
          <w:shd w:val="clear" w:color="auto" w:fill="FFFFFF"/>
          <w:lang w:val="en-US"/>
        </w:rPr>
        <w:fldChar w:fldCharType="end"/>
      </w:r>
      <w:r w:rsidRPr="0025576A">
        <w:rPr>
          <w:rFonts w:ascii="Arial" w:hAnsi="Arial" w:cs="Arial"/>
          <w:bCs/>
          <w:color w:val="222222"/>
          <w:shd w:val="clear" w:color="auto" w:fill="FFFFFF"/>
          <w:lang w:val="en-US"/>
        </w:rPr>
        <w:t>.</w:t>
      </w: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p>
    <w:p w:rsidR="00295834" w:rsidRPr="0025576A" w:rsidRDefault="00295834" w:rsidP="0025576A">
      <w:pPr>
        <w:pStyle w:val="NormalWeb"/>
        <w:spacing w:before="0" w:beforeAutospacing="0" w:after="0" w:afterAutospacing="0" w:line="360" w:lineRule="auto"/>
        <w:textAlignment w:val="baseline"/>
        <w:rPr>
          <w:rFonts w:ascii="Arial" w:hAnsi="Arial" w:cs="Arial"/>
          <w:b/>
          <w:bCs/>
          <w:color w:val="222222"/>
          <w:shd w:val="clear" w:color="auto" w:fill="FFFFFF"/>
          <w:lang w:val="en-US"/>
        </w:rPr>
      </w:pPr>
      <w:r w:rsidRPr="0025576A">
        <w:rPr>
          <w:rFonts w:ascii="Arial" w:hAnsi="Arial" w:cs="Arial"/>
          <w:b/>
          <w:bCs/>
          <w:color w:val="222222"/>
          <w:shd w:val="clear" w:color="auto" w:fill="FFFFFF"/>
          <w:lang w:val="en-US"/>
        </w:rPr>
        <w:t>Conclusions</w:t>
      </w:r>
    </w:p>
    <w:p w:rsidR="00295834" w:rsidRPr="0025576A" w:rsidRDefault="00295834" w:rsidP="0025576A">
      <w:pPr>
        <w:pStyle w:val="NormalWeb"/>
        <w:spacing w:before="0" w:beforeAutospacing="0" w:after="0" w:afterAutospacing="0" w:line="360" w:lineRule="auto"/>
        <w:textAlignment w:val="baseline"/>
        <w:rPr>
          <w:rFonts w:ascii="Arial" w:hAnsi="Arial" w:cs="Arial"/>
          <w:bCs/>
          <w:color w:val="222222"/>
          <w:shd w:val="clear" w:color="auto" w:fill="FFFFFF"/>
          <w:lang w:val="en-US"/>
        </w:rPr>
      </w:pPr>
      <w:r w:rsidRPr="0025576A">
        <w:rPr>
          <w:rFonts w:ascii="Arial" w:hAnsi="Arial" w:cs="Arial"/>
          <w:bCs/>
          <w:color w:val="222222"/>
          <w:shd w:val="clear" w:color="auto" w:fill="FFFFFF"/>
          <w:lang w:val="en-US"/>
        </w:rPr>
        <w:t>In summary several prognostic factors are currently available to identify a subgroup of approximately 30% of patients with FL whose lymphoma shows an aggressive clinical behavior with a significant reduction in the life expectancy of the patient. Among available factors POD24 is associated with the strongest effect on outcome but there is an urgent need to identify baseline features that can be used to define the prognostic profile earlier during the course of the disease. With highly active available immunochemotherapy regimens a plateau in the curabil</w:t>
      </w:r>
      <w:r>
        <w:rPr>
          <w:rFonts w:ascii="Arial" w:hAnsi="Arial" w:cs="Arial"/>
          <w:bCs/>
          <w:color w:val="222222"/>
          <w:shd w:val="clear" w:color="auto" w:fill="FFFFFF"/>
          <w:lang w:val="en-US"/>
        </w:rPr>
        <w:t>i</w:t>
      </w:r>
      <w:r w:rsidRPr="0025576A">
        <w:rPr>
          <w:rFonts w:ascii="Arial" w:hAnsi="Arial" w:cs="Arial"/>
          <w:bCs/>
          <w:color w:val="222222"/>
          <w:shd w:val="clear" w:color="auto" w:fill="FFFFFF"/>
          <w:lang w:val="en-US"/>
        </w:rPr>
        <w:t>ty of FL has probably been achieved and a new generation of clinical trials should be started to test the efficacy of tailored treatment intensity to the individual risk of the pati</w:t>
      </w:r>
      <w:r w:rsidR="00753DF5">
        <w:rPr>
          <w:rFonts w:ascii="Arial" w:hAnsi="Arial" w:cs="Arial"/>
          <w:bCs/>
          <w:color w:val="222222"/>
          <w:shd w:val="clear" w:color="auto" w:fill="FFFFFF"/>
          <w:lang w:val="en-US"/>
        </w:rPr>
        <w:t>ent. For the time being</w:t>
      </w:r>
      <w:r w:rsidRPr="0025576A">
        <w:rPr>
          <w:rFonts w:ascii="Arial" w:hAnsi="Arial" w:cs="Arial"/>
          <w:bCs/>
          <w:color w:val="222222"/>
          <w:shd w:val="clear" w:color="auto" w:fill="FFFFFF"/>
          <w:lang w:val="en-US"/>
        </w:rPr>
        <w:t xml:space="preserve"> treatment of </w:t>
      </w:r>
      <w:proofErr w:type="gramStart"/>
      <w:r w:rsidRPr="0025576A">
        <w:rPr>
          <w:rFonts w:ascii="Arial" w:hAnsi="Arial" w:cs="Arial"/>
          <w:bCs/>
          <w:color w:val="222222"/>
          <w:shd w:val="clear" w:color="auto" w:fill="FFFFFF"/>
          <w:lang w:val="en-US"/>
        </w:rPr>
        <w:t>high risk</w:t>
      </w:r>
      <w:proofErr w:type="gramEnd"/>
      <w:r w:rsidRPr="0025576A">
        <w:rPr>
          <w:rFonts w:ascii="Arial" w:hAnsi="Arial" w:cs="Arial"/>
          <w:bCs/>
          <w:color w:val="222222"/>
          <w:shd w:val="clear" w:color="auto" w:fill="FFFFFF"/>
          <w:lang w:val="en-US"/>
        </w:rPr>
        <w:t xml:space="preserve"> FL should be based on available recommended option including the use of ASCT and of new drugs when properly indicated.</w:t>
      </w:r>
    </w:p>
    <w:p w:rsidR="00295834" w:rsidRDefault="00295834">
      <w:pPr>
        <w:rPr>
          <w:b/>
          <w:lang w:val="en-US"/>
        </w:rPr>
      </w:pPr>
    </w:p>
    <w:p w:rsidR="00295834" w:rsidRDefault="00295834">
      <w:pPr>
        <w:rPr>
          <w:b/>
          <w:lang w:val="en-US"/>
        </w:rPr>
      </w:pPr>
    </w:p>
    <w:p w:rsidR="00295834" w:rsidRDefault="00295834">
      <w:pPr>
        <w:rPr>
          <w:b/>
          <w:lang w:val="en-US"/>
        </w:rPr>
      </w:pPr>
    </w:p>
    <w:p w:rsidR="00295834" w:rsidRDefault="00295834">
      <w:pPr>
        <w:rPr>
          <w:b/>
          <w:lang w:val="en-US"/>
        </w:rPr>
      </w:pPr>
    </w:p>
    <w:p w:rsidR="00295834" w:rsidRDefault="00295834">
      <w:pPr>
        <w:rPr>
          <w:b/>
          <w:lang w:val="en-US"/>
        </w:rPr>
      </w:pPr>
      <w:r>
        <w:rPr>
          <w:b/>
          <w:lang w:val="en-US"/>
        </w:rPr>
        <w:br w:type="page"/>
      </w:r>
    </w:p>
    <w:p w:rsidR="00295834" w:rsidRPr="002973ED" w:rsidRDefault="00295834">
      <w:pPr>
        <w:rPr>
          <w:b/>
          <w:lang w:val="en-US"/>
        </w:rPr>
      </w:pPr>
      <w:r w:rsidRPr="002973ED">
        <w:rPr>
          <w:b/>
          <w:lang w:val="en-US"/>
        </w:rPr>
        <w:lastRenderedPageBreak/>
        <w:t>References</w:t>
      </w:r>
    </w:p>
    <w:p w:rsidR="0017693A" w:rsidRPr="0017693A" w:rsidRDefault="00295834" w:rsidP="0017693A">
      <w:pPr>
        <w:widowControl w:val="0"/>
        <w:autoSpaceDE w:val="0"/>
        <w:autoSpaceDN w:val="0"/>
        <w:adjustRightInd w:val="0"/>
        <w:ind w:left="640" w:hanging="640"/>
        <w:rPr>
          <w:rFonts w:ascii="Arial" w:hAnsi="Arial" w:cs="Arial"/>
          <w:noProof/>
          <w:sz w:val="20"/>
          <w:lang w:val="en-US"/>
        </w:rPr>
      </w:pPr>
      <w:r>
        <w:rPr>
          <w:rFonts w:ascii="Arial" w:hAnsi="Arial" w:cs="Arial"/>
          <w:bCs/>
          <w:color w:val="222222"/>
          <w:sz w:val="20"/>
          <w:szCs w:val="20"/>
          <w:highlight w:val="yellow"/>
          <w:shd w:val="clear" w:color="auto" w:fill="FFFFFF"/>
          <w:lang w:val="en-US"/>
        </w:rPr>
        <w:fldChar w:fldCharType="begin" w:fldLock="1"/>
      </w:r>
      <w:r>
        <w:rPr>
          <w:rFonts w:ascii="Arial" w:hAnsi="Arial" w:cs="Arial"/>
          <w:bCs/>
          <w:color w:val="222222"/>
          <w:sz w:val="20"/>
          <w:szCs w:val="20"/>
          <w:highlight w:val="yellow"/>
          <w:shd w:val="clear" w:color="auto" w:fill="FFFFFF"/>
          <w:lang w:val="en-US"/>
        </w:rPr>
        <w:instrText xml:space="preserve">ADDIN Mendeley Bibliography CSL_BIBLIOGRAPHY </w:instrText>
      </w:r>
      <w:r>
        <w:rPr>
          <w:rFonts w:ascii="Arial" w:hAnsi="Arial" w:cs="Arial"/>
          <w:bCs/>
          <w:color w:val="222222"/>
          <w:sz w:val="20"/>
          <w:szCs w:val="20"/>
          <w:highlight w:val="yellow"/>
          <w:shd w:val="clear" w:color="auto" w:fill="FFFFFF"/>
          <w:lang w:val="en-US"/>
        </w:rPr>
        <w:fldChar w:fldCharType="separate"/>
      </w:r>
      <w:r w:rsidR="0017693A" w:rsidRPr="0017693A">
        <w:rPr>
          <w:rFonts w:ascii="Arial" w:hAnsi="Arial" w:cs="Arial"/>
          <w:noProof/>
          <w:sz w:val="20"/>
          <w:lang w:val="en-US"/>
        </w:rPr>
        <w:t xml:space="preserve">1. </w:t>
      </w:r>
      <w:r w:rsidR="0017693A" w:rsidRPr="0017693A">
        <w:rPr>
          <w:rFonts w:ascii="Arial" w:hAnsi="Arial" w:cs="Arial"/>
          <w:noProof/>
          <w:sz w:val="20"/>
          <w:lang w:val="en-US"/>
        </w:rPr>
        <w:tab/>
        <w:t xml:space="preserve">Swerdlow SH, Campo E, Pileri SA, Lee Harris N, Stein H, Siebert R, et al. The 2016 revision of the World Health Organization classification of lymphoid neoplasms. Vol. 127, Blood. 2016. p. 2375–90.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2. </w:t>
      </w:r>
      <w:r w:rsidRPr="0017693A">
        <w:rPr>
          <w:rFonts w:ascii="Arial" w:hAnsi="Arial" w:cs="Arial"/>
          <w:noProof/>
          <w:sz w:val="20"/>
          <w:lang w:val="en-US"/>
        </w:rPr>
        <w:tab/>
        <w:t xml:space="preserve">Luminari S, Ferrari A, Manni M, Dondi A, Chiarenza A, Merli F, et al. Long-Term results of the FOLL05 trial comparing R-CVP Versus R-CHOP versus R-FM for the initial treatment of patients with advanced-stage symptomatic follicular lymphoma. J Clin Oncol. 2018;36(7):689–96.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3. </w:t>
      </w:r>
      <w:r w:rsidRPr="0017693A">
        <w:rPr>
          <w:rFonts w:ascii="Arial" w:hAnsi="Arial" w:cs="Arial"/>
          <w:noProof/>
          <w:sz w:val="20"/>
          <w:lang w:val="en-US"/>
        </w:rPr>
        <w:tab/>
        <w:t xml:space="preserve">Salles G, Seymour JF, Offner F, López-Guillermo A, Belada D, Xerri L, et al. Rituximab maintenance for 2 years in patients with high tumour burden follicular lymphoma responding to rituximab plus chemotherapy (PRIMA): A phase 3, randomised controlled trial. Lancet. 2011;377(9759):42–51.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4. </w:t>
      </w:r>
      <w:r w:rsidRPr="0017693A">
        <w:rPr>
          <w:rFonts w:ascii="Arial" w:hAnsi="Arial" w:cs="Arial"/>
          <w:noProof/>
          <w:sz w:val="20"/>
          <w:lang w:val="en-US"/>
        </w:rPr>
        <w:tab/>
        <w:t>Rummel MJ, Niederle N, Maschmeyer G, Banat GA, Grünhagen U Von, Losem C, et al. Bendamustine plus rituximab versus CHOP plus rituximab as fi rst-line treatment for patients with indolent and randomised , phase 3 non-inferiority trial. Lancet [Internet]. 2013;381(9873):1203–10. Available from: http://dx.doi.org/10.1016/S0140-6736(12)61763-2</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5. </w:t>
      </w:r>
      <w:r w:rsidRPr="0017693A">
        <w:rPr>
          <w:rFonts w:ascii="Arial" w:hAnsi="Arial" w:cs="Arial"/>
          <w:noProof/>
          <w:sz w:val="20"/>
          <w:lang w:val="en-US"/>
        </w:rPr>
        <w:tab/>
        <w:t xml:space="preserve">Flinn IW, Van Der Jagt R, Kahl BS, Wood P, Hawkins TE, MacDonald D, et al. Randomized trial of bendamustine-rituximab or R-CHOP/R-CVP in first-line treatment of indolent NHL or MCL: The BRIGHT study. Blood. 2014;123(19):2944–52.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6. </w:t>
      </w:r>
      <w:r w:rsidRPr="0017693A">
        <w:rPr>
          <w:rFonts w:ascii="Arial" w:hAnsi="Arial" w:cs="Arial"/>
          <w:noProof/>
          <w:sz w:val="20"/>
          <w:lang w:val="en-US"/>
        </w:rPr>
        <w:tab/>
        <w:t>Marcus R, Davies A, Ando K, Klapper W, Opat S, Owen C, et al. Obinutuzumab for the First-Line Treatment of Follicular Lymphoma. N Engl J Med [Internet]. 2017;377(14):1331–44. Available from: http://www.nejm.org/doi/10.1056/NEJMoa1614598</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7. </w:t>
      </w:r>
      <w:r w:rsidRPr="0017693A">
        <w:rPr>
          <w:rFonts w:ascii="Arial" w:hAnsi="Arial" w:cs="Arial"/>
          <w:noProof/>
          <w:sz w:val="20"/>
          <w:lang w:val="en-US"/>
        </w:rPr>
        <w:tab/>
        <w:t xml:space="preserve">Casulo C, Byrtek M, Dawson KL, Zhou X, Farber CM, Flowers CR, et al. Early relapse of follicular lymphoma after rituximab plus cyclophosphamide, doxorubicin, vincristine, and prednisone defines patients at high risk for death: An analysis from the National LymphoCare Study. J Clin Oncol. 2015;33(23):2516–22.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8. </w:t>
      </w:r>
      <w:r w:rsidRPr="0017693A">
        <w:rPr>
          <w:rFonts w:ascii="Arial" w:hAnsi="Arial" w:cs="Arial"/>
          <w:noProof/>
          <w:sz w:val="20"/>
          <w:lang w:val="en-US"/>
        </w:rPr>
        <w:tab/>
        <w:t>Casulo C, Le-Rademacher J, Dixon J, Salles G, Hoster E, Herold M, et al. Validation of POD24 As a Robust Early Clinical Endpoint of Poor Survival in Follicular Lymphoma: Results from the Follicular Lymphoma Analysis of Surrogacy Hypothesis (FLASH) Investigation Using Individual Data from 5,453 Patients on 13 Clinical Trials. Blood [Internet]. 2017 Dec 7;130(Suppl 1):412 LP-412. Available from: http://www.bloodjournal.org/content/130/Suppl_1/412.abstract</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9. </w:t>
      </w:r>
      <w:r w:rsidRPr="0017693A">
        <w:rPr>
          <w:rFonts w:ascii="Arial" w:hAnsi="Arial" w:cs="Arial"/>
          <w:noProof/>
          <w:sz w:val="20"/>
          <w:lang w:val="en-US"/>
        </w:rPr>
        <w:tab/>
        <w:t>Launonen A, Hiddemann W, Duenzinger U, Fingerle-Rowson G, Nielsen T, Marcus R. Early Disease Progression Predicts Poorer Survival in Patients with Follicular Lymphoma (FL) in the GALLIUM Study. Blood [Internet]. 2017 Dec 7;130(Suppl 1):1490 LP-1490. Available from: http://www.bloodjournal.org/content/130/Suppl_1/1490.abstract</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10. </w:t>
      </w:r>
      <w:r w:rsidRPr="0017693A">
        <w:rPr>
          <w:rFonts w:ascii="Arial" w:hAnsi="Arial" w:cs="Arial"/>
          <w:noProof/>
          <w:sz w:val="20"/>
          <w:lang w:val="en-US"/>
        </w:rPr>
        <w:tab/>
        <w:t>Solal-Céligny P, Roy P, Colombat P, White J, Armitage JO, Arranz-Saez R, et al. FLIPI: Follicular Lymphoma International Prognostic Index. Blood [Internet]. 2004;104(5):1258–65. Available from: http://www.ncbi.nlm.nih.gov/pubmed/15126323%5Cnhttp://www.bloodjournal.org/content/104/5/1258.abstract</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11. </w:t>
      </w:r>
      <w:r w:rsidRPr="0017693A">
        <w:rPr>
          <w:rFonts w:ascii="Arial" w:hAnsi="Arial" w:cs="Arial"/>
          <w:noProof/>
          <w:sz w:val="20"/>
          <w:lang w:val="en-US"/>
        </w:rPr>
        <w:tab/>
        <w:t xml:space="preserve">Nooka AK, Nabhan C, Zhou X, Taylor MD, Byrtek M, Miller TP, et al. Examination of the follicular lymphoma international prognostic index (FLIPI) in the national lymphocare study (NLCS): A prospective US patient cohort treated predominantly in community practices. Ann Oncol. 2013;24(2):441–8.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12. </w:t>
      </w:r>
      <w:r w:rsidRPr="0017693A">
        <w:rPr>
          <w:rFonts w:ascii="Arial" w:hAnsi="Arial" w:cs="Arial"/>
          <w:noProof/>
          <w:sz w:val="20"/>
          <w:lang w:val="en-US"/>
        </w:rPr>
        <w:tab/>
        <w:t xml:space="preserve">Federico M, Bellei M, Marcheselli L, Luminari S, Lopez-Guillermo A, Vitolo U, et al. Follicular lymphoma international prognostic index 2: A new prognostic index for follicular lymphoma developed by the international follicular lymphoma prognostic factor project. J Clin Oncol. 2009;27(27):4555–62.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13. </w:t>
      </w:r>
      <w:r w:rsidRPr="0017693A">
        <w:rPr>
          <w:rFonts w:ascii="Arial" w:hAnsi="Arial" w:cs="Arial"/>
          <w:noProof/>
          <w:sz w:val="20"/>
          <w:lang w:val="en-US"/>
        </w:rPr>
        <w:tab/>
        <w:t xml:space="preserve">Meignan M, Cottereau AS, Versari A, Chartier L, Dupuis J, Boussetta S, et al. Baseline metabolic tumor volume predicts outcome in high-tumor-burden follicular lymphoma: A pooled analysis of three multicenter studies. In: Journal of Clinical Oncology. 2016. p. 3618–26.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14. </w:t>
      </w:r>
      <w:r w:rsidRPr="0017693A">
        <w:rPr>
          <w:rFonts w:ascii="Arial" w:hAnsi="Arial" w:cs="Arial"/>
          <w:noProof/>
          <w:sz w:val="20"/>
          <w:lang w:val="en-US"/>
        </w:rPr>
        <w:tab/>
        <w:t xml:space="preserve">Pastore A, Jurinovic V, Kridel R, Hoster E, Staiger AM, Szczepanowski M, et al. Integration of gene mutations in risk prognostication for patients receiving first-line immunochemotherapy for follicular lymphoma: A retrospective analysis of a prospective clinical trial and validation in a population-based registry. Lancet Oncol. 2015;16(9):1111–22.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15. </w:t>
      </w:r>
      <w:r w:rsidRPr="0017693A">
        <w:rPr>
          <w:rFonts w:ascii="Arial" w:hAnsi="Arial" w:cs="Arial"/>
          <w:noProof/>
          <w:sz w:val="20"/>
          <w:lang w:val="en-US"/>
        </w:rPr>
        <w:tab/>
        <w:t xml:space="preserve">Jurinovic V, Kridel R, Staiger AM, Szczepanowski M, Horn H, Dreyling MH, et al. Clinicogenetic risk models predict early progression of follicular lymphoma after first-line immunochemotherapy. Blood. 2016;128(8):1112–20.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16. </w:t>
      </w:r>
      <w:r w:rsidRPr="0017693A">
        <w:rPr>
          <w:rFonts w:ascii="Arial" w:hAnsi="Arial" w:cs="Arial"/>
          <w:noProof/>
          <w:sz w:val="20"/>
          <w:lang w:val="en-US"/>
        </w:rPr>
        <w:tab/>
        <w:t xml:space="preserve">Huet S, Tesson B, Jais JP, Feldman AL, Magnano L, Thomas E, et al. A gene-expression profiling score for prediction of outcome in patients with follicular lymphoma: a retrospective training and validation analysis in three international cohorts. Lancet Oncol. 2018;19(4):549–61.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17. </w:t>
      </w:r>
      <w:r w:rsidRPr="0017693A">
        <w:rPr>
          <w:rFonts w:ascii="Arial" w:hAnsi="Arial" w:cs="Arial"/>
          <w:noProof/>
          <w:sz w:val="20"/>
          <w:lang w:val="en-US"/>
        </w:rPr>
        <w:tab/>
        <w:t>Bachy E, Brice P, Delarue R, Brousse N, Haioun C, Le Gouill S, et al. Long-term follow-up of patients with newly diagnosed follicular lymphoma in the prerituximab era: effect of response quality on survival--A study from the groupe d&amp;apos;etude des lymphomes de l&amp;apos;adulte. J Clin Oncol [Internet]. 2010;28(5):822–9. Available from: http://www.ncbi.nlm.nih.gov/pubmed/20026809</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18. </w:t>
      </w:r>
      <w:r w:rsidRPr="0017693A">
        <w:rPr>
          <w:rFonts w:ascii="Arial" w:hAnsi="Arial" w:cs="Arial"/>
          <w:noProof/>
          <w:sz w:val="20"/>
          <w:lang w:val="en-US"/>
        </w:rPr>
        <w:tab/>
        <w:t>Luminari S, Biasoli I, Versari A, Rattotti S, Bottelli C, Rusconi C, et al. The prognostic role of post-</w:t>
      </w:r>
      <w:r w:rsidRPr="0017693A">
        <w:rPr>
          <w:rFonts w:ascii="Arial" w:hAnsi="Arial" w:cs="Arial"/>
          <w:noProof/>
          <w:sz w:val="20"/>
          <w:lang w:val="en-US"/>
        </w:rPr>
        <w:lastRenderedPageBreak/>
        <w:t xml:space="preserve">induction FDG-PET in patients with follicular lymphoma: A subset analysis from the FOLL05 trial of the Fondazione Italiana Linfomi (FIL). Ann Oncol. 2014;25(2):442–7.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19. </w:t>
      </w:r>
      <w:r w:rsidRPr="0017693A">
        <w:rPr>
          <w:rFonts w:ascii="Arial" w:hAnsi="Arial" w:cs="Arial"/>
          <w:noProof/>
          <w:sz w:val="20"/>
          <w:lang w:val="en-US"/>
        </w:rPr>
        <w:tab/>
        <w:t xml:space="preserve">Trotman J, Fournier M, Lamy T, Seymour JF, Sonet A, Janikova A, et al. Positron emission tomography-computed tomography (PET-CT) after induction therapy is highly predictive of patient outcome in follicular lymphoma: Analysis of PET-CT in a subset of PRIMA trial participants. J Clin Oncol. 2011;29(23):3194–200.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20. </w:t>
      </w:r>
      <w:r w:rsidRPr="0017693A">
        <w:rPr>
          <w:rFonts w:ascii="Arial" w:hAnsi="Arial" w:cs="Arial"/>
          <w:noProof/>
          <w:sz w:val="20"/>
          <w:lang w:val="en-US"/>
        </w:rPr>
        <w:tab/>
        <w:t xml:space="preserve">Dupuis J, Berriolo-Riedinger A, Julian A, Brice P, Tychyj-Pinel C, Tilly H, et al. Impact of [18F]fluorodeoxyglucose positron emission tomography response evaluation in patients with high-tumor burden follicular lymphoma treated with immunochemotherapy: A prospective study from the Groupe d’Etudes des Lymphomes de l’Adulte and GOELAMS. J Clin Oncol. 2012;30(35):4317–22.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21. </w:t>
      </w:r>
      <w:r w:rsidRPr="0017693A">
        <w:rPr>
          <w:rFonts w:ascii="Arial" w:hAnsi="Arial" w:cs="Arial"/>
          <w:noProof/>
          <w:sz w:val="20"/>
          <w:lang w:val="en-US"/>
        </w:rPr>
        <w:tab/>
        <w:t xml:space="preserve">Trotman J, Luminari S, Boussetta S, Versari A, Dupuis J, Tychyj C, et al. Prognostic value of PET-CT after first-line therapy in patients with follicular lymphoma: a pooled analysis of central scan review in three multicentre studies. Lancet Haematol. 2014;1(1):e17-27.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22. </w:t>
      </w:r>
      <w:r w:rsidRPr="0017693A">
        <w:rPr>
          <w:rFonts w:ascii="Arial" w:hAnsi="Arial" w:cs="Arial"/>
          <w:noProof/>
          <w:sz w:val="20"/>
          <w:lang w:val="en-US"/>
        </w:rPr>
        <w:tab/>
        <w:t xml:space="preserve">Barrington SF, Mikhaeel NG, Kostakoglu L, Meignan M, Hutchings M, Müeller SP, et al. Role of imaging in the staging and response assessment of lymphoma: Consensus of the international conference on malignant lymphomas imaging working group. J Clin Oncol. 2014;32(27):3048–58.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23. </w:t>
      </w:r>
      <w:r w:rsidRPr="0017693A">
        <w:rPr>
          <w:rFonts w:ascii="Arial" w:hAnsi="Arial" w:cs="Arial"/>
          <w:noProof/>
          <w:sz w:val="20"/>
          <w:lang w:val="en-US"/>
        </w:rPr>
        <w:tab/>
        <w:t xml:space="preserve">Cheson BD, Fisher RI, Barrington SF, Cavalli F, Schwartz LH, Zucca E, et al. Recommendations for initial evaluation, staging, and response assessment of hodgkin and non-hodgkin lymphoma: The lugano classification. Vol. 32, Journal of Clinical Oncology. 2014. p. 3059–67.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24. </w:t>
      </w:r>
      <w:r w:rsidRPr="0017693A">
        <w:rPr>
          <w:rFonts w:ascii="Arial" w:hAnsi="Arial" w:cs="Arial"/>
          <w:noProof/>
          <w:sz w:val="20"/>
          <w:lang w:val="en-US"/>
        </w:rPr>
        <w:tab/>
        <w:t xml:space="preserve">Rambaldi A, Lazzari M, Manzoni C, Carlotti E, Arcaini L, Baccarani M, et al. Monitoring of minimal residual disease after CHOP and rituximab in previously untreated patients with follicular lymphoma. Blood. 2002;99(3):856–62.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25. </w:t>
      </w:r>
      <w:r w:rsidRPr="0017693A">
        <w:rPr>
          <w:rFonts w:ascii="Arial" w:hAnsi="Arial" w:cs="Arial"/>
          <w:noProof/>
          <w:sz w:val="20"/>
          <w:lang w:val="en-US"/>
        </w:rPr>
        <w:tab/>
        <w:t xml:space="preserve">Ladetto M, De Marco F, Benedetti F, Vitolo U, Parti C, Rambaldi A, et al. Prospective, multicenter randomized GITMO/IIL trial comparing intensive (R-HDS) versus conventional (CHOP-R) chemoimmunotherapy in high-risk follicular lymphoma at diagnosis: The superior disease control of R-HDS does not translate into an overall surviva. Blood. 2008;111(8):4004–13.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26. </w:t>
      </w:r>
      <w:r w:rsidRPr="0017693A">
        <w:rPr>
          <w:rFonts w:ascii="Arial" w:hAnsi="Arial" w:cs="Arial"/>
          <w:noProof/>
          <w:sz w:val="20"/>
          <w:lang w:val="en-US"/>
        </w:rPr>
        <w:tab/>
        <w:t xml:space="preserve">Galimberti S, Luminari S, Ciabatti E, Grassi S, Guerrini F, Dondi A, et al. Minimal residual disease after conventional treatment significantly impacts on progression-free survival of patients with follicular lymphoma: The FIL FOLL05 trial. In: Clinical Cancer Research. 2014. p. 6398–405.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27. </w:t>
      </w:r>
      <w:r w:rsidRPr="0017693A">
        <w:rPr>
          <w:rFonts w:ascii="Arial" w:hAnsi="Arial" w:cs="Arial"/>
          <w:noProof/>
          <w:sz w:val="20"/>
          <w:lang w:val="en-US"/>
        </w:rPr>
        <w:tab/>
        <w:t>Roschewski M, Dunleavy K, Pittaluga S, Kong K. Monitoring of Circulating Tumor DNA As Minimal Residual Disease in Diffuse Large B-Cell Lymphoma. Blood [Internet]. 2014;124(21):139. Available from: https://ash.confex.com/ash/2014/webprogram/Paper68169.html</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28. </w:t>
      </w:r>
      <w:r w:rsidRPr="0017693A">
        <w:rPr>
          <w:rFonts w:ascii="Arial" w:hAnsi="Arial" w:cs="Arial"/>
          <w:noProof/>
          <w:sz w:val="20"/>
          <w:lang w:val="en-US"/>
        </w:rPr>
        <w:tab/>
        <w:t xml:space="preserve">Luminari S, Galimberti S, Versari A, Biasoli I, Anastasia A, Rusconi C, et al. Positron emission tomography response and minimal residual disease impact on progression-free survival in patients with follicular lymphoma. A subset analysis from the FOLL05 trial of the fondazione italiana linfomi. Vol. 101, Haematologica. 2016. p. e66–8.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29. </w:t>
      </w:r>
      <w:r w:rsidRPr="0017693A">
        <w:rPr>
          <w:rFonts w:ascii="Arial" w:hAnsi="Arial" w:cs="Arial"/>
          <w:noProof/>
          <w:sz w:val="20"/>
          <w:lang w:val="en-US"/>
        </w:rPr>
        <w:tab/>
        <w:t xml:space="preserve">Cottereau, A. S., Versari, A., Luminari, S., Dupuis, J., Chartier, L., Casasnovas, R., Berriolo-Riedinger, A., Menga, M., Haioun, C., Tilly, H., Tarantino, V., Federico, M., Salles, G., Trotman, J., &amp; Meignan M. Prognostic model for high tumor burden follicular lymphoma integrating baseline and end induction PET: a LYSA/FIL study. Blood. 2018;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30. </w:t>
      </w:r>
      <w:r w:rsidRPr="0017693A">
        <w:rPr>
          <w:rFonts w:ascii="Arial" w:hAnsi="Arial" w:cs="Arial"/>
          <w:noProof/>
          <w:sz w:val="20"/>
          <w:lang w:val="en-US"/>
        </w:rPr>
        <w:tab/>
        <w:t xml:space="preserve">Dreyling M, Ghielmini M, Rule S, Salles G, Vitolo U, Ladetto M, et al. Newly diagnosed and relapsed follicular lymphoma: ESMO clinical practice guidelines for diagnosis, treatment and follow-up. Ann Oncol. 2016;27:v83–90.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31. </w:t>
      </w:r>
      <w:r w:rsidRPr="0017693A">
        <w:rPr>
          <w:rFonts w:ascii="Arial" w:hAnsi="Arial" w:cs="Arial"/>
          <w:noProof/>
          <w:sz w:val="20"/>
          <w:lang w:val="en-US"/>
        </w:rPr>
        <w:tab/>
        <w:t xml:space="preserve">Montoto S, Corradini P, Dreyling M, Ghielmini M, Kimby E, López-Guillermo A, et al. Indications for hematopoietic stem cell transplantation in patients with follicular lymphoma: A consensus project of the EBMT-lymphoma working party. Haematologica. 2013;98(7):1014–21.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32. </w:t>
      </w:r>
      <w:r w:rsidRPr="0017693A">
        <w:rPr>
          <w:rFonts w:ascii="Arial" w:hAnsi="Arial" w:cs="Arial"/>
          <w:noProof/>
          <w:sz w:val="20"/>
          <w:lang w:val="en-US"/>
        </w:rPr>
        <w:tab/>
        <w:t xml:space="preserve">Schouten HC, Qian W, Kvaloy S, Porcellini A, Hagberg H, Johnsen HE, et al. High-dose therapy improves progression-free survival and survival in relapsed follicular non-Hodgkin’s lymphoma: Results from the randomized European CUP trial. J Clin Oncol. 2003;21(21):3918–27.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33. </w:t>
      </w:r>
      <w:r w:rsidRPr="0017693A">
        <w:rPr>
          <w:rFonts w:ascii="Arial" w:hAnsi="Arial" w:cs="Arial"/>
          <w:noProof/>
          <w:sz w:val="20"/>
          <w:lang w:val="en-US"/>
        </w:rPr>
        <w:tab/>
        <w:t xml:space="preserve">Casulo C, Friedberg JW, Ahn KW, Flowers C, DiGilio A, Smith SM, et al. Autologous Transplantation in Follicular Lymphoma with Early Therapy Failure: A National LymphoCare Study and Center for International Blood and Marrow Transplant Research Analysis. Biology of Blood and Marrow Transplantation. 2018;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34. </w:t>
      </w:r>
      <w:r w:rsidRPr="0017693A">
        <w:rPr>
          <w:rFonts w:ascii="Arial" w:hAnsi="Arial" w:cs="Arial"/>
          <w:noProof/>
          <w:sz w:val="20"/>
          <w:lang w:val="en-US"/>
        </w:rPr>
        <w:tab/>
        <w:t xml:space="preserve">Vindi Jurinovic, Bernd Metzner, Michael Pfreundschuh, Norbert Schmitz, Hannes Wandt, Christian Peschel, Martin Dreyling, Wolfgang Hiddemann, Eva Hoster MU and OW. Autologous Stem Cell Transplantation for Patients with Early Progression of Follicular Lymphoma- Retrospective Analysis of 2 Randomized Trials of the German Low Grade Lymphoma Study Group (GLSG). Blood. 2016;128(22):3464.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35. </w:t>
      </w:r>
      <w:r w:rsidRPr="0017693A">
        <w:rPr>
          <w:rFonts w:ascii="Arial" w:hAnsi="Arial" w:cs="Arial"/>
          <w:noProof/>
          <w:sz w:val="20"/>
          <w:lang w:val="en-US"/>
        </w:rPr>
        <w:tab/>
        <w:t xml:space="preserve">Lunning MA, Migliacci JC, Hilden P, Devlin SM, Castro-Malaspina H, Giralt S, et al. The potential benefit of allogeneic over autologous transplantation in patients with very early relapsed and refractory follicular lymphoma with prior remission duration of ≤12 months. Br J Haematol. 2016;173(2):260–4.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lastRenderedPageBreak/>
        <w:t xml:space="preserve">36. </w:t>
      </w:r>
      <w:r w:rsidRPr="0017693A">
        <w:rPr>
          <w:rFonts w:ascii="Arial" w:hAnsi="Arial" w:cs="Arial"/>
          <w:noProof/>
          <w:sz w:val="20"/>
          <w:lang w:val="en-US"/>
        </w:rPr>
        <w:tab/>
        <w:t xml:space="preserve">Robinson SP, Canals C, Luang JJ, Tilly H, Crawley C, Cahn JY, et al. The outcome of reduced intensity allogeneic stem cell transplantation and autologous stem cell transplantation when performed as a first transplant strategy in relapsed follicular lymphoma: An analysis from the Lymphoma Working Party of the EBMT. Bone Marrow Transplant. 2013;48(11):1409–14.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37. </w:t>
      </w:r>
      <w:r w:rsidRPr="0017693A">
        <w:rPr>
          <w:rFonts w:ascii="Arial" w:hAnsi="Arial" w:cs="Arial"/>
          <w:noProof/>
          <w:sz w:val="20"/>
          <w:lang w:val="en-US"/>
        </w:rPr>
        <w:tab/>
        <w:t>Gopal AK, Kahl BS, de Vos S, Wagner-Johnston ND, Schuster SJ, Jurczak WJ, et al. PI3Kδ Inhibition by Idelalisib in Patients with Relapsed Indolent Lymphoma. N Engl J Med [Internet]. 2014;370(11):1008–18. Available from: http://www.nejm.org/doi/10.1056/NEJMoa1314583</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38. </w:t>
      </w:r>
      <w:r w:rsidRPr="0017693A">
        <w:rPr>
          <w:rFonts w:ascii="Arial" w:hAnsi="Arial" w:cs="Arial"/>
          <w:noProof/>
          <w:sz w:val="20"/>
          <w:lang w:val="en-US"/>
        </w:rPr>
        <w:tab/>
        <w:t xml:space="preserve">Sehn LH, Chua N, Mayer J, Dueck G, Trněný M, Bouabdallah K, et al. Obinutuzumab plus bendamustine versus bendamustine monotherapy in patients with rituximab-refractory indolent non-Hodgkin lymphoma (GADOLIN): a randomised, controlled, open-label, multicentre, phase 3 trial. Lancet Oncol. 2016;17(8):1081–93.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39. </w:t>
      </w:r>
      <w:r w:rsidRPr="0017693A">
        <w:rPr>
          <w:rFonts w:ascii="Arial" w:hAnsi="Arial" w:cs="Arial"/>
          <w:noProof/>
          <w:sz w:val="20"/>
          <w:lang w:val="en-US"/>
        </w:rPr>
        <w:tab/>
        <w:t xml:space="preserve">Leonard JP, Jung SH, Johnson J, Pitcher BN, Bartlett NL, Blum KA, et al. Randomized trial of lenalidomide alone versus lenalidomide plus rituximab in patients with recurrent follicular lymphoma: CALGB 50401 (Alliance). J Clin Oncol. 2015;33(31):3635–40.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40. </w:t>
      </w:r>
      <w:r w:rsidRPr="0017693A">
        <w:rPr>
          <w:rFonts w:ascii="Arial" w:hAnsi="Arial" w:cs="Arial"/>
          <w:noProof/>
          <w:sz w:val="20"/>
          <w:lang w:val="en-US"/>
        </w:rPr>
        <w:tab/>
        <w:t xml:space="preserve">Gopal AK, Kahl BS, de Vos S, Wagner-Johnston ND, Schuster SJ, Jurczak WJ, et al. PI3Kδ Inhibition by Idelalisib in Patients with Relapsed Indolent Lymphoma. N Engl J Med. 2014;370(11):1008–18.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41. </w:t>
      </w:r>
      <w:r w:rsidRPr="0017693A">
        <w:rPr>
          <w:rFonts w:ascii="Arial" w:hAnsi="Arial" w:cs="Arial"/>
          <w:noProof/>
          <w:sz w:val="20"/>
          <w:lang w:val="en-US"/>
        </w:rPr>
        <w:tab/>
        <w:t xml:space="preserve">Gopal AK, Kahl BS, Flowers CR, Martin P, Ansell SM, Abella-Dominicis E, et al. Idelalisib is effective in patients with high-risk follicular lymphoma and early relapse after initial chemoimmunotherapy. Vol. 129, Blood. 2017. p. 3037–9. </w:t>
      </w:r>
    </w:p>
    <w:p w:rsidR="0017693A" w:rsidRPr="0017693A" w:rsidRDefault="0017693A" w:rsidP="0017693A">
      <w:pPr>
        <w:widowControl w:val="0"/>
        <w:autoSpaceDE w:val="0"/>
        <w:autoSpaceDN w:val="0"/>
        <w:adjustRightInd w:val="0"/>
        <w:ind w:left="640" w:hanging="640"/>
        <w:rPr>
          <w:rFonts w:ascii="Arial" w:hAnsi="Arial" w:cs="Arial"/>
          <w:noProof/>
          <w:sz w:val="20"/>
          <w:lang w:val="en-US"/>
        </w:rPr>
      </w:pPr>
      <w:r w:rsidRPr="0017693A">
        <w:rPr>
          <w:rFonts w:ascii="Arial" w:hAnsi="Arial" w:cs="Arial"/>
          <w:noProof/>
          <w:sz w:val="20"/>
          <w:lang w:val="en-US"/>
        </w:rPr>
        <w:t xml:space="preserve">42. </w:t>
      </w:r>
      <w:r w:rsidRPr="0017693A">
        <w:rPr>
          <w:rFonts w:ascii="Arial" w:hAnsi="Arial" w:cs="Arial"/>
          <w:noProof/>
          <w:sz w:val="20"/>
          <w:lang w:val="en-US"/>
        </w:rPr>
        <w:tab/>
        <w:t>Morschhauser F, Salles G, McKay P, Tilly H, SChmitt A, Gerecitano J, et al. INTERIM REPORT FROM A PHASE 2 MULTICENTER STUDY OF TAZEMETOSTAT, AN EZH2 INHIBITOR, IN PATIENTS WITH RELAPSED OR REFRACTORY B</w:t>
      </w:r>
      <w:r w:rsidRPr="0017693A">
        <w:rPr>
          <w:rFonts w:ascii="Cambria Math" w:hAnsi="Cambria Math" w:cs="Cambria Math"/>
          <w:noProof/>
          <w:sz w:val="20"/>
          <w:lang w:val="en-US"/>
        </w:rPr>
        <w:t>‐</w:t>
      </w:r>
      <w:r w:rsidRPr="0017693A">
        <w:rPr>
          <w:rFonts w:ascii="Arial" w:hAnsi="Arial" w:cs="Arial"/>
          <w:noProof/>
          <w:sz w:val="20"/>
          <w:lang w:val="en-US"/>
        </w:rPr>
        <w:t>CELL NON</w:t>
      </w:r>
      <w:r w:rsidRPr="0017693A">
        <w:rPr>
          <w:rFonts w:ascii="Cambria Math" w:hAnsi="Cambria Math" w:cs="Cambria Math"/>
          <w:noProof/>
          <w:sz w:val="20"/>
          <w:lang w:val="en-US"/>
        </w:rPr>
        <w:t>‐</w:t>
      </w:r>
      <w:r w:rsidRPr="0017693A">
        <w:rPr>
          <w:rFonts w:ascii="Arial" w:hAnsi="Arial" w:cs="Arial"/>
          <w:noProof/>
          <w:sz w:val="20"/>
          <w:lang w:val="en-US"/>
        </w:rPr>
        <w:t xml:space="preserve">HODGKIN LYMPHOMAS. Int Conf Malig lymphoma. 2017; </w:t>
      </w:r>
    </w:p>
    <w:p w:rsidR="0017693A" w:rsidRPr="0017693A" w:rsidRDefault="0017693A" w:rsidP="0017693A">
      <w:pPr>
        <w:widowControl w:val="0"/>
        <w:autoSpaceDE w:val="0"/>
        <w:autoSpaceDN w:val="0"/>
        <w:adjustRightInd w:val="0"/>
        <w:ind w:left="640" w:hanging="640"/>
        <w:rPr>
          <w:rFonts w:ascii="Arial" w:hAnsi="Arial" w:cs="Arial"/>
          <w:noProof/>
          <w:sz w:val="20"/>
        </w:rPr>
      </w:pPr>
      <w:r w:rsidRPr="0017693A">
        <w:rPr>
          <w:rFonts w:ascii="Arial" w:hAnsi="Arial" w:cs="Arial"/>
          <w:noProof/>
          <w:sz w:val="20"/>
          <w:lang w:val="en-US"/>
        </w:rPr>
        <w:t xml:space="preserve">43. </w:t>
      </w:r>
      <w:r w:rsidRPr="0017693A">
        <w:rPr>
          <w:rFonts w:ascii="Arial" w:hAnsi="Arial" w:cs="Arial"/>
          <w:noProof/>
          <w:sz w:val="20"/>
          <w:lang w:val="en-US"/>
        </w:rPr>
        <w:tab/>
        <w:t>Nastoupil LJ, Westin JR, Fowler NH, Fanale MA, Samaniego F, Oki Y, et al. Response rates with pembrolizumab in combination with rituximab in patients with relapsed follicular lymphoma: Interim results of an on open-label, phase II study. J Clin Oncol [Internet]. 2017;35(15_suppl):7519. Available from: http://ascopubs.org/doi/abs/10.1200/JCO.2017.35.15_suppl.7519</w:t>
      </w:r>
    </w:p>
    <w:p w:rsidR="00295834" w:rsidRPr="00335A7D" w:rsidRDefault="00295834" w:rsidP="0017693A">
      <w:pPr>
        <w:widowControl w:val="0"/>
        <w:autoSpaceDE w:val="0"/>
        <w:autoSpaceDN w:val="0"/>
        <w:adjustRightInd w:val="0"/>
        <w:ind w:left="640" w:hanging="640"/>
        <w:rPr>
          <w:b/>
          <w:lang w:val="en-US"/>
        </w:rPr>
      </w:pPr>
      <w:r>
        <w:rPr>
          <w:rFonts w:ascii="Arial" w:hAnsi="Arial" w:cs="Arial"/>
          <w:bCs/>
          <w:color w:val="222222"/>
          <w:sz w:val="20"/>
          <w:szCs w:val="20"/>
          <w:highlight w:val="yellow"/>
          <w:shd w:val="clear" w:color="auto" w:fill="FFFFFF"/>
          <w:lang w:val="en-US"/>
        </w:rPr>
        <w:fldChar w:fldCharType="end"/>
      </w:r>
    </w:p>
    <w:p w:rsidR="00295834" w:rsidRDefault="00295834">
      <w:pPr>
        <w:rPr>
          <w:b/>
          <w:lang w:val="en-US"/>
        </w:rPr>
      </w:pPr>
      <w:r>
        <w:rPr>
          <w:b/>
          <w:lang w:val="en-US"/>
        </w:rPr>
        <w:br w:type="page"/>
      </w:r>
    </w:p>
    <w:p w:rsidR="00295834" w:rsidRDefault="00295834" w:rsidP="00676DA8">
      <w:pPr>
        <w:widowControl w:val="0"/>
        <w:autoSpaceDE w:val="0"/>
        <w:autoSpaceDN w:val="0"/>
        <w:adjustRightInd w:val="0"/>
        <w:rPr>
          <w:b/>
          <w:lang w:val="en-US"/>
        </w:rPr>
      </w:pPr>
      <w:r>
        <w:rPr>
          <w:b/>
          <w:lang w:val="en-US"/>
        </w:rPr>
        <w:lastRenderedPageBreak/>
        <w:t xml:space="preserve">Table 1 Summary of prognostic factors used to </w:t>
      </w:r>
      <w:proofErr w:type="spellStart"/>
      <w:r>
        <w:rPr>
          <w:b/>
          <w:lang w:val="en-US"/>
        </w:rPr>
        <w:t>ifentify</w:t>
      </w:r>
      <w:proofErr w:type="spellEnd"/>
      <w:r>
        <w:rPr>
          <w:b/>
          <w:lang w:val="en-US"/>
        </w:rPr>
        <w:t xml:space="preserve"> high risk patients and correlation with POD24</w:t>
      </w:r>
    </w:p>
    <w:p w:rsidR="00295834" w:rsidRDefault="00295834" w:rsidP="00676DA8">
      <w:pPr>
        <w:widowControl w:val="0"/>
        <w:autoSpaceDE w:val="0"/>
        <w:autoSpaceDN w:val="0"/>
        <w:adjustRightInd w:val="0"/>
        <w:rPr>
          <w:b/>
          <w:lang w:val="en-US"/>
        </w:rPr>
      </w:pPr>
    </w:p>
    <w:p w:rsidR="00295834" w:rsidRPr="001B2623" w:rsidRDefault="00295834" w:rsidP="00841605">
      <w:pPr>
        <w:widowControl w:val="0"/>
        <w:pBdr>
          <w:bottom w:val="single" w:sz="4" w:space="1" w:color="auto"/>
        </w:pBdr>
        <w:tabs>
          <w:tab w:val="left" w:pos="1843"/>
          <w:tab w:val="left" w:pos="4253"/>
          <w:tab w:val="left" w:pos="5245"/>
          <w:tab w:val="left" w:pos="6096"/>
          <w:tab w:val="left" w:pos="7088"/>
          <w:tab w:val="left" w:pos="8080"/>
          <w:tab w:val="left" w:pos="9072"/>
        </w:tabs>
        <w:autoSpaceDE w:val="0"/>
        <w:autoSpaceDN w:val="0"/>
        <w:adjustRightInd w:val="0"/>
        <w:rPr>
          <w:b/>
          <w:sz w:val="22"/>
          <w:lang w:val="en-US"/>
        </w:rPr>
      </w:pPr>
      <w:r w:rsidRPr="001B2623">
        <w:rPr>
          <w:b/>
          <w:sz w:val="22"/>
          <w:lang w:val="en-US"/>
        </w:rPr>
        <w:t>Score/factor</w:t>
      </w:r>
      <w:r w:rsidRPr="001B2623">
        <w:rPr>
          <w:b/>
          <w:sz w:val="22"/>
          <w:lang w:val="en-US"/>
        </w:rPr>
        <w:tab/>
        <w:t>HR def.</w:t>
      </w:r>
      <w:r w:rsidRPr="001B2623">
        <w:rPr>
          <w:b/>
          <w:sz w:val="22"/>
          <w:lang w:val="en-US"/>
        </w:rPr>
        <w:tab/>
        <w:t>HR%</w:t>
      </w:r>
      <w:r w:rsidRPr="001B2623">
        <w:rPr>
          <w:b/>
          <w:sz w:val="22"/>
          <w:lang w:val="en-US"/>
        </w:rPr>
        <w:tab/>
        <w:t>time</w:t>
      </w:r>
      <w:r w:rsidRPr="001B2623">
        <w:rPr>
          <w:b/>
          <w:sz w:val="22"/>
          <w:lang w:val="en-US"/>
        </w:rPr>
        <w:tab/>
        <w:t>PFS (%)</w:t>
      </w:r>
      <w:r w:rsidRPr="001B2623">
        <w:rPr>
          <w:b/>
          <w:sz w:val="22"/>
          <w:lang w:val="en-US"/>
        </w:rPr>
        <w:tab/>
        <w:t>OS (%)</w:t>
      </w:r>
      <w:r w:rsidRPr="001B2623">
        <w:rPr>
          <w:b/>
          <w:sz w:val="22"/>
          <w:lang w:val="en-US"/>
        </w:rPr>
        <w:tab/>
        <w:t xml:space="preserve">POD24% </w:t>
      </w:r>
      <w:r w:rsidRPr="001B2623">
        <w:rPr>
          <w:b/>
          <w:sz w:val="22"/>
          <w:lang w:val="en-US"/>
        </w:rPr>
        <w:tab/>
        <w:t>ref.</w:t>
      </w:r>
    </w:p>
    <w:p w:rsidR="00295834" w:rsidRPr="001B2623" w:rsidRDefault="00295834" w:rsidP="00841605">
      <w:pPr>
        <w:widowControl w:val="0"/>
        <w:pBdr>
          <w:bottom w:val="single" w:sz="4" w:space="1" w:color="auto"/>
        </w:pBdr>
        <w:tabs>
          <w:tab w:val="left" w:pos="1843"/>
          <w:tab w:val="left" w:pos="4253"/>
          <w:tab w:val="left" w:pos="5245"/>
          <w:tab w:val="left" w:pos="6096"/>
          <w:tab w:val="left" w:pos="7088"/>
          <w:tab w:val="left" w:pos="8080"/>
          <w:tab w:val="left" w:pos="9072"/>
        </w:tabs>
        <w:autoSpaceDE w:val="0"/>
        <w:autoSpaceDN w:val="0"/>
        <w:adjustRightInd w:val="0"/>
        <w:rPr>
          <w:b/>
          <w:sz w:val="22"/>
          <w:lang w:val="en-US"/>
        </w:rPr>
      </w:pPr>
      <w:r w:rsidRPr="001B2623">
        <w:rPr>
          <w:b/>
          <w:sz w:val="22"/>
          <w:lang w:val="en-US"/>
        </w:rPr>
        <w:tab/>
      </w:r>
      <w:r w:rsidRPr="001B2623">
        <w:rPr>
          <w:b/>
          <w:sz w:val="22"/>
          <w:lang w:val="en-US"/>
        </w:rPr>
        <w:tab/>
      </w:r>
      <w:r w:rsidRPr="001B2623">
        <w:rPr>
          <w:b/>
          <w:sz w:val="22"/>
          <w:lang w:val="en-US"/>
        </w:rPr>
        <w:tab/>
      </w:r>
      <w:r w:rsidRPr="001B2623">
        <w:rPr>
          <w:b/>
          <w:sz w:val="22"/>
          <w:lang w:val="en-US"/>
        </w:rPr>
        <w:tab/>
      </w:r>
      <w:r w:rsidRPr="001B2623">
        <w:rPr>
          <w:b/>
          <w:sz w:val="22"/>
          <w:lang w:val="en-US"/>
        </w:rPr>
        <w:tab/>
      </w:r>
      <w:r w:rsidRPr="001B2623">
        <w:rPr>
          <w:b/>
          <w:sz w:val="22"/>
          <w:lang w:val="en-US"/>
        </w:rPr>
        <w:tab/>
        <w:t xml:space="preserve">in HR </w:t>
      </w: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b/>
          <w:sz w:val="22"/>
          <w:lang w:val="en-US"/>
        </w:rPr>
      </w:pPr>
      <w:r w:rsidRPr="001B2623">
        <w:rPr>
          <w:b/>
          <w:sz w:val="22"/>
          <w:lang w:val="en-US"/>
        </w:rPr>
        <w:t>Baseline</w:t>
      </w: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sz w:val="22"/>
          <w:lang w:val="en-US"/>
        </w:rPr>
      </w:pPr>
      <w:r>
        <w:rPr>
          <w:sz w:val="22"/>
          <w:lang w:val="en-US"/>
        </w:rPr>
        <w:t>FLIPI</w:t>
      </w:r>
      <w:r>
        <w:rPr>
          <w:sz w:val="22"/>
          <w:lang w:val="en-US"/>
        </w:rPr>
        <w:tab/>
        <w:t>3-5 RF</w:t>
      </w:r>
      <w:r>
        <w:rPr>
          <w:sz w:val="22"/>
          <w:lang w:val="en-US"/>
        </w:rPr>
        <w:tab/>
        <w:t>28</w:t>
      </w:r>
      <w:r w:rsidRPr="001B2623">
        <w:rPr>
          <w:sz w:val="22"/>
          <w:lang w:val="en-US"/>
        </w:rPr>
        <w:tab/>
        <w:t>5yrs</w:t>
      </w:r>
      <w:r w:rsidRPr="001B2623">
        <w:rPr>
          <w:sz w:val="22"/>
          <w:lang w:val="en-US"/>
        </w:rPr>
        <w:tab/>
        <w:t>-</w:t>
      </w:r>
      <w:r w:rsidRPr="001B2623">
        <w:rPr>
          <w:sz w:val="22"/>
          <w:lang w:val="en-US"/>
        </w:rPr>
        <w:tab/>
        <w:t>53</w:t>
      </w:r>
      <w:r w:rsidRPr="001B2623">
        <w:rPr>
          <w:sz w:val="22"/>
          <w:lang w:val="en-US"/>
        </w:rPr>
        <w:tab/>
        <w:t>55</w:t>
      </w:r>
      <w:r w:rsidRPr="001B2623">
        <w:rPr>
          <w:sz w:val="22"/>
          <w:lang w:val="en-US"/>
        </w:rPr>
        <w:tab/>
      </w:r>
      <w:r>
        <w:rPr>
          <w:sz w:val="22"/>
          <w:lang w:val="en-US"/>
        </w:rPr>
        <w:fldChar w:fldCharType="begin" w:fldLock="1"/>
      </w:r>
      <w:r w:rsidR="00C555D8">
        <w:rPr>
          <w:sz w:val="22"/>
          <w:lang w:val="en-US"/>
        </w:rPr>
        <w:instrText>ADDIN CSL_CITATION { "citationItems" : [ { "id" : "ITEM-1", "itemData" : { "DOI" : "10.1182/blood-2003-12-4434.Supported", "ISBN" : "0006-4971 (Print)\\r0006-4971 (Linking)", "ISSN" : "00064971", "PMID" : "15126323", "abstract" : "The prognosis of follicular lymphomas (FL) is heterogeneous and numerous treatments may be proposed. A validated prognostic index (PI) would help in evaluating and choosing these treatments. Characteristics at diagnosis were collected from 4167 patients with FL diagnosed between 1985 and 1992. Univariate and multivariate analyses were used to propose a PI. This index was then tested on 919 patients. Five adverse prognostic factors were selected: age (&gt; 60 years vs \u2264 60 years), Ann Arbor stage (III-IV vs I-II), hemoglobin level (&lt; 120 g/L vs \u2265 120 g/L), number of nodal areas (&gt; 4 vs \u2264 4), and serum LDH level (above normal vs normal or below). Three risk groups were defined: low risk (0-1 adverse factor, 36% of patients), intermediate risk (2 factors, 37% of patients, hazard ratio [HR] of 2.3), and poor risk (\u2265 3 adverse factors, 27% of patients, HR = 4.3). This Follicular Lymphoma International Prognostic Index (FLIPI) appeared more discriminant than the International Prognostic Index proposed for aggressive non-Hodgkin lymphomas. Results were very similar in the confirmation group. The FLIPI may be used for improving treatment choices, comparing clinical trials, and designing studies to evaluate new treatments.", "author" : [ { "dropping-particle" : "", "family" : "Solal-C\u00e9ligny", "given" : "Philippe", "non-dropping-particle" : "", "parse-names" : false, "suffix" : "" }, { "dropping-particle" : "", "family" : "Roy", "given" : "Pascal", "non-dropping-particle" : "", "parse-names" : false, "suffix" : "" }, { "dropping-particle" : "", "family" : "Colombat", "given" : "Philippe", "non-dropping-particle" : "", "parse-names" : false, "suffix" : "" }, { "dropping-particle" : "", "family" : "White", "given" : "Josephine", "non-dropping-particle" : "", "parse-names" : false, "suffix" : "" }, { "dropping-particle" : "", "family" : "Armitage", "given" : "Jim O", "non-dropping-particle" : "", "parse-names" : false, "suffix" : "" }, { "dropping-particle" : "", "family" : "Arranz-Saez", "given" : "Reyes", "non-dropping-particle" : "", "parse-names" : false, "suffix" : "" }, { "dropping-particle" : "", "family" : "Au", "given" : "Wing Y", "non-dropping-particle" : "", "parse-names" : false, "suffix" : "" }, { "dropping-particle" : "", "family" : "Bellei", "given" : "Monica", "non-dropping-particle" : "", "parse-names" : false, "suffix" : "" }, { "dropping-particle" : "", "family" : "Brice", "given" : "Pauline", "non-dropping-particle" : "", "parse-names" : false, "suffix" : "" }, { "dropping-particle" : "", "family" : "Caballero", "given" : "Dolores", "non-dropping-particle" : "", "parse-names" : false, "suffix" : "" }, { "dropping-particle" : "", "family" : "Coiffier", "given" : "Bertrand", "non-dropping-particle" : "", "parse-names" : false, "suffix" : "" }, { "dropping-particle" : "", "family" : "Conde-Garcia", "given" : "Eulogio", "non-dropping-particle" : "", "parse-names" : false, "suffix" : "" }, { "dropping-particle" : "", "family" : "Doyen", "given" : "Chantal", "non-dropping-particle" : "", "parse-names" : false, "suffix" : "" }, { "dropping-particle" : "", "family" : "Federico", "given" : "Massimo", "non-dropping-particle" : "", "parse-names" : false, "suffix" : "" }, { "dropping-particle" : "", "family" : "Fisher", "given" : "Richard I", "non-dropping-particle" : "", "parse-names" : false, "suffix" : "" }, { "dropping-particle" : "", "family" : "Garcia-Conde", "given" : "Javier F", "non-dropping-particle" : "", "parse-names" : false, "suffix" : "" }, { "dropping-particle" : "", "family" : "Guglielmi", "given" : "Cesare", "non-dropping-particle" : "", "parse-names" : false, "suffix" : "" }, { "dropping-particle" : "", "family" : "Hagenbeek", "given" : "Anton", "non-dropping-particle" : "", "parse-names" : false, "suffix" : "" }, { "dropping-particle" : "", "family" : "Ha\u00efoun", "given" : "Corinne", "non-dropping-particle" : "", "parse-names" : false, "suffix" : "" }, { "dropping-particle" : "", "family" : "LeBlanc", "given" : "Michael", "non-dropping-particle" : "", "parse-names" : false, "suffix" : "" }, { "dropping-particle" : "", "family" : "Lister", "given" : "Andrew T", "non-dropping-particle" : "", "parse-names" : false, "suffix" : "" }, { "dropping-particle" : "", "family" : "Lopez-Guillermo", "given" : "Armando", "non-dropping-particle" : "", "parse-names" : false, "suffix" : "" }, { "dropping-particle" : "", "family" : "McLaughlin", "given" : "Peter", "non-dropping-particle" : "", "parse-names" : false, "suffix" : "" }, { "dropping-particle" : "", "family" : "Milpied", "given" : "No\u00ebl", "non-dropping-particle" : "", "parse-names" : false, "suffix" : "" }, { "dropping-particle" : "", "family" : "Morel", "given" : "Pierre", "non-dropping-particle" : "", "parse-names" : false, "suffix" : "" }, { "dropping-particle" : "", "family" : "Mounier", "given" : "Nicolas", "non-dropping-particle" : "", "parse-names" : false, "suffix" : "" }, { "dropping-particle" : "", "family" : "Proctor", "given" : "Stephen J", "non-dropping-particle" : "", "parse-names" : false, "suffix" : "" }, { "dropping-particle" : "", "family" : "Rohatiner", "given" : "Ama", "non-dropping-particle" : "", "parse-names" : false, "suffix" : "" }, { "dropping-particle" : "", "family" : "Smith", "given" : "Paul", "non-dropping-particle" : "", "parse-names" : false, "suffix" : "" }, { "dropping-particle" : "", "family" : "Soubeyran", "given" : "Pierre", "non-dropping-particle" : "", "parse-names" : false, "suffix" : "" }, { "dropping-particle" : "", "family" : "Tilly", "given" : "Herv\u00e9", "non-dropping-particle" : "", "parse-names" : false, "suffix" : "" }, { "dropping-particle" : "", "family" : "Vitolo", "given" : "Umberto", "non-dropping-particle" : "", "parse-names" : false, "suffix" : "" }, { "dropping-particle" : "", "family" : "Zinzani", "given" : "Pier-Luigi", "non-dropping-particle" : "", "parse-names" : false, "suffix" : "" }, { "dropping-particle" : "", "family" : "Zucca", "given" : "Emanuele", "non-dropping-particle" : "", "parse-names" : false, "suffix" : "" }, { "dropping-particle" : "", "family" : "Montserrat", "given" : "Emili", "non-dropping-particle" : "", "parse-names" : false, "suffix" : "" }, { "dropping-particle" : "", "family" : "Solal-Celigny", "given" : "P", "non-dropping-particle" : "", "parse-names" : false, "suffix" : "" } ], "container-title" : "Blood", "id" : "ITEM-1", "issue" : "5", "issued" : { "date-parts" : [ [ "2004" ] ] }, "page" : "1258-1265", "title" : "FLIPI: Follicular Lymphoma International Prognostic Index", "type" : "article-journal", "volume" : "104" }, "uris" : [ "http://www.mendeley.com/documents/?uuid=48f12e93-5561-4226-a549-6ddb4aadfee5" ] } ], "mendeley" : { "formattedCitation" : "(10)", "plainTextFormattedCitation" : "(10)", "previouslyFormattedCitation" : "(10)" }, "properties" : { "noteIndex" : 0 }, "schema" : "https://github.com/citation-style-language/schema/raw/master/csl-citation.json" }</w:instrText>
      </w:r>
      <w:r>
        <w:rPr>
          <w:sz w:val="22"/>
          <w:lang w:val="en-US"/>
        </w:rPr>
        <w:fldChar w:fldCharType="separate"/>
      </w:r>
      <w:r w:rsidR="00C555D8" w:rsidRPr="00C555D8">
        <w:rPr>
          <w:noProof/>
          <w:sz w:val="22"/>
          <w:lang w:val="en-US"/>
        </w:rPr>
        <w:t>(10)</w:t>
      </w:r>
      <w:r>
        <w:rPr>
          <w:sz w:val="22"/>
          <w:lang w:val="en-US"/>
        </w:rPr>
        <w:fldChar w:fldCharType="end"/>
      </w: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sz w:val="22"/>
          <w:lang w:val="en-US"/>
        </w:rPr>
      </w:pPr>
      <w:r w:rsidRPr="001B2623">
        <w:rPr>
          <w:sz w:val="22"/>
          <w:lang w:val="en-US"/>
        </w:rPr>
        <w:t>FLIPI2</w:t>
      </w:r>
      <w:r w:rsidRPr="001B2623">
        <w:rPr>
          <w:sz w:val="22"/>
          <w:lang w:val="en-US"/>
        </w:rPr>
        <w:tab/>
        <w:t>3-5 RF</w:t>
      </w:r>
      <w:r w:rsidRPr="001B2623">
        <w:rPr>
          <w:sz w:val="22"/>
          <w:lang w:val="en-US"/>
        </w:rPr>
        <w:tab/>
        <w:t>27</w:t>
      </w:r>
      <w:r w:rsidRPr="001B2623">
        <w:rPr>
          <w:sz w:val="22"/>
          <w:lang w:val="en-US"/>
        </w:rPr>
        <w:tab/>
        <w:t>5yr</w:t>
      </w:r>
      <w:r>
        <w:rPr>
          <w:sz w:val="22"/>
          <w:lang w:val="en-US"/>
        </w:rPr>
        <w:t>s</w:t>
      </w:r>
      <w:r>
        <w:rPr>
          <w:sz w:val="22"/>
          <w:lang w:val="en-US"/>
        </w:rPr>
        <w:tab/>
        <w:t>29</w:t>
      </w:r>
      <w:r>
        <w:rPr>
          <w:sz w:val="22"/>
          <w:lang w:val="en-US"/>
        </w:rPr>
        <w:tab/>
        <w:t>59</w:t>
      </w:r>
      <w:r w:rsidRPr="001B2623">
        <w:rPr>
          <w:sz w:val="22"/>
          <w:lang w:val="en-US"/>
        </w:rPr>
        <w:tab/>
        <w:t>-</w:t>
      </w:r>
      <w:r w:rsidRPr="001B2623">
        <w:rPr>
          <w:sz w:val="22"/>
          <w:lang w:val="en-US"/>
        </w:rPr>
        <w:tab/>
      </w:r>
      <w:r>
        <w:rPr>
          <w:sz w:val="22"/>
          <w:lang w:val="en-US"/>
        </w:rPr>
        <w:fldChar w:fldCharType="begin" w:fldLock="1"/>
      </w:r>
      <w:r w:rsidR="00C555D8">
        <w:rPr>
          <w:sz w:val="22"/>
          <w:lang w:val="en-US"/>
        </w:rPr>
        <w:instrText>ADDIN CSL_CITATION { "citationItems" : [ { "id" : "ITEM-1", "itemData" : { "DOI" : "10.1200/JCO.2008.21.3991", "ISBN" : "1527-7755 (Electronic)\\n0732-183X (Linking)", "ISSN" : "0732183X", "PMID" : "19652063", "abstract" : "PURPOSE: The aim of the F2 study was to verify whether a prospective collection of data would enable the development of a more accurate prognostic index for follicular lymphoma (FL) by using parameters which could not be retrospectively studied before, and by choosing progression-free survival (PFS) as principal end point. PATIENTS AND METHODS: Between January 2003 and May 2005, 1,093 patients with a newly diagnosed FL were registered and 942 individuals receiving antilymphoma therapy were selected as the study population. The variables we used for score definition were selected by means of bootstrap resampling procedures on 832 patients with complete data. Procedures to select the model that would minimize errors were also performed. RESULTS: After a median follow-up of 38 months, 261 events for PFS evaluation were recorded. beta2-microglobulin higher than the upper limit of normal, longest diameter of the largest involved node longer than 6 cm, bone marrow involvement, hemoglobin level lower than 12 g/dL, and age older than 60 years were factors independently predictive for PFS. Using these variables, a prognostic model was devised to identify three groups at different levels of risk. The 3-year PFS rate was 91%, 69%, and 51% for patients at low, intermediate, and high risk, respectively (log-rank = 64.6; P &lt; .00001). The 3-year survival rate was 99%, 96%, and 84% for patients at low, intermediate, and high risk, respectively (P &lt; .0001). CONCLUSION: Follicular Lymphoma International Prognostic Index 2 is a simple prognostic index based on easily available clinical data and may represent a promising new tool for the identification of patients with FL at different risk in the era of immunochemotherapy.", "author" : [ { "dropping-particle" : "", "family" : "Federico", "given" : "Massimo", "non-dropping-particle" : "", "parse-names" : false, "suffix" : "" }, { "dropping-particle" : "", "family" : "Bellei", "given" : "Monica", "non-dropping-particle" : "", "parse-names" : false, "suffix" : "" }, { "dropping-particle" : "", "family" : "Marcheselli", "given" : "Luigi", "non-dropping-particle" : "", "parse-names" : false, "suffix" : "" }, { "dropping-particle" : "", "family" : "Luminari", "given" : "Stefano", "non-dropping-particle" : "", "parse-names" : false, "suffix" : "" }, { "dropping-particle" : "", "family" : "Lopez-Guillermo", "given" : "Armando", "non-dropping-particle" : "", "parse-names" : false, "suffix" : "" }, { "dropping-particle" : "", "family" : "Vitolo", "given" : "Umberto", "non-dropping-particle" : "", "parse-names" : false, "suffix" : "" }, { "dropping-particle" : "", "family" : "Pro", "given" : "Barbara", "non-dropping-particle" : "", "parse-names" : false, "suffix" : "" }, { "dropping-particle" : "", "family" : "Pileri", "given" : "Stefano", "non-dropping-particle" : "", "parse-names" : false, "suffix" : "" }, { "dropping-particle" : "", "family" : "Pulsoni", "given" : "Alessandro", "non-dropping-particle" : "", "parse-names" : false, "suffix" : "" }, { "dropping-particle" : "", "family" : "Soubeyran", "given" : "Pierre", "non-dropping-particle" : "", "parse-names" : false, "suffix" : "" }, { "dropping-particle" : "", "family" : "Cortelazzo", "given" : "Sergio", "non-dropping-particle" : "", "parse-names" : false, "suffix" : "" }, { "dropping-particle" : "", "family" : "Martinelli", "given" : "Giovanni", "non-dropping-particle" : "", "parse-names" : false, "suffix" : "" }, { "dropping-particle" : "", "family" : "Martelli", "given" : "Maurizio", "non-dropping-particle" : "", "parse-names" : false, "suffix" : "" }, { "dropping-particle" : "", "family" : "Rigacci", "given" : "Luigi", "non-dropping-particle" : "", "parse-names" : false, "suffix" : "" }, { "dropping-particle" : "", "family" : "Arcaini", "given" : "Luca", "non-dropping-particle" : "", "parse-names" : false, "suffix" : "" }, { "dropping-particle" : "", "family" : "Raimondo", "given" : "Francesco", "non-dropping-particle" : "Di", "parse-names" : false, "suffix" : "" }, { "dropping-particle" : "", "family" : "Merli", "given" : "Francesco", "non-dropping-particle" : "", "parse-names" : false, "suffix" : "" }, { "dropping-particle" : "", "family" : "Sabattini", "given" : "Elena", "non-dropping-particle" : "", "parse-names" : false, "suffix" : "" }, { "dropping-particle" : "", "family" : "McLaughlin", "given" : "Peter", "non-dropping-particle" : "", "parse-names" : false, "suffix" : "" }, { "dropping-particle" : "", "family" : "Solal-C\u00e9ligny", "given" : "Philippe", "non-dropping-particle" : "", "parse-names" : false, "suffix" : "" } ], "container-title" : "Journal of Clinical Oncology", "id" : "ITEM-1", "issue" : "27", "issued" : { "date-parts" : [ [ "2009" ] ] }, "page" : "4555-4562", "title" : "Follicular lymphoma international prognostic index 2: A new prognostic index for follicular lymphoma developed by the international follicular lymphoma prognostic factor project", "type" : "article-journal", "volume" : "27" }, "uris" : [ "http://www.mendeley.com/documents/?uuid=45e90391-6610-4c90-b872-0a0ed0987c7a" ] } ], "mendeley" : { "formattedCitation" : "(12)", "plainTextFormattedCitation" : "(12)", "previouslyFormattedCitation" : "(12)" }, "properties" : { "noteIndex" : 0 }, "schema" : "https://github.com/citation-style-language/schema/raw/master/csl-citation.json" }</w:instrText>
      </w:r>
      <w:r>
        <w:rPr>
          <w:sz w:val="22"/>
          <w:lang w:val="en-US"/>
        </w:rPr>
        <w:fldChar w:fldCharType="separate"/>
      </w:r>
      <w:r w:rsidR="00C555D8" w:rsidRPr="00C555D8">
        <w:rPr>
          <w:noProof/>
          <w:sz w:val="22"/>
          <w:lang w:val="en-US"/>
        </w:rPr>
        <w:t>(12)</w:t>
      </w:r>
      <w:r>
        <w:rPr>
          <w:sz w:val="22"/>
          <w:lang w:val="en-US"/>
        </w:rPr>
        <w:fldChar w:fldCharType="end"/>
      </w: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sz w:val="22"/>
          <w:lang w:val="en-US"/>
        </w:rPr>
      </w:pPr>
      <w:r w:rsidRPr="001B2623">
        <w:rPr>
          <w:sz w:val="22"/>
          <w:lang w:val="en-US"/>
        </w:rPr>
        <w:t>TMTV</w:t>
      </w:r>
      <w:r w:rsidRPr="001B2623">
        <w:rPr>
          <w:sz w:val="22"/>
          <w:lang w:val="en-US"/>
        </w:rPr>
        <w:tab/>
        <w:t>&gt;510cm3</w:t>
      </w:r>
      <w:r w:rsidRPr="001B2623">
        <w:rPr>
          <w:sz w:val="22"/>
          <w:lang w:val="en-US"/>
        </w:rPr>
        <w:tab/>
        <w:t>29</w:t>
      </w:r>
      <w:r w:rsidRPr="001B2623">
        <w:rPr>
          <w:sz w:val="22"/>
          <w:lang w:val="en-US"/>
        </w:rPr>
        <w:tab/>
      </w:r>
      <w:r>
        <w:rPr>
          <w:sz w:val="22"/>
          <w:lang w:val="en-US"/>
        </w:rPr>
        <w:t>5yrs</w:t>
      </w:r>
      <w:r w:rsidRPr="001B2623">
        <w:rPr>
          <w:sz w:val="22"/>
          <w:lang w:val="en-US"/>
        </w:rPr>
        <w:tab/>
      </w:r>
      <w:r>
        <w:rPr>
          <w:sz w:val="22"/>
          <w:lang w:val="en-US"/>
        </w:rPr>
        <w:t>33</w:t>
      </w:r>
      <w:r w:rsidRPr="001B2623">
        <w:rPr>
          <w:sz w:val="22"/>
          <w:lang w:val="en-US"/>
        </w:rPr>
        <w:tab/>
      </w:r>
      <w:r>
        <w:rPr>
          <w:sz w:val="22"/>
          <w:lang w:val="en-US"/>
        </w:rPr>
        <w:t>85</w:t>
      </w:r>
      <w:r w:rsidRPr="001B2623">
        <w:rPr>
          <w:sz w:val="22"/>
          <w:lang w:val="en-US"/>
        </w:rPr>
        <w:tab/>
      </w:r>
      <w:r>
        <w:rPr>
          <w:sz w:val="22"/>
          <w:lang w:val="en-US"/>
        </w:rPr>
        <w:t>56</w:t>
      </w:r>
      <w:r w:rsidRPr="001B2623">
        <w:rPr>
          <w:sz w:val="22"/>
          <w:lang w:val="en-US"/>
        </w:rPr>
        <w:tab/>
      </w:r>
      <w:r>
        <w:rPr>
          <w:sz w:val="22"/>
          <w:lang w:val="en-US"/>
        </w:rPr>
        <w:fldChar w:fldCharType="begin" w:fldLock="1"/>
      </w:r>
      <w:r w:rsidR="00C555D8">
        <w:rPr>
          <w:sz w:val="22"/>
          <w:lang w:val="en-US"/>
        </w:rPr>
        <w:instrText>ADDIN CSL_CITATION { "citationItems" : [ { "id" : "ITEM-1", "itemData" : { "DOI" : "10.1200/JCO.2016.66.9440", "ISBN" : "1527-7755 (Electronic)\r0732-183X (Linking)", "ISSN" : "15277755", "PMID" : "27551111", "abstract" : "PURPOSE Identifying patients at high risk of progression and early death among those with high-tumor-burden follicular lymphoma (FL) is unsatisfactory with current prognostic models. This study aimed to determine the prognostic impact of the total metabolic tumor volume (TMTV) measured at baseline with [(18)F]fluorodeoxyglucose/positron emission tomography-computed tomography ([(18)F]FDG/PET-CT) scans and its added value to these models. PATIENTS AND METHODS A pooled analysis was performed by using patient data and centrally reviewed baseline PET-CT scans for 185 patients with FL who were receiving immunochemotherapy within three prospective trials. TMTV was computed by using the 41% maximum standardized uptake value thresholding method, and the optimal cutoff for survival prediction was determined. RESULTS Median age was 55 years, 92% of patients had stage III to IV disease, 37% had a Follicular Lymphoma International Prognostic Index (FLIPI) score of 3 to 5, and 31% had a FLIPI2 score of 3 to 5. With a median follow-up of 64 months, overall 5-year progression-free survival (PFS) was 55% and overall survival (OS) was 92%. Median TMTV was 297 cm(3) (quartile 1 through quartile 3, 135 to 567 cm(3)). The optimal cutoff identified was 510 cm(3), with a markedly inferior survival in the 29% of patients with TMTV &gt; 510 cm(3). Five-year PFS was 33% versus 65% (hazard ratio [HR], 2.90; P &lt; .001), and 5-year OS was 85% versus 95% (HR, 3.45; P = .010). On multivariable analysis, TMTV (HR, 2.3; P = .002) and FLIPI2 score (HR, 2.2; P = .002) were independent predictors of PFS. In combination, they identify three risk groups: high TMTV and intermediate-to-high FLIPI2 score with 5-year PFS of 20% (HR, 5.0; P &lt; .001), high TMTV or intermediate-to-high FLIPI2 score with 5-year PFS of 46% (HR, 2.1; P = .007), and low TMTV and low FLIP2 with 5-year PFS of 69%. CONCLUSION Baseline TMTV is a strong independent predictor of outcome in FL. In combination with FLIPI2 score, it identifies patients at high risk of early progression. It warrants further validation as a biomarker for development of first-line PET-adapted approaches in FL.", "author" : [ { "dropping-particle" : "", "family" : "Meignan", "given" : "Michel", "non-dropping-particle" : "", "parse-names" : false, "suffix" : "" }, { "dropping-particle" : "", "family" : "Cottereau", "given" : "Anne S\u00e9gol\u00e8ne", "non-dropping-particle" : "", "parse-names" : false, "suffix" : "" }, { "dropping-particle" : "", "family" : "Versari", "given" : "Annibale", "non-dropping-particle" : "", "parse-names" : false, "suffix" : "" }, { "dropping-particle" : "", "family" : "Chartier", "given" : "Lo\u00efc", "non-dropping-particle" : "", "parse-names" : false, "suffix" : "" }, { "dropping-particle" : "", "family" : "Dupuis", "given" : "Jehan", "non-dropping-particle" : "", "parse-names" : false, "suffix" : "" }, { "dropping-particle" : "", "family" : "Boussetta", "given" : "Sami", "non-dropping-particle" : "", "parse-names" : false, "suffix" : "" }, { "dropping-particle" : "", "family" : "Grassi", "given" : "Ilaria", "non-dropping-particle" : "", "parse-names" : false, "suffix" : "" }, { "dropping-particle" : "", "family" : "Casasnovas", "given" : "Ren\u00e9 Olivier", "non-dropping-particle" : "", "parse-names" : false, "suffix" : "" }, { "dropping-particle" : "", "family" : "Haioun", "given" : "Corinne", "non-dropping-particle" : "", "parse-names" : false, "suffix" : "" }, { "dropping-particle" : "", "family" : "Tilly", "given" : "Herv\u00e9", "non-dropping-particle" : "", "parse-names" : false, "suffix" : "" }, { "dropping-particle" : "", "family" : "Tarantino", "given" : "Vittoria", "non-dropping-particle" : "", "parse-names" : false, "suffix" : "" }, { "dropping-particle" : "", "family" : "Dubreuil", "given" : "Julien", "non-dropping-particle" : "", "parse-names" : false, "suffix" : "" }, { "dropping-particle" : "", "family" : "Federico", "given" : "Massimo", "non-dropping-particle" : "", "parse-names" : false, "suffix" : "" }, { "dropping-particle" : "", "family" : "Salles", "given" : "Gilles", "non-dropping-particle" : "", "parse-names" : false, "suffix" : "" }, { "dropping-particle" : "", "family" : "Luminari", "given" : "Stefano", "non-dropping-particle" : "", "parse-names" : false, "suffix" : "" }, { "dropping-particle" : "", "family" : "Trotman", "given" : "Judith", "non-dropping-particle" : "", "parse-names" : false, "suffix" : "" } ], "container-title" : "Journal of Clinical Oncology", "id" : "ITEM-1", "issue" : "30", "issued" : { "date-parts" : [ [ "2016" ] ] }, "page" : "3618-3626", "title" : "Baseline metabolic tumor volume predicts outcome in high-tumor-burden follicular lymphoma: A pooled analysis of three multicenter studies", "type" : "paper-conference", "volume" : "34" }, "uris" : [ "http://www.mendeley.com/documents/?uuid=e6f4f720-f6aa-4964-a222-2b45e6908d7d" ] } ], "mendeley" : { "formattedCitation" : "(13)", "plainTextFormattedCitation" : "(13)", "previouslyFormattedCitation" : "(13)" }, "properties" : { "noteIndex" : 0 }, "schema" : "https://github.com/citation-style-language/schema/raw/master/csl-citation.json" }</w:instrText>
      </w:r>
      <w:r>
        <w:rPr>
          <w:sz w:val="22"/>
          <w:lang w:val="en-US"/>
        </w:rPr>
        <w:fldChar w:fldCharType="separate"/>
      </w:r>
      <w:r w:rsidR="00C555D8" w:rsidRPr="00C555D8">
        <w:rPr>
          <w:noProof/>
          <w:sz w:val="22"/>
          <w:lang w:val="en-US"/>
        </w:rPr>
        <w:t>(13)</w:t>
      </w:r>
      <w:r>
        <w:rPr>
          <w:sz w:val="22"/>
          <w:lang w:val="en-US"/>
        </w:rPr>
        <w:fldChar w:fldCharType="end"/>
      </w: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sz w:val="22"/>
          <w:lang w:val="en-US"/>
        </w:rPr>
      </w:pPr>
      <w:r w:rsidRPr="001B2623">
        <w:rPr>
          <w:sz w:val="22"/>
          <w:lang w:val="en-US"/>
        </w:rPr>
        <w:t>m7FLIPI</w:t>
      </w:r>
      <w:r w:rsidRPr="001B2623">
        <w:rPr>
          <w:sz w:val="22"/>
          <w:lang w:val="en-US"/>
        </w:rPr>
        <w:tab/>
        <w:t>calculated</w:t>
      </w:r>
      <w:r w:rsidRPr="001B2623">
        <w:rPr>
          <w:sz w:val="22"/>
          <w:lang w:val="en-US"/>
        </w:rPr>
        <w:tab/>
        <w:t>28</w:t>
      </w:r>
      <w:r w:rsidRPr="001B2623">
        <w:rPr>
          <w:sz w:val="22"/>
          <w:lang w:val="en-US"/>
        </w:rPr>
        <w:tab/>
        <w:t>5yrs</w:t>
      </w:r>
      <w:r w:rsidRPr="001B2623">
        <w:rPr>
          <w:sz w:val="22"/>
          <w:lang w:val="en-US"/>
        </w:rPr>
        <w:tab/>
        <w:t>38 (</w:t>
      </w:r>
      <w:r>
        <w:rPr>
          <w:sz w:val="22"/>
          <w:lang w:val="en-US"/>
        </w:rPr>
        <w:t>FFS)</w:t>
      </w:r>
      <w:r>
        <w:rPr>
          <w:sz w:val="22"/>
          <w:lang w:val="en-US"/>
        </w:rPr>
        <w:tab/>
        <w:t>42-65</w:t>
      </w:r>
      <w:r>
        <w:rPr>
          <w:sz w:val="22"/>
          <w:lang w:val="en-US"/>
        </w:rPr>
        <w:tab/>
        <w:t>76</w:t>
      </w:r>
      <w:r w:rsidRPr="001B2623">
        <w:rPr>
          <w:sz w:val="22"/>
          <w:lang w:val="en-US"/>
        </w:rPr>
        <w:tab/>
      </w:r>
      <w:r w:rsidRPr="00595F6E">
        <w:rPr>
          <w:sz w:val="16"/>
          <w:lang w:val="en-US"/>
        </w:rPr>
        <w:fldChar w:fldCharType="begin" w:fldLock="1"/>
      </w:r>
      <w:r w:rsidR="00C555D8">
        <w:rPr>
          <w:sz w:val="16"/>
          <w:lang w:val="en-US"/>
        </w:rPr>
        <w:instrText>ADDIN CSL_CITATION { "citationItems" : [ { "id" : "ITEM-1", "itemData" : { "DOI" : "10.1016/S1470-2045(15)00169-2", "ISBN" : "0000000027", "ISSN" : "14745488", "PMID" : "26256760", "abstract" : "Background: Follicular lymphoma is a clinically and genetically heterogeneous disease, but the prognostic value of somatic mutations has not been systematically assessed. We aimed to improve risk stratification of patients receiving first-line immunochemotherapy by integrating gene mutations into a prognostic model. Methods: We did DNA deep sequencing to retrospectively analyse the mutation status of 74 genes in 151 follicular lymphoma biopsy specimens that were obtained from patients within 1 year before beginning immunochemotherapy consisting of rituximab, cyclophosphamide, doxorubicin, vincristine, and prednisone (R-CHOP). These patients were recruited between May 4, 2000, and Oct 20, 2010, as part of a phase 3 trial (GLSG2000). Eligible patients had symptomatic, advanced stage follicular lymphoma and were previously untreated. The primary endpoints were failure-free survival (defined as less than a partial remission at the end of induction, relapse, progression, or death) and overall survival calculated from date of treatment initiation. Median follow-up was 7\u00b77 years (IQR 5\u00b75-9\u00b73). Mutations and clinical factors were incorporated into a risk model for failure-free survival using multivariable L1-penalised Cox regression. We validated the risk model in an independent population-based cohort of 107 patients with symptomatic follicular lymphoma considered ineligible for curative irradiation. Pretreatment biopsies were taken between Feb 24, 2004, and Nov 24, 2009, within 1 year before beginning first-line immunochemotherapy consisting of rituximab, cyclophosphamide, vincristine, and prednisone (R-CVP). Median follow-up was 6\u00b77 years (IQR 5\u00b77-7\u00b76). Findings: We established a clinicogenetic risk model (termed m7-FLIPI) that included the mutation status of seven genes (. EZH2, ARID1A, MEF2B, EP300, FOXO1, CREBBP, and CARD11), the Follicular Lymphoma International Prognostic Index (FLIPI), and Eastern Cooperative Oncology Group (ECOG) performance status. In the training cohort, m7-FLIPI defined a high-risk group (28%, 43/151) with 5-year failure-free survival of 38\u00b729% (95% CI 25\u00b731-57\u00b795) versus 77\u00b721% (95% CI 69\u00b721-86\u00b714) for the low-risk group (hazard ratio [HR] 4\u00b714, 95% CI 2\u00b747-6\u00b793; p&lt;0\u00b70001; bootstrap-corrected HR 2\u00b702), and outperformed a prognostic model of only gene mutations (HR 3\u00b776, 95% CI 2\u00b710-6\u00b774; p&lt;0\u00b70001; bootstrap-corrected HR 1\u00b757). The positive predictive value and negative predictive value for 5-year failure-free survival were 64% and\u2026", "author" : [ { "dropping-particle" : "", "family" : "Pastore", "given" : "Alessandro", "non-dropping-particle" : "", "parse-names" : false, "suffix" : "" }, { "dropping-particle" : "", "family" : "Jurinovic", "given" : "Vindi", "non-dropping-particle" : "", "parse-names" : false, "suffix" : "" }, { "dropping-particle" : "", "family" : "Kridel", "given" : "Robert", "non-dropping-particle" : "", "parse-names" : false, "suffix" : "" }, { "dropping-particle" : "", "family" : "Hoster", "given" : "Eva", "non-dropping-particle" : "", "parse-names" : false, "suffix" : "" }, { "dropping-particle" : "", "family" : "Staiger", "given" : "Annette M.", "non-dropping-particle" : "", "parse-names" : false, "suffix" : "" }, { "dropping-particle" : "", "family" : "Szczepanowski", "given" : "Monika", "non-dropping-particle" : "", "parse-names" : false, "suffix" : "" }, { "dropping-particle" : "", "family" : "Pott", "given" : "Christiane", "non-dropping-particle" : "", "parse-names" : false, "suffix" : "" }, { "dropping-particle" : "", "family" : "Kopp", "given" : "Nadja", "non-dropping-particle" : "", "parse-names" : false, "suffix" : "" }, { "dropping-particle" : "", "family" : "Murakami", "given" : "Mark", "non-dropping-particle" : "", "parse-names" : false, "suffix" : "" }, { "dropping-particle" : "", "family" : "Horn", "given" : "Heike", "non-dropping-particle" : "", "parse-names" : false, "suffix" : "" }, { "dropping-particle" : "", "family" : "Leich", "given" : "Ellen", "non-dropping-particle" : "", "parse-names" : false, "suffix" : "" }, { "dropping-particle" : "", "family" : "Moccia", "given" : "Alden A.", "non-dropping-particle" : "", "parse-names" : false, "suffix" : "" }, { "dropping-particle" : "", "family" : "Mottok", "given" : "Anja", "non-dropping-particle" : "", "parse-names" : false, "suffix" : "" }, { "dropping-particle" : "", "family" : "Sunkavalli", "given" : "Ashwini", "non-dropping-particle" : "", "parse-names" : false, "suffix" : "" }, { "dropping-particle" : "", "family" : "Hummelen", "given" : "Paul", "non-dropping-particle" : "Van", "parse-names" : false, "suffix" : "" }, { "dropping-particle" : "", "family" : "Ducar", "given" : "Matthew", "non-dropping-particle" : "", "parse-names" : false, "suffix" : "" }, { "dropping-particle" : "", "family" : "Ennishi", "given" : "Daisuke", "non-dropping-particle" : "", "parse-names" : false, "suffix" : "" }, { "dropping-particle" : "", "family" : "Shulha", "given" : "Hennady P.", "non-dropping-particle" : "", "parse-names" : false, "suffix" : "" }, { "dropping-particle" : "", "family" : "Hother", "given" : "Christoffer", "non-dropping-particle" : "", "parse-names" : false, "suffix" : "" }, { "dropping-particle" : "", "family" : "Connors", "given" : "Joseph M.", "non-dropping-particle" : "", "parse-names" : false, "suffix" : "" }, { "dropping-particle" : "", "family" : "Sehn", "given" : "Laurie H.", "non-dropping-particle" : "", "parse-names" : false, "suffix" : "" }, { "dropping-particle" : "", "family" : "Dreyling", "given" : "Martin", "non-dropping-particle" : "", "parse-names" : false, "suffix" : "" }, { "dropping-particle" : "", "family" : "Neuberg", "given" : "Donna", "non-dropping-particle" : "", "parse-names" : false, "suffix" : "" }, { "dropping-particle" : "", "family" : "M\u00f6ller", "given" : "Peter", "non-dropping-particle" : "", "parse-names" : false, "suffix" : "" }, { "dropping-particle" : "", "family" : "Feller", "given" : "Alfred C.", "non-dropping-particle" : "", "parse-names" : false, "suffix" : "" }, { "dropping-particle" : "", "family" : "Hansmann", "given" : "Martin L.", "non-dropping-particle" : "", "parse-names" : false, "suffix" : "" }, { "dropping-particle" : "", "family" : "Stein", "given" : "Harald", "non-dropping-particle" : "", "parse-names" : false, "suffix" : "" }, { "dropping-particle" : "", "family" : "Rosenwald", "given" : "Andreas", "non-dropping-particle" : "", "parse-names" : false, "suffix" : "" }, { "dropping-particle" : "", "family" : "Ott", "given" : "German", "non-dropping-particle" : "", "parse-names" : false, "suffix" : "" }, { "dropping-particle" : "", "family" : "Klapper", "given" : "Wolfram", "non-dropping-particle" : "", "parse-names" : false, "suffix" : "" }, { "dropping-particle" : "", "family" : "Unterhalt", "given" : "Michael", "non-dropping-particle" : "", "parse-names" : false, "suffix" : "" }, { "dropping-particle" : "", "family" : "Hiddemann", "given" : "Wolfgang", "non-dropping-particle" : "", "parse-names" : false, "suffix" : "" }, { "dropping-particle" : "", "family" : "Gascoyne", "given" : "Randy D.", "non-dropping-particle" : "", "parse-names" : false, "suffix" : "" }, { "dropping-particle" : "", "family" : "Weinstock", "given" : "David M.", "non-dropping-particle" : "", "parse-names" : false, "suffix" : "" }, { "dropping-particle" : "", "family" : "Weigert", "given" : "Oliver", "non-dropping-particle" : "", "parse-names" : false, "suffix" : "" } ], "container-title" : "The Lancet Oncology", "id" : "ITEM-1", "issue" : "9", "issued" : { "date-parts" : [ [ "2015" ] ] }, "page" : "1111-1122", "title" : "Integration of gene mutations in risk prognostication for patients receiving first-line immunochemotherapy for follicular lymphoma: A retrospective analysis of a prospective clinical trial and validation in a population-based registry", "type" : "article-journal", "volume" : "16" }, "uris" : [ "http://www.mendeley.com/documents/?uuid=42831248-81dd-4e4a-bfd3-51cfb484878f" ] } ], "mendeley" : { "formattedCitation" : "(14)", "plainTextFormattedCitation" : "(14)", "previouslyFormattedCitation" : "(14)" }, "properties" : { "noteIndex" : 0 }, "schema" : "https://github.com/citation-style-language/schema/raw/master/csl-citation.json" }</w:instrText>
      </w:r>
      <w:r w:rsidRPr="00595F6E">
        <w:rPr>
          <w:sz w:val="16"/>
          <w:lang w:val="en-US"/>
        </w:rPr>
        <w:fldChar w:fldCharType="separate"/>
      </w:r>
      <w:r w:rsidR="00C555D8" w:rsidRPr="00C555D8">
        <w:rPr>
          <w:noProof/>
          <w:sz w:val="16"/>
          <w:lang w:val="en-US"/>
        </w:rPr>
        <w:t>(14)</w:t>
      </w:r>
      <w:r w:rsidRPr="00595F6E">
        <w:rPr>
          <w:sz w:val="16"/>
          <w:lang w:val="en-US"/>
        </w:rPr>
        <w:fldChar w:fldCharType="end"/>
      </w:r>
      <w:r w:rsidRPr="00595F6E">
        <w:rPr>
          <w:sz w:val="16"/>
          <w:lang w:val="en-US"/>
        </w:rPr>
        <w:fldChar w:fldCharType="begin" w:fldLock="1"/>
      </w:r>
      <w:r w:rsidR="00C555D8">
        <w:rPr>
          <w:sz w:val="16"/>
          <w:lang w:val="en-US"/>
        </w:rPr>
        <w:instrText>ADDIN CSL_CITATION { "citationItems" : [ { "id" : "ITEM-1", "itemData" : { "DOI" : "10.1182/blood-2016-05-717355", "ISBN" : "2016057173", "ISSN" : "15280020", "PMID" : "27418643", "abstract" : "Follicular lymphoma (FL) is a clinically and molecularly heterogeneous disease. Post-treatment surrogate endpoints, such as progression of disease within 24 months (POD24) are promising predictors for overall survival (OS), but are of limited clinical value, primarily because they cannot guide upfront treatment decisions. We used the clinical and molecular data from two independent cohorts of symptomatic patients in need of first-line immunochemotherapy (151 patients from a German Low Grade Lymphoma Study Group (GLSG) trial, and 107 patients from a population-based registry of the British Columbia Cancer Agency (BCCA)) to validate the predictive utility of POD24, and the ability of pre-treatment risk models to predict early treatment failure. POD24 occurred in 17% and 23% of evaluable GLSG and BCCA patients, with 5-year OS rates of 41% (versus 91% for those without POD24, p&lt;0.0001) and 26% (versus 86%, p&lt;0.0001), respectively. The m7-FLIPI, a prospective clinicogenetic risk model for failure-free survival (FFS), had the highest accuracy to predict POD24 (76% and 77%, respectively) with an odds ratio (OR) of 5.82 in GLSG (p=0.00031) and 4.76 in BCCA patients (p=0.0052). A clinicogenetic risk model specifically designed to predict POD24, the POD24-PI, had the highest sensitivity to predict POD24, but at the expense of a lower specificity. In conclusion, the m7-FLIPI prospectively identifies the smallest subgroup of patients (28% and 22%, respectively) at highest risk of early failure of first-line immunochemotherapy and death, including patients not fulfilling the POD24 criteria, and should be evaluated in prospective trials of precision medicine approaches in FL.", "author" : [ { "dropping-particle" : "", "family" : "Jurinovic", "given" : "Vindi", "non-dropping-particle" : "", "parse-names" : false, "suffix" : "" }, { "dropping-particle" : "", "family" : "Kridel", "given" : "Robert", "non-dropping-particle" : "", "parse-names" : false, "suffix" : "" }, { "dropping-particle" : "", "family" : "Staiger", "given" : "Annette M.", "non-dropping-particle" : "", "parse-names" : false, "suffix" : "" }, { "dropping-particle" : "", "family" : "Szczepanowski", "given" : "Monika", "non-dropping-particle" : "", "parse-names" : false, "suffix" : "" }, { "dropping-particle" : "", "family" : "Horn", "given" : "Heike", "non-dropping-particle" : "", "parse-names" : false, "suffix" : "" }, { "dropping-particle" : "", "family" : "Dreyling", "given" : "Martin H.", "non-dropping-particle" : "", "parse-names" : false, "suffix" : "" }, { "dropping-particle" : "", "family" : "Rosenwald", "given" : "Andreas", "non-dropping-particle" : "", "parse-names" : false, "suffix" : "" }, { "dropping-particle" : "", "family" : "Ott", "given" : "German", "non-dropping-particle" : "", "parse-names" : false, "suffix" : "" }, { "dropping-particle" : "", "family" : "Klapper", "given" : "Wolfram", "non-dropping-particle" : "", "parse-names" : false, "suffix" : "" }, { "dropping-particle" : "", "family" : "Zelenetz", "given" : "Andrew D.", "non-dropping-particle" : "", "parse-names" : false, "suffix" : "" }, { "dropping-particle" : "", "family" : "Barr", "given" : "Paul M.", "non-dropping-particle" : "", "parse-names" : false, "suffix" : "" }, { "dropping-particle" : "", "family" : "Friedberg", "given" : "Jonathan W.", "non-dropping-particle" : "", "parse-names" : false, "suffix" : "" }, { "dropping-particle" : "", "family" : "Ansell", "given" : "Stephen", "non-dropping-particle" : "", "parse-names" : false, "suffix" : "" }, { "dropping-particle" : "", "family" : "Sehn", "given" : "Laurie H.", "non-dropping-particle" : "", "parse-names" : false, "suffix" : "" }, { "dropping-particle" : "", "family" : "Connors", "given" : "Joseph M.", "non-dropping-particle" : "", "parse-names" : false, "suffix" : "" }, { "dropping-particle" : "", "family" : "Gascoyne", "given" : "Randy D.", "non-dropping-particle" : "", "parse-names" : false, "suffix" : "" }, { "dropping-particle" : "", "family" : "Hiddemann", "given" : "Wolfgang", "non-dropping-particle" : "", "parse-names" : false, "suffix" : "" }, { "dropping-particle" : "", "family" : "Unterhalt", "given" : "Michael", "non-dropping-particle" : "", "parse-names" : false, "suffix" : "" }, { "dropping-particle" : "", "family" : "Weinstock", "given" : "David M.", "non-dropping-particle" : "", "parse-names" : false, "suffix" : "" }, { "dropping-particle" : "", "family" : "Weigert", "given" : "Oliver", "non-dropping-particle" : "", "parse-names" : false, "suffix" : "" } ], "container-title" : "Blood", "id" : "ITEM-1", "issue" : "8", "issued" : { "date-parts" : [ [ "2016" ] ] }, "page" : "1112-1120", "title" : "Clinicogenetic risk models predict early progression of follicular lymphoma after first-line immunochemotherapy", "type" : "article-journal", "volume" : "128" }, "uris" : [ "http://www.mendeley.com/documents/?uuid=b348cd21-48e9-417b-be29-841c4eaadade" ] } ], "mendeley" : { "formattedCitation" : "(15)", "plainTextFormattedCitation" : "(15)", "previouslyFormattedCitation" : "(15)" }, "properties" : { "noteIndex" : 0 }, "schema" : "https://github.com/citation-style-language/schema/raw/master/csl-citation.json" }</w:instrText>
      </w:r>
      <w:r w:rsidRPr="00595F6E">
        <w:rPr>
          <w:sz w:val="16"/>
          <w:lang w:val="en-US"/>
        </w:rPr>
        <w:fldChar w:fldCharType="separate"/>
      </w:r>
      <w:r w:rsidR="00C555D8" w:rsidRPr="00C555D8">
        <w:rPr>
          <w:noProof/>
          <w:sz w:val="16"/>
          <w:lang w:val="en-US"/>
        </w:rPr>
        <w:t>(15)</w:t>
      </w:r>
      <w:r w:rsidRPr="00595F6E">
        <w:rPr>
          <w:sz w:val="16"/>
          <w:lang w:val="en-US"/>
        </w:rPr>
        <w:fldChar w:fldCharType="end"/>
      </w: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sz w:val="22"/>
          <w:lang w:val="en-US"/>
        </w:rPr>
      </w:pPr>
      <w:r w:rsidRPr="001B2623">
        <w:rPr>
          <w:sz w:val="22"/>
          <w:lang w:val="en-US"/>
        </w:rPr>
        <w:t>23 gene model</w:t>
      </w:r>
      <w:r w:rsidRPr="001B2623">
        <w:rPr>
          <w:sz w:val="22"/>
          <w:lang w:val="en-US"/>
        </w:rPr>
        <w:tab/>
        <w:t>calculated</w:t>
      </w:r>
      <w:r w:rsidRPr="001B2623">
        <w:rPr>
          <w:sz w:val="22"/>
          <w:lang w:val="en-US"/>
        </w:rPr>
        <w:tab/>
        <w:t>21-35</w:t>
      </w:r>
      <w:r w:rsidRPr="001B2623">
        <w:rPr>
          <w:sz w:val="22"/>
          <w:lang w:val="en-US"/>
        </w:rPr>
        <w:tab/>
        <w:t>5yrs</w:t>
      </w:r>
      <w:r w:rsidRPr="001B2623">
        <w:rPr>
          <w:sz w:val="22"/>
          <w:lang w:val="en-US"/>
        </w:rPr>
        <w:tab/>
        <w:t>26</w:t>
      </w:r>
      <w:r w:rsidRPr="001B2623">
        <w:rPr>
          <w:sz w:val="22"/>
          <w:lang w:val="en-US"/>
        </w:rPr>
        <w:tab/>
        <w:t>-</w:t>
      </w:r>
      <w:r w:rsidRPr="001B2623">
        <w:rPr>
          <w:sz w:val="22"/>
          <w:lang w:val="en-US"/>
        </w:rPr>
        <w:tab/>
        <w:t>38</w:t>
      </w:r>
      <w:r w:rsidRPr="001B2623">
        <w:rPr>
          <w:sz w:val="22"/>
          <w:lang w:val="en-US"/>
        </w:rPr>
        <w:tab/>
      </w:r>
      <w:r>
        <w:rPr>
          <w:sz w:val="22"/>
          <w:lang w:val="en-US"/>
        </w:rPr>
        <w:fldChar w:fldCharType="begin" w:fldLock="1"/>
      </w:r>
      <w:r w:rsidR="00C555D8">
        <w:rPr>
          <w:sz w:val="22"/>
          <w:lang w:val="en-US"/>
        </w:rPr>
        <w:instrText>ADDIN CSL_CITATION { "citationItems" : [ { "id" : "ITEM-1", "itemData" : { "DOI" : "10.1016/S1470-2045(18)30102-5", "ISSN" : "14745488", "PMID" : "29475724", "abstract" : "Background: Patients with follicular lymphoma have heterogeneous outcomes. Predictor models to distinguish, at diagnosis, between patients at high and low risk of progression are needed. The objective of this study was to use gene-expression profiling data to build and validate a predictive model of outcome for patients treated in the rituximab era. Methods: A training set of fresh-frozen tumour biopsies was prospectively obtained from 160 untreated patients with high-tumour-burden follicular lymphoma enrolled in the phase 3 randomised PRIMA trial, in which rituximab maintenance was evaluated after rituximab plus chemotherapy induction (median follow-up 6\u00b76 years [IQR 6\u00b70\u20137\u00b70]). RNA of sufficient quality was obtained for 149 of 160 cases, and Affymetrix U133 Plus 2.0 microarrays were used for gene-expression profiling. We did a multivariate Cox regression analysis to identify genes with expression levels associated with progression-free survival independently of maintenance treatment in a subgroup of 134 randomised patients. Expression levels from 95 curated genes were then determined by digital expression profiling (NanoString technology) in 53 formalin-fixed paraffin-embedded samples of the training set to compare the technical reproducibility of expression levels for each gene between technologies. Genes with high correlation (&gt;0\u00b775) were included in an L2-penalised Cox model adjusted on rituximab maintenance to build a predictive score for progression-free survival. The model was validated using NanoString technology to digitally quantify gene expression in 488 formalin-fixed, paraffin-embedded samples from three independent international patient cohorts from the PRIMA trial (n=178; distinct from the training cohort), the University of Iowa/Mayo Clinic Lymphoma SPORE project (n=201), and the Barcelona Hospital Clinic (n=109). All tissue samples consisted of pretreatment diagnostic biopsies and were confirmed as follicular lymphoma grade 1\u20133a. The patients were all treated with regimens containing rituximab and chemotherapy, possibly followed by either rituximab maintenance or ibritumomab\u2013tiuxetan consolidation. We determined an optimum threshold on the score to predict patients at low risk and high risk of progression. The model, including the multigene score and the threshold, was initially evaluated in the three validation cohorts separately. The sensitivity and specificity of the score for the prediction of the risk of lymphoma progression at 2 y\u2026", "author" : [ { "dropping-particle" : "", "family" : "Huet", "given" : "Sarah", "non-dropping-particle" : "", "parse-names" : false, "suffix" : "" }, { "dropping-particle" : "", "family" : "Tesson", "given" : "Bruno", "non-dropping-particle" : "", "parse-names" : false, "suffix" : "" }, { "dropping-particle" : "", "family" : "Jais", "given" : "Jean Philippe", "non-dropping-particle" : "", "parse-names" : false, "suffix" : "" }, { "dropping-particle" : "", "family" : "Feldman", "given" : "Andrew L.", "non-dropping-particle" : "", "parse-names" : false, "suffix" : "" }, { "dropping-particle" : "", "family" : "Magnano", "given" : "Laura", "non-dropping-particle" : "", "parse-names" : false, "suffix" : "" }, { "dropping-particle" : "", "family" : "Thomas", "given" : "Emilie", "non-dropping-particle" : "", "parse-names" : false, "suffix" : "" }, { "dropping-particle" : "", "family" : "Traverse-Glehen", "given" : "Alexandra", "non-dropping-particle" : "", "parse-names" : false, "suffix" : "" }, { "dropping-particle" : "", "family" : "Albaud", "given" : "Benoit", "non-dropping-particle" : "", "parse-names" : false, "suffix" : "" }, { "dropping-particle" : "", "family" : "Carr\u00e8re", "given" : "Marjorie", "non-dropping-particle" : "", "parse-names" : false, "suffix" : "" }, { "dropping-particle" : "", "family" : "Xerri", "given" : "Luc", "non-dropping-particle" : "", "parse-names" : false, "suffix" : "" }, { "dropping-particle" : "", "family" : "Ansell", "given" : "Stephen M.", "non-dropping-particle" : "", "parse-names" : false, "suffix" : "" }, { "dropping-particle" : "", "family" : "Baseggio", "given" : "Lucile", "non-dropping-particle" : "", "parse-names" : false, "suffix" : "" }, { "dropping-particle" : "", "family" : "Reyes", "given" : "C\u00e9cile", "non-dropping-particle" : "", "parse-names" : false, "suffix" : "" }, { "dropping-particle" : "", "family" : "Tarte", "given" : "Karin", "non-dropping-particle" : "", "parse-names" : false, "suffix" : "" }, { "dropping-particle" : "", "family" : "Boyault", "given" : "Sandrine", "non-dropping-particle" : "", "parse-names" : false, "suffix" : "" }, { "dropping-particle" : "", "family" : "Haioun", "given" : "Corinne", "non-dropping-particle" : "", "parse-names" : false, "suffix" : "" }, { "dropping-particle" : "", "family" : "Link", "given" : "Brian K.", "non-dropping-particle" : "", "parse-names" : false, "suffix" : "" }, { "dropping-particle" : "", "family" : "Feugier", "given" : "Pierre", "non-dropping-particle" : "", "parse-names" : false, "suffix" : "" }, { "dropping-particle" : "", "family" : "Lopez-Guillermo", "given" : "Armando", "non-dropping-particle" : "", "parse-names" : false, "suffix" : "" }, { "dropping-particle" : "", "family" : "Tilly", "given" : "Herv\u00e9", "non-dropping-particle" : "", "parse-names" : false, "suffix" : "" }, { "dropping-particle" : "", "family" : "Brice", "given" : "Pauline", "non-dropping-particle" : "", "parse-names" : false, "suffix" : "" }, { "dropping-particle" : "", "family" : "Hayette", "given" : "Sandrine", "non-dropping-particle" : "", "parse-names" : false, "suffix" : "" }, { "dropping-particle" : "", "family" : "Jardin", "given" : "Fabrice", "non-dropping-particle" : "", "parse-names" : false, "suffix" : "" }, { "dropping-particle" : "", "family" : "Offner", "given" : "Fritz", "non-dropping-particle" : "", "parse-names" : false, "suffix" : "" }, { "dropping-particle" : "", "family" : "Sujobert", "given" : "Pierre", "non-dropping-particle" : "", "parse-names" : false, "suffix" : "" }, { "dropping-particle" : "", "family" : "Gentien", "given" : "David", "non-dropping-particle" : "", "parse-names" : false, "suffix" : "" }, { "dropping-particle" : "", "family" : "Viari", "given" : "Alain", "non-dropping-particle" : "", "parse-names" : false, "suffix" : "" }, { "dropping-particle" : "", "family" : "Campo", "given" : "Elias", "non-dropping-particle" : "", "parse-names" : false, "suffix" : "" }, { "dropping-particle" : "", "family" : "Cerhan", "given" : "James R.", "non-dropping-particle" : "", "parse-names" : false, "suffix" : "" }, { "dropping-particle" : "", "family" : "Salles", "given" : "Gilles", "non-dropping-particle" : "", "parse-names" : false, "suffix" : "" } ], "container-title" : "The Lancet Oncology", "id" : "ITEM-1", "issue" : "4", "issued" : { "date-parts" : [ [ "2018" ] ] }, "page" : "549-561", "title" : "A gene-expression profiling score for prediction of outcome in patients with follicular lymphoma: a retrospective training and validation analysis in three international cohorts", "type" : "article-journal", "volume" : "19" }, "uris" : [ "http://www.mendeley.com/documents/?uuid=435a9d57-9c71-45fd-95b9-251857bc18eb" ] } ], "mendeley" : { "formattedCitation" : "(16)", "plainTextFormattedCitation" : "(16)", "previouslyFormattedCitation" : "(16)" }, "properties" : { "noteIndex" : 0 }, "schema" : "https://github.com/citation-style-language/schema/raw/master/csl-citation.json" }</w:instrText>
      </w:r>
      <w:r>
        <w:rPr>
          <w:sz w:val="22"/>
          <w:lang w:val="en-US"/>
        </w:rPr>
        <w:fldChar w:fldCharType="separate"/>
      </w:r>
      <w:r w:rsidR="00C555D8" w:rsidRPr="00C555D8">
        <w:rPr>
          <w:noProof/>
          <w:sz w:val="22"/>
          <w:lang w:val="en-US"/>
        </w:rPr>
        <w:t>(16)</w:t>
      </w:r>
      <w:r>
        <w:rPr>
          <w:sz w:val="22"/>
          <w:lang w:val="en-US"/>
        </w:rPr>
        <w:fldChar w:fldCharType="end"/>
      </w: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sz w:val="22"/>
          <w:lang w:val="en-US"/>
        </w:rPr>
      </w:pP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b/>
          <w:sz w:val="22"/>
          <w:lang w:val="en-US"/>
        </w:rPr>
      </w:pPr>
      <w:r w:rsidRPr="001B2623">
        <w:rPr>
          <w:b/>
          <w:sz w:val="22"/>
          <w:lang w:val="en-US"/>
        </w:rPr>
        <w:t>Post induction</w:t>
      </w: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sz w:val="22"/>
          <w:lang w:val="en-US"/>
        </w:rPr>
      </w:pPr>
      <w:r w:rsidRPr="001B2623">
        <w:rPr>
          <w:sz w:val="22"/>
          <w:lang w:val="en-US"/>
        </w:rPr>
        <w:t>EOI PET</w:t>
      </w:r>
      <w:r w:rsidRPr="001B2623">
        <w:rPr>
          <w:sz w:val="22"/>
          <w:lang w:val="en-US"/>
        </w:rPr>
        <w:tab/>
        <w:t>DS 4-5</w:t>
      </w:r>
      <w:r w:rsidRPr="001B2623">
        <w:rPr>
          <w:sz w:val="22"/>
          <w:lang w:val="en-US"/>
        </w:rPr>
        <w:tab/>
        <w:t>17</w:t>
      </w:r>
      <w:r w:rsidRPr="001B2623">
        <w:rPr>
          <w:sz w:val="22"/>
          <w:lang w:val="en-US"/>
        </w:rPr>
        <w:tab/>
        <w:t>4yrs</w:t>
      </w:r>
      <w:r w:rsidRPr="001B2623">
        <w:rPr>
          <w:sz w:val="22"/>
          <w:lang w:val="en-US"/>
        </w:rPr>
        <w:tab/>
        <w:t>23</w:t>
      </w:r>
      <w:r w:rsidRPr="001B2623">
        <w:rPr>
          <w:sz w:val="22"/>
          <w:lang w:val="en-US"/>
        </w:rPr>
        <w:tab/>
        <w:t>-</w:t>
      </w:r>
      <w:r w:rsidRPr="001B2623">
        <w:rPr>
          <w:sz w:val="22"/>
          <w:lang w:val="en-US"/>
        </w:rPr>
        <w:tab/>
        <w:t>87</w:t>
      </w:r>
      <w:r w:rsidRPr="001B2623">
        <w:rPr>
          <w:sz w:val="22"/>
          <w:lang w:val="en-US"/>
        </w:rPr>
        <w:tab/>
      </w:r>
      <w:r>
        <w:rPr>
          <w:sz w:val="22"/>
          <w:lang w:val="en-US"/>
        </w:rPr>
        <w:fldChar w:fldCharType="begin" w:fldLock="1"/>
      </w:r>
      <w:r w:rsidR="00C555D8">
        <w:rPr>
          <w:sz w:val="22"/>
          <w:lang w:val="en-US"/>
        </w:rPr>
        <w:instrText>ADDIN CSL_CITATION { "citationItems" : [ { "id" : "ITEM-1", "itemData" : { "DOI" : "10.1200/JCO.2011.35.0736", "ISBN" : "0732183X", "ISSN" : "0732183X", "PMID" : "21747087", "abstract" : "PURPOSE The utility of [(18)F]fluorodeoxyglucose (FDG) positron emission tomography-computed tomography (PET-CT) in assessing response at the end of induction therapy is well documented in Hodgkin's and diffuse large B-cell lymphomas, but its role in follicular lymphoma (FL) remains undetermined. We investigated the prognostic significance of PET-CT performed after first-line therapy in patients with FL treated in the prospective Primary Rituximab and Maintenance (PRIMA) study. PATIENTS AND METHODS Results of PET-CT scans performed after induction immunochemotherapy were recorded retrospectively. Patients went on to either observation or rituximab maintenance per protocol independent of the PET-CT result. Patient characteristics and outcomes were then evaluated. Results Of 122 PET-CT scans performed at the end of the induction immunochemotherapy, 32 (26%) were reported as positive by the local investigator. Initial demographic or disease characteristics did not differ between PET-CT-positive (PET-positive) and PET-CT-negative (PET-negative) patients. PET status correlated with conventional response criteria (P &lt; .001). Patients remaining PET positive had a significantly (P &lt; .001) inferior progression-free survival at 42 months of 32.9% (95% CI, 17.2% to 49.5%) compared with 70.7% (95% CI, 59.3% to 79.4%) in those who became PET negative. PET status, but not conventional response (complete response or complete response unconfirmed v partial response) according to IWC 1999, was an independent predictive factor for lymphoma progression. The risk of death was also increased in PET-positive patients (hazard ratio 7.0; P = .0011). CONCLUSION [(18)F]FDG PET-CT status at the end of immunochemotherapy induction in patients with FL is strongly predictive of outcome and should be considered a meaningful clinical end point in future studies.", "author" : [ { "dropping-particle" : "", "family" : "Trotman", "given" : "Judith", "non-dropping-particle" : "", "parse-names" : false, "suffix" : "" }, { "dropping-particle" : "", "family" : "Fournier", "given" : "Marion", "non-dropping-particle" : "", "parse-names" : false, "suffix" : "" }, { "dropping-particle" : "", "family" : "Lamy", "given" : "Thierry", "non-dropping-particle" : "", "parse-names" : false, "suffix" : "" }, { "dropping-particle" : "", "family" : "Seymour", "given" : "John Francis", "non-dropping-particle" : "", "parse-names" : false, "suffix" : "" }, { "dropping-particle" : "", "family" : "Sonet", "given" : "Anne", "non-dropping-particle" : "", "parse-names" : false, "suffix" : "" }, { "dropping-particle" : "", "family" : "Janikova", "given" : "Andrea", "non-dropping-particle" : "", "parse-names" : false, "suffix" : "" }, { "dropping-particle" : "", "family" : "Shpilberg", "given" : "Ofer", "non-dropping-particle" : "", "parse-names" : false, "suffix" : "" }, { "dropping-particle" : "", "family" : "Gyan", "given" : "Emmanuel", "non-dropping-particle" : "", "parse-names" : false, "suffix" : "" }, { "dropping-particle" : "", "family" : "Tilly", "given" : "Herv\u00e9", "non-dropping-particle" : "", "parse-names" : false, "suffix" : "" }, { "dropping-particle" : "", "family" : "Estell", "given" : "Jane", "non-dropping-particle" : "", "parse-names" : false, "suffix" : "" }, { "dropping-particle" : "", "family" : "Forsyth", "given" : "Cecily", "non-dropping-particle" : "", "parse-names" : false, "suffix" : "" }, { "dropping-particle" : "", "family" : "Decaudin", "given" : "Didier", "non-dropping-particle" : "", "parse-names" : false, "suffix" : "" }, { "dropping-particle" : "", "family" : "Fabiani", "given" : "Bettina", "non-dropping-particle" : "", "parse-names" : false, "suffix" : "" }, { "dropping-particle" : "", "family" : "Gabarre", "given" : "Jean", "non-dropping-particle" : "", "parse-names" : false, "suffix" : "" }, { "dropping-particle" : "", "family" : "Salles", "given" : "Bruno", "non-dropping-particle" : "", "parse-names" : false, "suffix" : "" }, { "dropping-particle" : "", "family" : "Neste", "given" : "Eric", "non-dropping-particle" : "Van Den", "parse-names" : false, "suffix" : "" }, { "dropping-particle" : "", "family" : "Canioni", "given" : "Danielle", "non-dropping-particle" : "", "parse-names" : false, "suffix" : "" }, { "dropping-particle" : "", "family" : "Garin", "given" : "Etienne", "non-dropping-particle" : "", "parse-names" : false, "suffix" : "" }, { "dropping-particle" : "", "family" : "Fulham", "given" : "Michael", "non-dropping-particle" : "", "parse-names" : false, "suffix" : "" }, { "dropping-particle" : "Vander", "family" : "Borght", "given" : "Thierry", "non-dropping-particle" : "", "parse-names" : false, "suffix" : "" }, { "dropping-particle" : "", "family" : "Salles", "given" : "Gilles", "non-dropping-particle" : "", "parse-names" : false, "suffix" : "" } ], "container-title" : "Journal of Clinical Oncology", "id" : "ITEM-1", "issue" : "23", "issued" : { "date-parts" : [ [ "2011" ] ] }, "page" : "3194-3200", "title" : "Positron emission tomography-computed tomography (PET-CT) after induction therapy is highly predictive of patient outcome in follicular lymphoma: Analysis of PET-CT in a subset of PRIMA trial participants", "type" : "article-journal", "volume" : "29" }, "uris" : [ "http://www.mendeley.com/documents/?uuid=c441acdd-cedf-4906-8d79-909a05cf3df5" ] } ], "mendeley" : { "formattedCitation" : "(19)", "plainTextFormattedCitation" : "(19)", "previouslyFormattedCitation" : "(19)" }, "properties" : { "noteIndex" : 0 }, "schema" : "https://github.com/citation-style-language/schema/raw/master/csl-citation.json" }</w:instrText>
      </w:r>
      <w:r>
        <w:rPr>
          <w:sz w:val="22"/>
          <w:lang w:val="en-US"/>
        </w:rPr>
        <w:fldChar w:fldCharType="separate"/>
      </w:r>
      <w:r w:rsidR="00C555D8" w:rsidRPr="00C555D8">
        <w:rPr>
          <w:noProof/>
          <w:sz w:val="22"/>
          <w:lang w:val="en-US"/>
        </w:rPr>
        <w:t>(19)</w:t>
      </w:r>
      <w:r>
        <w:rPr>
          <w:sz w:val="22"/>
          <w:lang w:val="en-US"/>
        </w:rPr>
        <w:fldChar w:fldCharType="end"/>
      </w: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sz w:val="22"/>
          <w:lang w:val="en-US"/>
        </w:rPr>
      </w:pPr>
      <w:r w:rsidRPr="001B2623">
        <w:rPr>
          <w:sz w:val="22"/>
          <w:lang w:val="en-US"/>
        </w:rPr>
        <w:t>MR t(14;18)</w:t>
      </w:r>
      <w:r w:rsidRPr="001B2623">
        <w:rPr>
          <w:sz w:val="22"/>
          <w:lang w:val="en-US"/>
        </w:rPr>
        <w:tab/>
        <w:t>&gt; 10e-4 DNA copies</w:t>
      </w:r>
      <w:r w:rsidRPr="001B2623">
        <w:rPr>
          <w:sz w:val="22"/>
          <w:lang w:val="en-US"/>
        </w:rPr>
        <w:tab/>
        <w:t>20-50</w:t>
      </w:r>
      <w:r w:rsidRPr="001B2623">
        <w:rPr>
          <w:sz w:val="22"/>
          <w:lang w:val="en-US"/>
        </w:rPr>
        <w:tab/>
        <w:t>3yrs</w:t>
      </w:r>
      <w:r w:rsidRPr="001B2623">
        <w:rPr>
          <w:sz w:val="22"/>
          <w:lang w:val="en-US"/>
        </w:rPr>
        <w:tab/>
        <w:t>41</w:t>
      </w:r>
      <w:r w:rsidRPr="001B2623">
        <w:rPr>
          <w:sz w:val="22"/>
          <w:lang w:val="en-US"/>
        </w:rPr>
        <w:tab/>
        <w:t>-</w:t>
      </w:r>
      <w:r w:rsidRPr="001B2623">
        <w:rPr>
          <w:sz w:val="22"/>
          <w:lang w:val="en-US"/>
        </w:rPr>
        <w:tab/>
        <w:t>-</w:t>
      </w:r>
      <w:r w:rsidRPr="001B2623">
        <w:rPr>
          <w:sz w:val="22"/>
          <w:lang w:val="en-US"/>
        </w:rPr>
        <w:tab/>
      </w:r>
      <w:r>
        <w:rPr>
          <w:sz w:val="22"/>
          <w:lang w:val="en-US"/>
        </w:rPr>
        <w:fldChar w:fldCharType="begin" w:fldLock="1"/>
      </w:r>
      <w:r w:rsidR="00C555D8">
        <w:rPr>
          <w:sz w:val="22"/>
          <w:lang w:val="en-US"/>
        </w:rPr>
        <w:instrText>ADDIN CSL_CITATION { "citationItems" : [ { "id" : "ITEM-1", "itemData" : { "DOI" : "10.1182/blood-2007-10-116749", "ISBN" : "00064971", "ISSN" : "00064971", "PMID" : "18239086", "abstract" : "In this randomized multicenter study of 136 patients, 6 courses of CHOP (cyclo-phosphamide/doxorubicin/vincristine/prednisone) followed by rituximab (CHOP-R) were compared with rituximab-supplemented high-dose sequential chemotherapy with autografting (R-HDS) to assess the value of intensified chemo-therapy as a first-line treatment for high-risk follicular lymphoma (FL) after the introduction of monoclonal antibodies. The analysis was intention to treat with event-free survival (EFS) as the primary endpoint. Complete remission (CR) was 62% with CHOP-R and 85% with R-HDS (P &lt; .001). At a median follow-up (MFU) of 51 months, the 4-year EFS was 28% and 61%, respectively (P &lt; .001), with no difference in overall survival (OS). Molecular remission (MR) was achieved in 44% of CHOP-R and 80% of R-HDS patients (P &lt; .001), and was the strongest independent outcome predictor. Patients relapsing after CHOP-R underwent salvage R-HDS in 71% of cases. Salvage R-HDS had an 85% CR rate and a 68% 3-year EFS (MFU, 30 months). We conclude that (1) achieving MR is critical for effective disease control, regardless of which treatment is used; (2) R-HDS ensures superior disease control and molecular outcome than CHOP-R, but no OS improvement; and (3) CHOP-R failures have a good outcome after salvage R-HDS, suggesting that relapsed/refractory FL could be the most appropriate setting for R-HDS-like treatments. This trial was registered at www.clinicaltrials.gov as no. NCT00435955.", "author" : [ { "dropping-particle" : "", "family" : "Ladetto", "given" : "Marco", "non-dropping-particle" : "", "parse-names" : false, "suffix" : "" }, { "dropping-particle" : "", "family" : "Marco", "given" : "Federica", "non-dropping-particle" : "De", "parse-names" : false, "suffix" : "" }, { "dropping-particle" : "", "family" : "Benedetti", "given" : "Fabio", "non-dropping-particle" : "", "parse-names" : false, "suffix" : "" }, { "dropping-particle" : "", "family" : "Vitolo", "given" : "Umberto", "non-dropping-particle" : "", "parse-names" : false, "suffix" : "" }, { "dropping-particle" : "", "family" : "Parti", "given" : "Caterina", "non-dropping-particle" : "", "parse-names" : false, "suffix" : "" }, { "dropping-particle" : "", "family" : "Rambaldi", "given" : "Alessandro", "non-dropping-particle" : "", "parse-names" : false, "suffix" : "" }, { "dropping-particle" : "", "family" : "Pulsoni", "given" : "Alessandro", "non-dropping-particle" : "", "parse-names" : false, "suffix" : "" }, { "dropping-particle" : "", "family" : "Musso", "given" : "Maurizio", "non-dropping-particle" : "", "parse-names" : false, "suffix" : "" }, { "dropping-particle" : "", "family" : "Liberati", "given" : "Anna M.", "non-dropping-particle" : "", "parse-names" : false, "suffix" : "" }, { "dropping-particle" : "", "family" : "Olivieri", "given" : "Attilio", "non-dropping-particle" : "", "parse-names" : false, "suffix" : "" }, { "dropping-particle" : "", "family" : "Gallamini", "given" : "Andrea", "non-dropping-particle" : "", "parse-names" : false, "suffix" : "" }, { "dropping-particle" : "", "family" : "Pogliani", "given" : "Enrico", "non-dropping-particle" : "", "parse-names" : false, "suffix" : "" }, { "dropping-particle" : "", "family" : "Scalabrini", "given" : "Delia Rota", "non-dropping-particle" : "", "parse-names" : false, "suffix" : "" }, { "dropping-particle" : "", "family" : "Callea", "given" : "Vincenzo", "non-dropping-particle" : "", "parse-names" : false, "suffix" : "" }, { "dropping-particle" : "Di", "family" : "Raimondo", "given" : "Francesco", "non-dropping-particle" : "", "parse-names" : false, "suffix" : "" }, { "dropping-particle" : "", "family" : "Pavone", "given" : "Vincenzo", "non-dropping-particle" : "", "parse-names" : false, "suffix" : "" }, { "dropping-particle" : "", "family" : "Tucci", "given" : "Alessandra", "non-dropping-particle" : "", "parse-names" : false, "suffix" : "" }, { "dropping-particle" : "", "family" : "Cortelazzo", "given" : "Sergio", "non-dropping-particle" : "", "parse-names" : false, "suffix" : "" }, { "dropping-particle" : "", "family" : "Levis", "given" : "Alessandro", "non-dropping-particle" : "", "parse-names" : false, "suffix" : "" }, { "dropping-particle" : "", "family" : "Boccadoro", "given" : "Mario", "non-dropping-particle" : "", "parse-names" : false, "suffix" : "" }, { "dropping-particle" : "", "family" : "Majolino", "given" : "Ignazio", "non-dropping-particle" : "", "parse-names" : false, "suffix" : "" }, { "dropping-particle" : "", "family" : "Pileri", "given" : "Alessandro", "non-dropping-particle" : "", "parse-names" : false, "suffix" : "" }, { "dropping-particle" : "", "family" : "Gianni", "given" : "Alessandro M.", "non-dropping-particle" : "", "parse-names" : false, "suffix" : "" }, { "dropping-particle" : "", "family" : "Passera", "given" : "Roberto", "non-dropping-particle" : "", "parse-names" : false, "suffix" : "" }, { "dropping-particle" : "", "family" : "Corradini", "given" : "Paolo", "non-dropping-particle" : "", "parse-names" : false, "suffix" : "" }, { "dropping-particle" : "", "family" : "Tarella", "given" : "Corrado", "non-dropping-particle" : "", "parse-names" : false, "suffix" : "" } ], "container-title" : "Blood", "id" : "ITEM-1", "issue" : "8", "issued" : { "date-parts" : [ [ "2008" ] ] }, "page" : "4004-4013", "title" : "Prospective, multicenter randomized GITMO/IIL trial comparing intensive (R-HDS) versus conventional (CHOP-R) chemoimmunotherapy in high-risk follicular lymphoma at diagnosis: The superior disease control of R-HDS does not translate into an overall surviva", "type" : "article-journal", "volume" : "111" }, "uris" : [ "http://www.mendeley.com/documents/?uuid=3804b3d0-2445-4acb-8b4f-01bc528cb227" ] } ], "mendeley" : { "formattedCitation" : "(25)", "plainTextFormattedCitation" : "(25)", "previouslyFormattedCitation" : "(25)" }, "properties" : { "noteIndex" : 0 }, "schema" : "https://github.com/citation-style-language/schema/raw/master/csl-citation.json" }</w:instrText>
      </w:r>
      <w:r>
        <w:rPr>
          <w:sz w:val="22"/>
          <w:lang w:val="en-US"/>
        </w:rPr>
        <w:fldChar w:fldCharType="separate"/>
      </w:r>
      <w:r w:rsidR="00C555D8" w:rsidRPr="00C555D8">
        <w:rPr>
          <w:noProof/>
          <w:sz w:val="22"/>
          <w:lang w:val="en-US"/>
        </w:rPr>
        <w:t>(25)</w:t>
      </w:r>
      <w:r>
        <w:rPr>
          <w:sz w:val="22"/>
          <w:lang w:val="en-US"/>
        </w:rPr>
        <w:fldChar w:fldCharType="end"/>
      </w: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sz w:val="22"/>
          <w:lang w:val="en-US"/>
        </w:rPr>
      </w:pPr>
      <w:r w:rsidRPr="001B2623">
        <w:rPr>
          <w:sz w:val="22"/>
          <w:lang w:val="en-US"/>
        </w:rPr>
        <w:tab/>
        <w:t>@12months</w:t>
      </w:r>
      <w:r w:rsidRPr="001B2623">
        <w:rPr>
          <w:sz w:val="22"/>
          <w:lang w:val="en-US"/>
        </w:rPr>
        <w:tab/>
      </w:r>
      <w:r w:rsidRPr="001B2623">
        <w:rPr>
          <w:sz w:val="22"/>
          <w:lang w:val="en-US"/>
        </w:rPr>
        <w:tab/>
      </w:r>
      <w:r w:rsidRPr="001B2623">
        <w:rPr>
          <w:sz w:val="22"/>
          <w:lang w:val="en-US"/>
        </w:rPr>
        <w:tab/>
      </w: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b/>
          <w:sz w:val="22"/>
          <w:lang w:val="en-US"/>
        </w:rPr>
      </w:pP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b/>
          <w:sz w:val="22"/>
          <w:lang w:val="en-US"/>
        </w:rPr>
      </w:pPr>
      <w:r w:rsidRPr="001B2623">
        <w:rPr>
          <w:b/>
          <w:sz w:val="22"/>
          <w:lang w:val="en-US"/>
        </w:rPr>
        <w:t>Combined models</w:t>
      </w: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sz w:val="22"/>
          <w:lang w:val="en-US"/>
        </w:rPr>
      </w:pPr>
      <w:r w:rsidRPr="001B2623">
        <w:rPr>
          <w:sz w:val="22"/>
          <w:lang w:val="en-US"/>
        </w:rPr>
        <w:t>TMTV + FLIPI2</w:t>
      </w:r>
      <w:r w:rsidRPr="001B2623">
        <w:rPr>
          <w:sz w:val="22"/>
          <w:lang w:val="en-US"/>
        </w:rPr>
        <w:tab/>
        <w:t xml:space="preserve">&gt;510cm3 and 3-5 RF </w:t>
      </w:r>
      <w:r w:rsidRPr="001B2623">
        <w:rPr>
          <w:sz w:val="22"/>
          <w:lang w:val="en-US"/>
        </w:rPr>
        <w:tab/>
      </w:r>
      <w:r>
        <w:rPr>
          <w:sz w:val="22"/>
          <w:lang w:val="en-US"/>
        </w:rPr>
        <w:t>14</w:t>
      </w:r>
      <w:r w:rsidRPr="001B2623">
        <w:rPr>
          <w:sz w:val="22"/>
          <w:lang w:val="en-US"/>
        </w:rPr>
        <w:tab/>
      </w:r>
      <w:r>
        <w:rPr>
          <w:sz w:val="22"/>
          <w:lang w:val="en-US"/>
        </w:rPr>
        <w:t>5yrs</w:t>
      </w:r>
      <w:r>
        <w:rPr>
          <w:sz w:val="22"/>
          <w:lang w:val="en-US"/>
        </w:rPr>
        <w:tab/>
        <w:t>46</w:t>
      </w:r>
      <w:r w:rsidRPr="001B2623">
        <w:rPr>
          <w:sz w:val="22"/>
          <w:lang w:val="en-US"/>
        </w:rPr>
        <w:tab/>
      </w:r>
      <w:r>
        <w:rPr>
          <w:sz w:val="22"/>
          <w:lang w:val="en-US"/>
        </w:rPr>
        <w:t>87</w:t>
      </w:r>
      <w:r w:rsidRPr="001B2623">
        <w:rPr>
          <w:sz w:val="22"/>
          <w:lang w:val="en-US"/>
        </w:rPr>
        <w:tab/>
      </w:r>
      <w:r w:rsidRPr="001B2623">
        <w:rPr>
          <w:sz w:val="22"/>
          <w:lang w:val="en-US"/>
        </w:rPr>
        <w:tab/>
      </w:r>
      <w:r>
        <w:rPr>
          <w:sz w:val="22"/>
          <w:lang w:val="en-US"/>
        </w:rPr>
        <w:fldChar w:fldCharType="begin" w:fldLock="1"/>
      </w:r>
      <w:r w:rsidR="00C555D8">
        <w:rPr>
          <w:sz w:val="22"/>
          <w:lang w:val="en-US"/>
        </w:rPr>
        <w:instrText>ADDIN CSL_CITATION { "citationItems" : [ { "id" : "ITEM-1", "itemData" : { "DOI" : "10.1200/JCO.2016.66.9440", "ISBN" : "1527-7755 (Electronic)\r0732-183X (Linking)", "ISSN" : "15277755", "PMID" : "27551111", "abstract" : "PURPOSE Identifying patients at high risk of progression and early death among those with high-tumor-burden follicular lymphoma (FL) is unsatisfactory with current prognostic models. This study aimed to determine the prognostic impact of the total metabolic tumor volume (TMTV) measured at baseline with [(18)F]fluorodeoxyglucose/positron emission tomography-computed tomography ([(18)F]FDG/PET-CT) scans and its added value to these models. PATIENTS AND METHODS A pooled analysis was performed by using patient data and centrally reviewed baseline PET-CT scans for 185 patients with FL who were receiving immunochemotherapy within three prospective trials. TMTV was computed by using the 41% maximum standardized uptake value thresholding method, and the optimal cutoff for survival prediction was determined. RESULTS Median age was 55 years, 92% of patients had stage III to IV disease, 37% had a Follicular Lymphoma International Prognostic Index (FLIPI) score of 3 to 5, and 31% had a FLIPI2 score of 3 to 5. With a median follow-up of 64 months, overall 5-year progression-free survival (PFS) was 55% and overall survival (OS) was 92%. Median TMTV was 297 cm(3) (quartile 1 through quartile 3, 135 to 567 cm(3)). The optimal cutoff identified was 510 cm(3), with a markedly inferior survival in the 29% of patients with TMTV &gt; 510 cm(3). Five-year PFS was 33% versus 65% (hazard ratio [HR], 2.90; P &lt; .001), and 5-year OS was 85% versus 95% (HR, 3.45; P = .010). On multivariable analysis, TMTV (HR, 2.3; P = .002) and FLIPI2 score (HR, 2.2; P = .002) were independent predictors of PFS. In combination, they identify three risk groups: high TMTV and intermediate-to-high FLIPI2 score with 5-year PFS of 20% (HR, 5.0; P &lt; .001), high TMTV or intermediate-to-high FLIPI2 score with 5-year PFS of 46% (HR, 2.1; P = .007), and low TMTV and low FLIP2 with 5-year PFS of 69%. CONCLUSION Baseline TMTV is a strong independent predictor of outcome in FL. In combination with FLIPI2 score, it identifies patients at high risk of early progression. It warrants further validation as a biomarker for development of first-line PET-adapted approaches in FL.", "author" : [ { "dropping-particle" : "", "family" : "Meignan", "given" : "Michel", "non-dropping-particle" : "", "parse-names" : false, "suffix" : "" }, { "dropping-particle" : "", "family" : "Cottereau", "given" : "Anne S\u00e9gol\u00e8ne", "non-dropping-particle" : "", "parse-names" : false, "suffix" : "" }, { "dropping-particle" : "", "family" : "Versari", "given" : "Annibale", "non-dropping-particle" : "", "parse-names" : false, "suffix" : "" }, { "dropping-particle" : "", "family" : "Chartier", "given" : "Lo\u00efc", "non-dropping-particle" : "", "parse-names" : false, "suffix" : "" }, { "dropping-particle" : "", "family" : "Dupuis", "given" : "Jehan", "non-dropping-particle" : "", "parse-names" : false, "suffix" : "" }, { "dropping-particle" : "", "family" : "Boussetta", "given" : "Sami", "non-dropping-particle" : "", "parse-names" : false, "suffix" : "" }, { "dropping-particle" : "", "family" : "Grassi", "given" : "Ilaria", "non-dropping-particle" : "", "parse-names" : false, "suffix" : "" }, { "dropping-particle" : "", "family" : "Casasnovas", "given" : "Ren\u00e9 Olivier", "non-dropping-particle" : "", "parse-names" : false, "suffix" : "" }, { "dropping-particle" : "", "family" : "Haioun", "given" : "Corinne", "non-dropping-particle" : "", "parse-names" : false, "suffix" : "" }, { "dropping-particle" : "", "family" : "Tilly", "given" : "Herv\u00e9", "non-dropping-particle" : "", "parse-names" : false, "suffix" : "" }, { "dropping-particle" : "", "family" : "Tarantino", "given" : "Vittoria", "non-dropping-particle" : "", "parse-names" : false, "suffix" : "" }, { "dropping-particle" : "", "family" : "Dubreuil", "given" : "Julien", "non-dropping-particle" : "", "parse-names" : false, "suffix" : "" }, { "dropping-particle" : "", "family" : "Federico", "given" : "Massimo", "non-dropping-particle" : "", "parse-names" : false, "suffix" : "" }, { "dropping-particle" : "", "family" : "Salles", "given" : "Gilles", "non-dropping-particle" : "", "parse-names" : false, "suffix" : "" }, { "dropping-particle" : "", "family" : "Luminari", "given" : "Stefano", "non-dropping-particle" : "", "parse-names" : false, "suffix" : "" }, { "dropping-particle" : "", "family" : "Trotman", "given" : "Judith", "non-dropping-particle" : "", "parse-names" : false, "suffix" : "" } ], "container-title" : "Journal of Clinical Oncology", "id" : "ITEM-1", "issue" : "30", "issued" : { "date-parts" : [ [ "2016" ] ] }, "page" : "3618-3626", "title" : "Baseline metabolic tumor volume predicts outcome in high-tumor-burden follicular lymphoma: A pooled analysis of three multicenter studies", "type" : "paper-conference", "volume" : "34" }, "uris" : [ "http://www.mendeley.com/documents/?uuid=e6f4f720-f6aa-4964-a222-2b45e6908d7d" ] } ], "mendeley" : { "formattedCitation" : "(13)", "plainTextFormattedCitation" : "(13)", "previouslyFormattedCitation" : "(13)" }, "properties" : { "noteIndex" : 0 }, "schema" : "https://github.com/citation-style-language/schema/raw/master/csl-citation.json" }</w:instrText>
      </w:r>
      <w:r>
        <w:rPr>
          <w:sz w:val="22"/>
          <w:lang w:val="en-US"/>
        </w:rPr>
        <w:fldChar w:fldCharType="separate"/>
      </w:r>
      <w:r w:rsidR="00C555D8" w:rsidRPr="00C555D8">
        <w:rPr>
          <w:noProof/>
          <w:sz w:val="22"/>
          <w:lang w:val="en-US"/>
        </w:rPr>
        <w:t>(13)</w:t>
      </w:r>
      <w:r>
        <w:rPr>
          <w:sz w:val="22"/>
          <w:lang w:val="en-US"/>
        </w:rPr>
        <w:fldChar w:fldCharType="end"/>
      </w: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sz w:val="22"/>
          <w:lang w:val="en-US"/>
        </w:rPr>
      </w:pP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sz w:val="22"/>
          <w:lang w:val="en-US"/>
        </w:rPr>
      </w:pPr>
      <w:r w:rsidRPr="001B2623">
        <w:rPr>
          <w:sz w:val="22"/>
          <w:lang w:val="en-US"/>
        </w:rPr>
        <w:t>FDG-PET + MR</w:t>
      </w:r>
      <w:r w:rsidRPr="001B2623">
        <w:rPr>
          <w:sz w:val="22"/>
          <w:lang w:val="en-US"/>
        </w:rPr>
        <w:tab/>
        <w:t xml:space="preserve">DS 4-5 or &gt; 10e-4 DNA </w:t>
      </w:r>
      <w:r w:rsidRPr="001B2623">
        <w:rPr>
          <w:sz w:val="22"/>
          <w:lang w:val="en-US"/>
        </w:rPr>
        <w:tab/>
        <w:t>32</w:t>
      </w:r>
      <w:r w:rsidRPr="001B2623">
        <w:rPr>
          <w:sz w:val="22"/>
          <w:lang w:val="en-US"/>
        </w:rPr>
        <w:tab/>
        <w:t>5yrs</w:t>
      </w:r>
      <w:r w:rsidRPr="001B2623">
        <w:rPr>
          <w:sz w:val="22"/>
          <w:lang w:val="en-US"/>
        </w:rPr>
        <w:tab/>
        <w:t>35</w:t>
      </w:r>
      <w:r w:rsidRPr="001B2623">
        <w:rPr>
          <w:sz w:val="22"/>
          <w:lang w:val="en-US"/>
        </w:rPr>
        <w:tab/>
        <w:t>-</w:t>
      </w:r>
      <w:r w:rsidRPr="001B2623">
        <w:rPr>
          <w:sz w:val="22"/>
          <w:lang w:val="en-US"/>
        </w:rPr>
        <w:tab/>
        <w:t>-</w:t>
      </w:r>
      <w:r w:rsidRPr="001B2623">
        <w:rPr>
          <w:sz w:val="22"/>
          <w:lang w:val="en-US"/>
        </w:rPr>
        <w:tab/>
      </w:r>
      <w:r>
        <w:rPr>
          <w:sz w:val="22"/>
          <w:lang w:val="en-US"/>
        </w:rPr>
        <w:fldChar w:fldCharType="begin" w:fldLock="1"/>
      </w:r>
      <w:r w:rsidR="0017693A">
        <w:rPr>
          <w:sz w:val="22"/>
          <w:lang w:val="en-US"/>
        </w:rPr>
        <w:instrText>ADDIN CSL_CITATION { "citationItems" : [ { "id" : "ITEM-1", "itemData" : { "DOI" : "10.3324/haematol.2015.132811", "ISSN" : "15928721", "PMID" : "26471485", "author" : [ { "dropping-particle" : "", "family" : "Luminari", "given" : "Stefano", "non-dropping-particle" : "", "parse-names" : false, "suffix" : "" }, { "dropping-particle" : "", "family" : "Galimberti", "given" : "Sara", "non-dropping-particle" : "", "parse-names" : false, "suffix" : "" }, { "dropping-particle" : "", "family" : "Versari", "given" : "Annibale", "non-dropping-particle" : "", "parse-names" : false, "suffix" : "" }, { "dropping-particle" : "", "family" : "Biasoli", "given" : "Irene", "non-dropping-particle" : "", "parse-names" : false, "suffix" : "" }, { "dropping-particle" : "", "family" : "Anastasia", "given" : "Antonella", "non-dropping-particle" : "", "parse-names" : false, "suffix" : "" }, { "dropping-particle" : "", "family" : "Rusconi", "given" : "Chiara", "non-dropping-particle" : "", "parse-names" : false, "suffix" : "" }, { "dropping-particle" : "", "family" : "Ferrari", "given" : "Angela", "non-dropping-particle" : "", "parse-names" : false, "suffix" : "" }, { "dropping-particle" : "", "family" : "Petrini", "given" : "Mario", "non-dropping-particle" : "", "parse-names" : false, "suffix" : "" }, { "dropping-particle" : "", "family" : "Manni", "given" : "Martina", "non-dropping-particle" : "", "parse-names" : false, "suffix" : "" }, { "dropping-particle" : "", "family" : "Federico", "given" : "Massimo", "non-dropping-particle" : "", "parse-names" : false, "suffix" : "" } ], "container-title" : "Haematologica", "id" : "ITEM-1", "issue" : "2", "issued" : { "date-parts" : [ [ "2016" ] ] }, "page" : "e66-e68", "title" : "Positron emission tomography response and minimal residual disease impact on progression-free survival in patients with follicular lymphoma. A subset analysis from the FOLL05 trial of the fondazione italiana linfomi", "type" : "article", "volume" : "101" }, "uris" : [ "http://www.mendeley.com/documents/?uuid=2174b128-51ea-4272-ac7b-78113f783d29" ] } ], "mendeley" : { "formattedCitation" : "(28)", "plainTextFormattedCitation" : "(28)", "previouslyFormattedCitation" : "(28)" }, "properties" : { "noteIndex" : 0 }, "schema" : "https://github.com/citation-style-language/schema/raw/master/csl-citation.json" }</w:instrText>
      </w:r>
      <w:r>
        <w:rPr>
          <w:sz w:val="22"/>
          <w:lang w:val="en-US"/>
        </w:rPr>
        <w:fldChar w:fldCharType="separate"/>
      </w:r>
      <w:r w:rsidR="00C555D8" w:rsidRPr="00C555D8">
        <w:rPr>
          <w:noProof/>
          <w:sz w:val="22"/>
          <w:lang w:val="en-US"/>
        </w:rPr>
        <w:t>(28)</w:t>
      </w:r>
      <w:r>
        <w:rPr>
          <w:sz w:val="22"/>
          <w:lang w:val="en-US"/>
        </w:rPr>
        <w:fldChar w:fldCharType="end"/>
      </w: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sz w:val="22"/>
          <w:lang w:val="en-US"/>
        </w:rPr>
      </w:pPr>
      <w:r w:rsidRPr="001B2623">
        <w:rPr>
          <w:sz w:val="22"/>
          <w:lang w:val="en-US"/>
        </w:rPr>
        <w:tab/>
        <w:t>Copies @12months</w:t>
      </w:r>
    </w:p>
    <w:p w:rsidR="00295834" w:rsidRPr="001B2623" w:rsidRDefault="00295834" w:rsidP="00841605">
      <w:pPr>
        <w:widowControl w:val="0"/>
        <w:pBdr>
          <w:bottom w:val="single" w:sz="4" w:space="1" w:color="auto"/>
        </w:pBdr>
        <w:tabs>
          <w:tab w:val="left" w:pos="1843"/>
          <w:tab w:val="left" w:pos="4253"/>
          <w:tab w:val="left" w:pos="5245"/>
          <w:tab w:val="left" w:pos="6096"/>
          <w:tab w:val="left" w:pos="7088"/>
          <w:tab w:val="left" w:pos="8080"/>
          <w:tab w:val="left" w:pos="9072"/>
        </w:tabs>
        <w:autoSpaceDE w:val="0"/>
        <w:autoSpaceDN w:val="0"/>
        <w:adjustRightInd w:val="0"/>
        <w:rPr>
          <w:sz w:val="22"/>
          <w:lang w:val="en-US"/>
        </w:rPr>
      </w:pPr>
      <w:r w:rsidRPr="001B2623">
        <w:rPr>
          <w:sz w:val="22"/>
          <w:lang w:val="en-US"/>
        </w:rPr>
        <w:t>TMTV + EOI PET</w:t>
      </w:r>
      <w:r w:rsidRPr="001B2623">
        <w:rPr>
          <w:sz w:val="22"/>
          <w:lang w:val="en-US"/>
        </w:rPr>
        <w:tab/>
        <w:t>&gt;510cm3 and DS4-5</w:t>
      </w:r>
      <w:r w:rsidRPr="001B2623">
        <w:rPr>
          <w:sz w:val="22"/>
          <w:lang w:val="en-US"/>
        </w:rPr>
        <w:tab/>
        <w:t>8</w:t>
      </w:r>
      <w:r w:rsidRPr="001B2623">
        <w:rPr>
          <w:sz w:val="22"/>
          <w:lang w:val="en-US"/>
        </w:rPr>
        <w:tab/>
        <w:t>5yrs</w:t>
      </w:r>
      <w:r w:rsidRPr="001B2623">
        <w:rPr>
          <w:sz w:val="22"/>
          <w:lang w:val="en-US"/>
        </w:rPr>
        <w:tab/>
        <w:t>23</w:t>
      </w:r>
      <w:r w:rsidRPr="001B2623">
        <w:rPr>
          <w:sz w:val="22"/>
          <w:lang w:val="en-US"/>
        </w:rPr>
        <w:tab/>
        <w:t>-</w:t>
      </w:r>
      <w:r w:rsidRPr="001B2623">
        <w:rPr>
          <w:sz w:val="22"/>
          <w:lang w:val="en-US"/>
        </w:rPr>
        <w:tab/>
        <w:t>39</w:t>
      </w:r>
      <w:r w:rsidRPr="001B2623">
        <w:rPr>
          <w:sz w:val="22"/>
          <w:lang w:val="en-US"/>
        </w:rPr>
        <w:tab/>
      </w:r>
      <w:r>
        <w:rPr>
          <w:sz w:val="22"/>
          <w:lang w:val="en-US"/>
        </w:rPr>
        <w:fldChar w:fldCharType="begin" w:fldLock="1"/>
      </w:r>
      <w:r w:rsidR="0017693A">
        <w:rPr>
          <w:sz w:val="22"/>
          <w:lang w:val="en-US"/>
        </w:rPr>
        <w:instrText>ADDIN CSL_CITATION { "citationItems" : [ { "id" : "ITEM-1", "itemData" : { "DOI" : "https://doi.org/10.1182/blood-2017-11-816298", "PMID" : "29559480", "abstract" : "Both total metabolic tumor volume (TMTV), computed on baseline PET, and end of induction PET (EOI PET) are imaging biomarkers showing promise for early risk stratification in patients with high tumor burden follicular lymphoma. A model was built incorporating these two factors in 159 patients from three prospective trials. Median follow up was 64 months. High TMTV (&gt;510cm3) and positive EOI PET were independent, significant risk factors for progression. Their combination stratified the population into three risk groups: patients with no risk factors (n = 102;64%) had a 5-year PFS of 67%, versus 33% (HR = 2.9 95%CI (1.8-4.9)) for patients with one (n = 44;27%) and only 23% (HR = 4.6 95%CI (2.3-9.2)) for patients with both risk factors (n = 13;8%); 2-year PFS was respectively 90% versus 61% (HR=4.8 95%CI(2.2-10.4)) and 46% (HR=8.1 95%CI(3.1-21.3)). This model enhances the prognostic value of PET staging and response assessment, identifying a subset of patients with a very high risk of progression and early treatment failure at 2 years.", "author" : [ { "dropping-particle" : "", "family" : "Cottereau, A. S., Versari, A., Luminari, S., Dupuis, J., Chartier, L., Casasnovas, R., Berriolo-Riedinger, A., Menga, M., Haioun, C., Tilly, H., Tarantino, V., Federico, M., Salles, G., Trotman, J., &amp; Meignan", "given" : "M.", "non-dropping-particle" : "", "parse-names" : false, "suffix" : "" } ], "container-title" : "Blood", "id" : "ITEM-1", "issued" : { "date-parts" : [ [ "2018" ] ] }, "title" : "Prognostic model for high tumor burden follicular lymphoma integrating baseline and end induction PET: a LYSA/FIL study.", "type" : "article-journal" }, "uris" : [ "http://www.mendeley.com/documents/?uuid=a53fb2db-b554-4a8b-9be9-5cb2ac43d482" ] } ], "mendeley" : { "formattedCitation" : "(29)", "plainTextFormattedCitation" : "(29)", "previouslyFormattedCitation" : "(29)" }, "properties" : { "noteIndex" : 0 }, "schema" : "https://github.com/citation-style-language/schema/raw/master/csl-citation.json" }</w:instrText>
      </w:r>
      <w:r>
        <w:rPr>
          <w:sz w:val="22"/>
          <w:lang w:val="en-US"/>
        </w:rPr>
        <w:fldChar w:fldCharType="separate"/>
      </w:r>
      <w:r w:rsidR="00C555D8" w:rsidRPr="00C555D8">
        <w:rPr>
          <w:noProof/>
          <w:sz w:val="22"/>
          <w:lang w:val="en-US"/>
        </w:rPr>
        <w:t>(29)</w:t>
      </w:r>
      <w:r>
        <w:rPr>
          <w:sz w:val="22"/>
          <w:lang w:val="en-US"/>
        </w:rPr>
        <w:fldChar w:fldCharType="end"/>
      </w: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sz w:val="22"/>
          <w:lang w:val="en-US"/>
        </w:rPr>
      </w:pPr>
    </w:p>
    <w:p w:rsidR="00295834" w:rsidRPr="001B2623" w:rsidRDefault="00295834" w:rsidP="00841605">
      <w:pPr>
        <w:widowControl w:val="0"/>
        <w:tabs>
          <w:tab w:val="left" w:pos="1843"/>
          <w:tab w:val="left" w:pos="4253"/>
          <w:tab w:val="left" w:pos="5245"/>
          <w:tab w:val="left" w:pos="6096"/>
          <w:tab w:val="left" w:pos="7088"/>
          <w:tab w:val="left" w:pos="8080"/>
          <w:tab w:val="left" w:pos="9072"/>
        </w:tabs>
        <w:autoSpaceDE w:val="0"/>
        <w:autoSpaceDN w:val="0"/>
        <w:adjustRightInd w:val="0"/>
        <w:rPr>
          <w:sz w:val="22"/>
          <w:lang w:val="en-US"/>
        </w:rPr>
      </w:pPr>
    </w:p>
    <w:p w:rsidR="00295834" w:rsidRPr="001B2623" w:rsidRDefault="00295834" w:rsidP="00F9444F">
      <w:pPr>
        <w:widowControl w:val="0"/>
        <w:tabs>
          <w:tab w:val="left" w:pos="1843"/>
          <w:tab w:val="left" w:pos="4253"/>
          <w:tab w:val="left" w:pos="5245"/>
          <w:tab w:val="left" w:pos="6096"/>
          <w:tab w:val="left" w:pos="7088"/>
          <w:tab w:val="left" w:pos="8080"/>
        </w:tabs>
        <w:autoSpaceDE w:val="0"/>
        <w:autoSpaceDN w:val="0"/>
        <w:adjustRightInd w:val="0"/>
        <w:rPr>
          <w:sz w:val="22"/>
          <w:lang w:val="en-US"/>
        </w:rPr>
      </w:pPr>
      <w:r w:rsidRPr="001B2623">
        <w:rPr>
          <w:sz w:val="22"/>
          <w:lang w:val="en-US"/>
        </w:rPr>
        <w:t>Legend to table: HR</w:t>
      </w:r>
      <w:r>
        <w:rPr>
          <w:sz w:val="22"/>
          <w:lang w:val="en-US"/>
        </w:rPr>
        <w:t>: High Risk; RF: risk factors;</w:t>
      </w:r>
      <w:r w:rsidRPr="001B2623">
        <w:rPr>
          <w:sz w:val="22"/>
          <w:lang w:val="en-US"/>
        </w:rPr>
        <w:t xml:space="preserve"> PFS: progression free survival; FFS: Failure free survival; OS: Overall survival; POD24: progression of disease within 24 months from treatment start;  FLIPI: follicular lymphoma international prognostic index; TMTV: total metabolic tumor volume; EOI PET: end of induction PET; MR: molecular response, DS: Deauville score</w:t>
      </w:r>
    </w:p>
    <w:p w:rsidR="00295834" w:rsidRDefault="00295834" w:rsidP="00F9444F">
      <w:pPr>
        <w:widowControl w:val="0"/>
        <w:tabs>
          <w:tab w:val="left" w:pos="1843"/>
          <w:tab w:val="left" w:pos="4253"/>
          <w:tab w:val="left" w:pos="5245"/>
          <w:tab w:val="left" w:pos="6096"/>
          <w:tab w:val="left" w:pos="7088"/>
          <w:tab w:val="left" w:pos="8080"/>
        </w:tabs>
        <w:autoSpaceDE w:val="0"/>
        <w:autoSpaceDN w:val="0"/>
        <w:adjustRightInd w:val="0"/>
        <w:rPr>
          <w:lang w:val="en-US"/>
        </w:rPr>
      </w:pPr>
    </w:p>
    <w:p w:rsidR="00753DF5" w:rsidRDefault="00753DF5" w:rsidP="00F9444F">
      <w:pPr>
        <w:widowControl w:val="0"/>
        <w:tabs>
          <w:tab w:val="left" w:pos="1843"/>
          <w:tab w:val="left" w:pos="4253"/>
          <w:tab w:val="left" w:pos="5245"/>
          <w:tab w:val="left" w:pos="6096"/>
          <w:tab w:val="left" w:pos="7088"/>
          <w:tab w:val="left" w:pos="8080"/>
        </w:tabs>
        <w:autoSpaceDE w:val="0"/>
        <w:autoSpaceDN w:val="0"/>
        <w:adjustRightInd w:val="0"/>
        <w:rPr>
          <w:lang w:val="en-US"/>
        </w:rPr>
      </w:pPr>
      <w:r>
        <w:rPr>
          <w:lang w:val="en-US"/>
        </w:rPr>
        <w:br w:type="page"/>
      </w:r>
      <w:r>
        <w:rPr>
          <w:lang w:val="en-US"/>
        </w:rPr>
        <w:lastRenderedPageBreak/>
        <w:t xml:space="preserve">Figure 1. Design of the FOLL12 response adapted trial for </w:t>
      </w:r>
      <w:proofErr w:type="spellStart"/>
      <w:r>
        <w:rPr>
          <w:lang w:val="en-US"/>
        </w:rPr>
        <w:t>patiemts</w:t>
      </w:r>
      <w:proofErr w:type="spellEnd"/>
      <w:r>
        <w:rPr>
          <w:lang w:val="en-US"/>
        </w:rPr>
        <w:t xml:space="preserve"> with stage II-IV </w:t>
      </w:r>
      <w:proofErr w:type="spellStart"/>
      <w:r>
        <w:rPr>
          <w:lang w:val="en-US"/>
        </w:rPr>
        <w:t>hight</w:t>
      </w:r>
      <w:proofErr w:type="spellEnd"/>
      <w:r>
        <w:rPr>
          <w:lang w:val="en-US"/>
        </w:rPr>
        <w:t xml:space="preserve"> </w:t>
      </w:r>
      <w:proofErr w:type="gramStart"/>
      <w:r>
        <w:rPr>
          <w:lang w:val="en-US"/>
        </w:rPr>
        <w:t>tumor  burden</w:t>
      </w:r>
      <w:proofErr w:type="gramEnd"/>
      <w:r>
        <w:rPr>
          <w:lang w:val="en-US"/>
        </w:rPr>
        <w:t xml:space="preserve"> Follicular lymphoma.</w:t>
      </w:r>
    </w:p>
    <w:p w:rsidR="00753DF5" w:rsidRDefault="00753DF5" w:rsidP="00F9444F">
      <w:pPr>
        <w:widowControl w:val="0"/>
        <w:tabs>
          <w:tab w:val="left" w:pos="1843"/>
          <w:tab w:val="left" w:pos="4253"/>
          <w:tab w:val="left" w:pos="5245"/>
          <w:tab w:val="left" w:pos="6096"/>
          <w:tab w:val="left" w:pos="7088"/>
          <w:tab w:val="left" w:pos="8080"/>
        </w:tabs>
        <w:autoSpaceDE w:val="0"/>
        <w:autoSpaceDN w:val="0"/>
        <w:adjustRightInd w:val="0"/>
        <w:rPr>
          <w:lang w:val="en-US"/>
        </w:rPr>
      </w:pPr>
    </w:p>
    <w:p w:rsidR="00753DF5" w:rsidRPr="00197819" w:rsidRDefault="00753DF5" w:rsidP="00F9444F">
      <w:pPr>
        <w:widowControl w:val="0"/>
        <w:tabs>
          <w:tab w:val="left" w:pos="1843"/>
          <w:tab w:val="left" w:pos="4253"/>
          <w:tab w:val="left" w:pos="5245"/>
          <w:tab w:val="left" w:pos="6096"/>
          <w:tab w:val="left" w:pos="7088"/>
          <w:tab w:val="left" w:pos="8080"/>
        </w:tabs>
        <w:autoSpaceDE w:val="0"/>
        <w:autoSpaceDN w:val="0"/>
        <w:adjustRightInd w:val="0"/>
        <w:rPr>
          <w:lang w:val="en-US"/>
        </w:rPr>
      </w:pPr>
      <w:r w:rsidRPr="00753DF5">
        <w:rPr>
          <w:noProof/>
          <w:lang w:val="en-US"/>
        </w:rPr>
        <w:drawing>
          <wp:inline distT="0" distB="0" distL="0" distR="0" wp14:anchorId="14149627" wp14:editId="5415F670">
            <wp:extent cx="6116320" cy="4587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16320" cy="4587240"/>
                    </a:xfrm>
                    <a:prstGeom prst="rect">
                      <a:avLst/>
                    </a:prstGeom>
                  </pic:spPr>
                </pic:pic>
              </a:graphicData>
            </a:graphic>
          </wp:inline>
        </w:drawing>
      </w:r>
    </w:p>
    <w:sectPr w:rsidR="00753DF5" w:rsidRPr="00197819" w:rsidSect="00B97C14">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5F9B" w:rsidRDefault="00F25F9B" w:rsidP="00FE21C7">
      <w:r>
        <w:separator/>
      </w:r>
    </w:p>
  </w:endnote>
  <w:endnote w:type="continuationSeparator" w:id="0">
    <w:p w:rsidR="00F25F9B" w:rsidRDefault="00F25F9B" w:rsidP="00FE2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haker2Lancet">
    <w:altName w:val="Cambria"/>
    <w:panose1 w:val="020B0604020202020204"/>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5F9B" w:rsidRDefault="00F25F9B" w:rsidP="00FE21C7">
      <w:r>
        <w:separator/>
      </w:r>
    </w:p>
  </w:footnote>
  <w:footnote w:type="continuationSeparator" w:id="0">
    <w:p w:rsidR="00F25F9B" w:rsidRDefault="00F25F9B" w:rsidP="00FE21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B31D95"/>
    <w:multiLevelType w:val="hybridMultilevel"/>
    <w:tmpl w:val="D90894A6"/>
    <w:lvl w:ilvl="0" w:tplc="A6A0F7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02C"/>
    <w:rsid w:val="000334E2"/>
    <w:rsid w:val="000370EE"/>
    <w:rsid w:val="00072AE8"/>
    <w:rsid w:val="0009252E"/>
    <w:rsid w:val="000B6614"/>
    <w:rsid w:val="000C35BE"/>
    <w:rsid w:val="000D2F4D"/>
    <w:rsid w:val="000D445E"/>
    <w:rsid w:val="000E07BE"/>
    <w:rsid w:val="001007E8"/>
    <w:rsid w:val="00150FCD"/>
    <w:rsid w:val="0017693A"/>
    <w:rsid w:val="001921FF"/>
    <w:rsid w:val="00193106"/>
    <w:rsid w:val="0019764B"/>
    <w:rsid w:val="00197677"/>
    <w:rsid w:val="00197819"/>
    <w:rsid w:val="001B2623"/>
    <w:rsid w:val="001D3B8C"/>
    <w:rsid w:val="001F365E"/>
    <w:rsid w:val="001F54AE"/>
    <w:rsid w:val="002526B1"/>
    <w:rsid w:val="0025576A"/>
    <w:rsid w:val="00295834"/>
    <w:rsid w:val="002973ED"/>
    <w:rsid w:val="002D6CC1"/>
    <w:rsid w:val="002D6D6D"/>
    <w:rsid w:val="00300102"/>
    <w:rsid w:val="003227CC"/>
    <w:rsid w:val="0032392C"/>
    <w:rsid w:val="00335A7D"/>
    <w:rsid w:val="00342FCD"/>
    <w:rsid w:val="00350D2C"/>
    <w:rsid w:val="003578AB"/>
    <w:rsid w:val="00371128"/>
    <w:rsid w:val="003B03AE"/>
    <w:rsid w:val="003B4F66"/>
    <w:rsid w:val="003B7512"/>
    <w:rsid w:val="003D6F65"/>
    <w:rsid w:val="003E059C"/>
    <w:rsid w:val="003F774F"/>
    <w:rsid w:val="004719C1"/>
    <w:rsid w:val="00490A8A"/>
    <w:rsid w:val="004B3358"/>
    <w:rsid w:val="004B7B56"/>
    <w:rsid w:val="004C302C"/>
    <w:rsid w:val="004D21CE"/>
    <w:rsid w:val="004F20AB"/>
    <w:rsid w:val="004F3EB7"/>
    <w:rsid w:val="005163D1"/>
    <w:rsid w:val="00527F51"/>
    <w:rsid w:val="00595F6E"/>
    <w:rsid w:val="005B4EF7"/>
    <w:rsid w:val="005D6FFC"/>
    <w:rsid w:val="00613235"/>
    <w:rsid w:val="0066535B"/>
    <w:rsid w:val="00676DA8"/>
    <w:rsid w:val="00683713"/>
    <w:rsid w:val="00693CBC"/>
    <w:rsid w:val="00696BAE"/>
    <w:rsid w:val="006A75B5"/>
    <w:rsid w:val="006F1E0D"/>
    <w:rsid w:val="00753DF5"/>
    <w:rsid w:val="007555DD"/>
    <w:rsid w:val="007A61E5"/>
    <w:rsid w:val="007C63F7"/>
    <w:rsid w:val="007D0D83"/>
    <w:rsid w:val="00807CBC"/>
    <w:rsid w:val="00816103"/>
    <w:rsid w:val="00827F38"/>
    <w:rsid w:val="0083115E"/>
    <w:rsid w:val="00841605"/>
    <w:rsid w:val="008470FC"/>
    <w:rsid w:val="00860BE4"/>
    <w:rsid w:val="008B65A9"/>
    <w:rsid w:val="008D77C6"/>
    <w:rsid w:val="00953815"/>
    <w:rsid w:val="00987AF8"/>
    <w:rsid w:val="009B0C60"/>
    <w:rsid w:val="00A27FCA"/>
    <w:rsid w:val="00A40260"/>
    <w:rsid w:val="00A50C31"/>
    <w:rsid w:val="00AA2B42"/>
    <w:rsid w:val="00AB34E4"/>
    <w:rsid w:val="00B62CCB"/>
    <w:rsid w:val="00B62EC1"/>
    <w:rsid w:val="00B74DD5"/>
    <w:rsid w:val="00B75A30"/>
    <w:rsid w:val="00B97C14"/>
    <w:rsid w:val="00BD2411"/>
    <w:rsid w:val="00C33859"/>
    <w:rsid w:val="00C555D8"/>
    <w:rsid w:val="00C56915"/>
    <w:rsid w:val="00C627E9"/>
    <w:rsid w:val="00C77C45"/>
    <w:rsid w:val="00C947FF"/>
    <w:rsid w:val="00CF549B"/>
    <w:rsid w:val="00D02DCE"/>
    <w:rsid w:val="00D877BA"/>
    <w:rsid w:val="00DA287F"/>
    <w:rsid w:val="00DA31A6"/>
    <w:rsid w:val="00DC7F20"/>
    <w:rsid w:val="00DD4FD4"/>
    <w:rsid w:val="00DD76B8"/>
    <w:rsid w:val="00DF04BD"/>
    <w:rsid w:val="00E11A02"/>
    <w:rsid w:val="00E36032"/>
    <w:rsid w:val="00EF00A6"/>
    <w:rsid w:val="00EF35B3"/>
    <w:rsid w:val="00EF386C"/>
    <w:rsid w:val="00F25F9B"/>
    <w:rsid w:val="00F33B39"/>
    <w:rsid w:val="00F55D19"/>
    <w:rsid w:val="00F83D48"/>
    <w:rsid w:val="00F9444F"/>
    <w:rsid w:val="00FE21C7"/>
    <w:rsid w:val="00FE2F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95DC367B-77C3-5947-9520-6015EB3BF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F20AB"/>
    <w:pPr>
      <w:spacing w:before="100" w:beforeAutospacing="1" w:after="100" w:afterAutospacing="1"/>
    </w:pPr>
    <w:rPr>
      <w:rFonts w:ascii="Times New Roman" w:eastAsia="Times New Roman" w:hAnsi="Times New Roman"/>
    </w:rPr>
  </w:style>
  <w:style w:type="paragraph" w:styleId="FootnoteText">
    <w:name w:val="footnote text"/>
    <w:basedOn w:val="Normal"/>
    <w:link w:val="FootnoteTextChar"/>
    <w:uiPriority w:val="99"/>
    <w:semiHidden/>
    <w:rsid w:val="00FE21C7"/>
    <w:rPr>
      <w:sz w:val="20"/>
      <w:szCs w:val="20"/>
    </w:rPr>
  </w:style>
  <w:style w:type="character" w:customStyle="1" w:styleId="FootnoteTextChar">
    <w:name w:val="Footnote Text Char"/>
    <w:basedOn w:val="DefaultParagraphFont"/>
    <w:link w:val="FootnoteText"/>
    <w:uiPriority w:val="99"/>
    <w:semiHidden/>
    <w:locked/>
    <w:rsid w:val="00FE21C7"/>
    <w:rPr>
      <w:sz w:val="20"/>
    </w:rPr>
  </w:style>
  <w:style w:type="character" w:styleId="FootnoteReference">
    <w:name w:val="footnote reference"/>
    <w:basedOn w:val="DefaultParagraphFont"/>
    <w:uiPriority w:val="99"/>
    <w:semiHidden/>
    <w:rsid w:val="00FE21C7"/>
    <w:rPr>
      <w:rFonts w:cs="Times New Roman"/>
      <w:vertAlign w:val="superscript"/>
    </w:rPr>
  </w:style>
  <w:style w:type="paragraph" w:styleId="EndnoteText">
    <w:name w:val="endnote text"/>
    <w:basedOn w:val="Normal"/>
    <w:link w:val="EndnoteTextChar"/>
    <w:uiPriority w:val="99"/>
    <w:semiHidden/>
    <w:rsid w:val="00FE21C7"/>
    <w:rPr>
      <w:sz w:val="20"/>
      <w:szCs w:val="20"/>
    </w:rPr>
  </w:style>
  <w:style w:type="character" w:customStyle="1" w:styleId="EndnoteTextChar">
    <w:name w:val="Endnote Text Char"/>
    <w:basedOn w:val="DefaultParagraphFont"/>
    <w:link w:val="EndnoteText"/>
    <w:uiPriority w:val="99"/>
    <w:semiHidden/>
    <w:locked/>
    <w:rsid w:val="00FE21C7"/>
    <w:rPr>
      <w:sz w:val="20"/>
    </w:rPr>
  </w:style>
  <w:style w:type="character" w:styleId="EndnoteReference">
    <w:name w:val="endnote reference"/>
    <w:basedOn w:val="DefaultParagraphFont"/>
    <w:uiPriority w:val="99"/>
    <w:semiHidden/>
    <w:rsid w:val="00FE21C7"/>
    <w:rPr>
      <w:rFonts w:cs="Times New Roman"/>
      <w:vertAlign w:val="superscript"/>
    </w:rPr>
  </w:style>
  <w:style w:type="character" w:styleId="Emphasis">
    <w:name w:val="Emphasis"/>
    <w:basedOn w:val="DefaultParagraphFont"/>
    <w:uiPriority w:val="99"/>
    <w:qFormat/>
    <w:rsid w:val="007A61E5"/>
    <w:rPr>
      <w:rFonts w:cs="Times New Roman"/>
      <w:i/>
    </w:rPr>
  </w:style>
  <w:style w:type="character" w:styleId="Hyperlink">
    <w:name w:val="Hyperlink"/>
    <w:basedOn w:val="DefaultParagraphFont"/>
    <w:uiPriority w:val="99"/>
    <w:semiHidden/>
    <w:rsid w:val="007A61E5"/>
    <w:rPr>
      <w:rFonts w:cs="Times New Roman"/>
      <w:color w:val="0000FF"/>
      <w:u w:val="single"/>
    </w:rPr>
  </w:style>
  <w:style w:type="character" w:customStyle="1" w:styleId="apple-converted-space">
    <w:name w:val="apple-converted-space"/>
    <w:uiPriority w:val="99"/>
    <w:rsid w:val="00A27FCA"/>
  </w:style>
  <w:style w:type="paragraph" w:styleId="ListParagraph">
    <w:name w:val="List Paragraph"/>
    <w:basedOn w:val="Normal"/>
    <w:uiPriority w:val="34"/>
    <w:qFormat/>
    <w:rsid w:val="00B62EC1"/>
    <w:pPr>
      <w:ind w:left="720"/>
      <w:contextualSpacing/>
    </w:pPr>
  </w:style>
  <w:style w:type="character" w:styleId="UnresolvedMention">
    <w:name w:val="Unresolved Mention"/>
    <w:basedOn w:val="DefaultParagraphFont"/>
    <w:uiPriority w:val="99"/>
    <w:semiHidden/>
    <w:unhideWhenUsed/>
    <w:rsid w:val="00B62E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189943">
      <w:marLeft w:val="0"/>
      <w:marRight w:val="0"/>
      <w:marTop w:val="0"/>
      <w:marBottom w:val="0"/>
      <w:divBdr>
        <w:top w:val="none" w:sz="0" w:space="0" w:color="auto"/>
        <w:left w:val="none" w:sz="0" w:space="0" w:color="auto"/>
        <w:bottom w:val="none" w:sz="0" w:space="0" w:color="auto"/>
        <w:right w:val="none" w:sz="0" w:space="0" w:color="auto"/>
      </w:divBdr>
    </w:div>
    <w:div w:id="570189944">
      <w:marLeft w:val="0"/>
      <w:marRight w:val="0"/>
      <w:marTop w:val="0"/>
      <w:marBottom w:val="0"/>
      <w:divBdr>
        <w:top w:val="none" w:sz="0" w:space="0" w:color="auto"/>
        <w:left w:val="none" w:sz="0" w:space="0" w:color="auto"/>
        <w:bottom w:val="none" w:sz="0" w:space="0" w:color="auto"/>
        <w:right w:val="none" w:sz="0" w:space="0" w:color="auto"/>
      </w:divBdr>
    </w:div>
    <w:div w:id="570189945">
      <w:marLeft w:val="0"/>
      <w:marRight w:val="0"/>
      <w:marTop w:val="0"/>
      <w:marBottom w:val="0"/>
      <w:divBdr>
        <w:top w:val="none" w:sz="0" w:space="0" w:color="auto"/>
        <w:left w:val="none" w:sz="0" w:space="0" w:color="auto"/>
        <w:bottom w:val="none" w:sz="0" w:space="0" w:color="auto"/>
        <w:right w:val="none" w:sz="0" w:space="0" w:color="auto"/>
      </w:divBdr>
    </w:div>
    <w:div w:id="570189946">
      <w:marLeft w:val="0"/>
      <w:marRight w:val="0"/>
      <w:marTop w:val="0"/>
      <w:marBottom w:val="0"/>
      <w:divBdr>
        <w:top w:val="none" w:sz="0" w:space="0" w:color="auto"/>
        <w:left w:val="none" w:sz="0" w:space="0" w:color="auto"/>
        <w:bottom w:val="none" w:sz="0" w:space="0" w:color="auto"/>
        <w:right w:val="none" w:sz="0" w:space="0" w:color="auto"/>
      </w:divBdr>
    </w:div>
    <w:div w:id="570189948">
      <w:marLeft w:val="0"/>
      <w:marRight w:val="0"/>
      <w:marTop w:val="0"/>
      <w:marBottom w:val="0"/>
      <w:divBdr>
        <w:top w:val="none" w:sz="0" w:space="0" w:color="auto"/>
        <w:left w:val="none" w:sz="0" w:space="0" w:color="auto"/>
        <w:bottom w:val="none" w:sz="0" w:space="0" w:color="auto"/>
        <w:right w:val="none" w:sz="0" w:space="0" w:color="auto"/>
      </w:divBdr>
    </w:div>
    <w:div w:id="570189950">
      <w:marLeft w:val="0"/>
      <w:marRight w:val="0"/>
      <w:marTop w:val="0"/>
      <w:marBottom w:val="0"/>
      <w:divBdr>
        <w:top w:val="none" w:sz="0" w:space="0" w:color="auto"/>
        <w:left w:val="none" w:sz="0" w:space="0" w:color="auto"/>
        <w:bottom w:val="none" w:sz="0" w:space="0" w:color="auto"/>
        <w:right w:val="none" w:sz="0" w:space="0" w:color="auto"/>
      </w:divBdr>
      <w:divsChild>
        <w:div w:id="570189961">
          <w:marLeft w:val="0"/>
          <w:marRight w:val="0"/>
          <w:marTop w:val="0"/>
          <w:marBottom w:val="0"/>
          <w:divBdr>
            <w:top w:val="none" w:sz="0" w:space="0" w:color="auto"/>
            <w:left w:val="none" w:sz="0" w:space="0" w:color="auto"/>
            <w:bottom w:val="none" w:sz="0" w:space="0" w:color="auto"/>
            <w:right w:val="none" w:sz="0" w:space="0" w:color="auto"/>
          </w:divBdr>
          <w:divsChild>
            <w:div w:id="570189957">
              <w:marLeft w:val="0"/>
              <w:marRight w:val="0"/>
              <w:marTop w:val="0"/>
              <w:marBottom w:val="0"/>
              <w:divBdr>
                <w:top w:val="none" w:sz="0" w:space="0" w:color="auto"/>
                <w:left w:val="none" w:sz="0" w:space="0" w:color="auto"/>
                <w:bottom w:val="none" w:sz="0" w:space="0" w:color="auto"/>
                <w:right w:val="none" w:sz="0" w:space="0" w:color="auto"/>
              </w:divBdr>
              <w:divsChild>
                <w:div w:id="570189953">
                  <w:marLeft w:val="0"/>
                  <w:marRight w:val="0"/>
                  <w:marTop w:val="0"/>
                  <w:marBottom w:val="0"/>
                  <w:divBdr>
                    <w:top w:val="none" w:sz="0" w:space="0" w:color="auto"/>
                    <w:left w:val="none" w:sz="0" w:space="0" w:color="auto"/>
                    <w:bottom w:val="none" w:sz="0" w:space="0" w:color="auto"/>
                    <w:right w:val="none" w:sz="0" w:space="0" w:color="auto"/>
                  </w:divBdr>
                  <w:divsChild>
                    <w:div w:id="57018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189954">
      <w:marLeft w:val="0"/>
      <w:marRight w:val="0"/>
      <w:marTop w:val="0"/>
      <w:marBottom w:val="0"/>
      <w:divBdr>
        <w:top w:val="none" w:sz="0" w:space="0" w:color="auto"/>
        <w:left w:val="none" w:sz="0" w:space="0" w:color="auto"/>
        <w:bottom w:val="none" w:sz="0" w:space="0" w:color="auto"/>
        <w:right w:val="none" w:sz="0" w:space="0" w:color="auto"/>
      </w:divBdr>
    </w:div>
    <w:div w:id="570189955">
      <w:marLeft w:val="0"/>
      <w:marRight w:val="0"/>
      <w:marTop w:val="0"/>
      <w:marBottom w:val="0"/>
      <w:divBdr>
        <w:top w:val="none" w:sz="0" w:space="0" w:color="auto"/>
        <w:left w:val="none" w:sz="0" w:space="0" w:color="auto"/>
        <w:bottom w:val="none" w:sz="0" w:space="0" w:color="auto"/>
        <w:right w:val="none" w:sz="0" w:space="0" w:color="auto"/>
      </w:divBdr>
    </w:div>
    <w:div w:id="570189958">
      <w:marLeft w:val="0"/>
      <w:marRight w:val="0"/>
      <w:marTop w:val="0"/>
      <w:marBottom w:val="0"/>
      <w:divBdr>
        <w:top w:val="none" w:sz="0" w:space="0" w:color="auto"/>
        <w:left w:val="none" w:sz="0" w:space="0" w:color="auto"/>
        <w:bottom w:val="none" w:sz="0" w:space="0" w:color="auto"/>
        <w:right w:val="none" w:sz="0" w:space="0" w:color="auto"/>
      </w:divBdr>
    </w:div>
    <w:div w:id="570189959">
      <w:marLeft w:val="0"/>
      <w:marRight w:val="0"/>
      <w:marTop w:val="0"/>
      <w:marBottom w:val="0"/>
      <w:divBdr>
        <w:top w:val="none" w:sz="0" w:space="0" w:color="auto"/>
        <w:left w:val="none" w:sz="0" w:space="0" w:color="auto"/>
        <w:bottom w:val="none" w:sz="0" w:space="0" w:color="auto"/>
        <w:right w:val="none" w:sz="0" w:space="0" w:color="auto"/>
      </w:divBdr>
      <w:divsChild>
        <w:div w:id="570189956">
          <w:marLeft w:val="0"/>
          <w:marRight w:val="0"/>
          <w:marTop w:val="0"/>
          <w:marBottom w:val="0"/>
          <w:divBdr>
            <w:top w:val="none" w:sz="0" w:space="0" w:color="auto"/>
            <w:left w:val="none" w:sz="0" w:space="0" w:color="auto"/>
            <w:bottom w:val="none" w:sz="0" w:space="0" w:color="auto"/>
            <w:right w:val="none" w:sz="0" w:space="0" w:color="auto"/>
          </w:divBdr>
          <w:divsChild>
            <w:div w:id="570189952">
              <w:marLeft w:val="0"/>
              <w:marRight w:val="0"/>
              <w:marTop w:val="0"/>
              <w:marBottom w:val="0"/>
              <w:divBdr>
                <w:top w:val="none" w:sz="0" w:space="0" w:color="auto"/>
                <w:left w:val="none" w:sz="0" w:space="0" w:color="auto"/>
                <w:bottom w:val="none" w:sz="0" w:space="0" w:color="auto"/>
                <w:right w:val="none" w:sz="0" w:space="0" w:color="auto"/>
              </w:divBdr>
              <w:divsChild>
                <w:div w:id="570189947">
                  <w:marLeft w:val="0"/>
                  <w:marRight w:val="0"/>
                  <w:marTop w:val="0"/>
                  <w:marBottom w:val="0"/>
                  <w:divBdr>
                    <w:top w:val="none" w:sz="0" w:space="0" w:color="auto"/>
                    <w:left w:val="none" w:sz="0" w:space="0" w:color="auto"/>
                    <w:bottom w:val="none" w:sz="0" w:space="0" w:color="auto"/>
                    <w:right w:val="none" w:sz="0" w:space="0" w:color="auto"/>
                  </w:divBdr>
                  <w:divsChild>
                    <w:div w:id="57018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189960">
      <w:marLeft w:val="0"/>
      <w:marRight w:val="0"/>
      <w:marTop w:val="0"/>
      <w:marBottom w:val="0"/>
      <w:divBdr>
        <w:top w:val="none" w:sz="0" w:space="0" w:color="auto"/>
        <w:left w:val="none" w:sz="0" w:space="0" w:color="auto"/>
        <w:bottom w:val="none" w:sz="0" w:space="0" w:color="auto"/>
        <w:right w:val="none" w:sz="0" w:space="0" w:color="auto"/>
      </w:divBdr>
    </w:div>
    <w:div w:id="882135734">
      <w:bodyDiv w:val="1"/>
      <w:marLeft w:val="0"/>
      <w:marRight w:val="0"/>
      <w:marTop w:val="0"/>
      <w:marBottom w:val="0"/>
      <w:divBdr>
        <w:top w:val="none" w:sz="0" w:space="0" w:color="auto"/>
        <w:left w:val="none" w:sz="0" w:space="0" w:color="auto"/>
        <w:bottom w:val="none" w:sz="0" w:space="0" w:color="auto"/>
        <w:right w:val="none" w:sz="0" w:space="0" w:color="auto"/>
      </w:divBdr>
    </w:div>
    <w:div w:id="97479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cesco.merli@ausl.re.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59146-CB1A-CC44-A03C-A500C2348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51165</Words>
  <Characters>291646</Characters>
  <Application>Microsoft Office Word</Application>
  <DocSecurity>0</DocSecurity>
  <Lines>2430</Lines>
  <Paragraphs>684</Paragraphs>
  <ScaleCrop>false</ScaleCrop>
  <HeadingPairs>
    <vt:vector size="2" baseType="variant">
      <vt:variant>
        <vt:lpstr>Title</vt:lpstr>
      </vt:variant>
      <vt:variant>
        <vt:i4>1</vt:i4>
      </vt:variant>
    </vt:vector>
  </HeadingPairs>
  <TitlesOfParts>
    <vt:vector size="1" baseType="lpstr">
      <vt:lpstr>Title: High Risk Follicular Lymphoma patients: how to identify and how to treat</vt:lpstr>
    </vt:vector>
  </TitlesOfParts>
  <Company/>
  <LinksUpToDate>false</LinksUpToDate>
  <CharactersWithSpaces>342127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High Risk Follicular Lymphoma patients: how to identify and how to treat</dc:title>
  <dc:subject/>
  <dc:creator>stefano luminari</dc:creator>
  <cp:keywords/>
  <dc:description/>
  <cp:lastModifiedBy>stefano luminari</cp:lastModifiedBy>
  <cp:revision>2</cp:revision>
  <dcterms:created xsi:type="dcterms:W3CDTF">2020-03-12T15:50:00Z</dcterms:created>
  <dcterms:modified xsi:type="dcterms:W3CDTF">2020-03-12T15:50:00Z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a0946383-abf6-37c4-ba10-f1280b3ac24e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