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58" w:rsidRPr="00466258" w:rsidRDefault="001A7BFF" w:rsidP="00466258">
      <w:pPr>
        <w:pStyle w:val="Titol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66258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082923" w:rsidRPr="00466258">
        <w:rPr>
          <w:rFonts w:ascii="Times New Roman" w:hAnsi="Times New Roman" w:cs="Times New Roman"/>
          <w:sz w:val="24"/>
          <w:szCs w:val="24"/>
        </w:rPr>
        <w:t xml:space="preserve"> per</w:t>
      </w:r>
      <w:r w:rsidRPr="00466258">
        <w:rPr>
          <w:rFonts w:ascii="Times New Roman" w:hAnsi="Times New Roman" w:cs="Times New Roman"/>
          <w:sz w:val="24"/>
          <w:szCs w:val="24"/>
        </w:rPr>
        <w:t xml:space="preserve"> </w:t>
      </w:r>
      <w:r w:rsidR="00466258">
        <w:rPr>
          <w:rFonts w:ascii="Times New Roman" w:hAnsi="Times New Roman" w:cs="Times New Roman"/>
          <w:sz w:val="24"/>
          <w:szCs w:val="24"/>
        </w:rPr>
        <w:t>il convegno</w:t>
      </w:r>
      <w:r w:rsidR="00466258">
        <w:rPr>
          <w:rFonts w:ascii="Times New Roman" w:hAnsi="Times New Roman" w:cs="Times New Roman"/>
          <w:sz w:val="24"/>
          <w:szCs w:val="24"/>
        </w:rPr>
        <w:br/>
      </w:r>
      <w:r w:rsidR="00466258" w:rsidRPr="00466258">
        <w:rPr>
          <w:rFonts w:ascii="Times New Roman" w:hAnsi="Times New Roman" w:cs="Times New Roman"/>
          <w:b/>
          <w:bCs/>
          <w:sz w:val="24"/>
          <w:szCs w:val="24"/>
        </w:rPr>
        <w:t>IL PENSIERO CRITICO ITALIANO</w:t>
      </w:r>
    </w:p>
    <w:p w:rsidR="00466258" w:rsidRPr="00466258" w:rsidRDefault="00466258" w:rsidP="00466258">
      <w:pPr>
        <w:pStyle w:val="Titolo"/>
        <w:jc w:val="center"/>
        <w:rPr>
          <w:rFonts w:ascii="Times New Roman" w:hAnsi="Times New Roman" w:cs="Times New Roman"/>
          <w:sz w:val="24"/>
          <w:szCs w:val="24"/>
        </w:rPr>
      </w:pPr>
      <w:r w:rsidRPr="00466258">
        <w:rPr>
          <w:rFonts w:ascii="Times New Roman" w:hAnsi="Times New Roman" w:cs="Times New Roman"/>
          <w:b/>
          <w:bCs/>
          <w:sz w:val="24"/>
          <w:szCs w:val="24"/>
        </w:rPr>
        <w:t>Scrivere di cinema dal dopoguerra al web</w:t>
      </w:r>
    </w:p>
    <w:p w:rsidR="00466258" w:rsidRPr="00466258" w:rsidRDefault="00466258" w:rsidP="004C3969">
      <w:pPr>
        <w:pStyle w:val="Titolo"/>
        <w:rPr>
          <w:rFonts w:ascii="Times New Roman" w:hAnsi="Times New Roman" w:cs="Times New Roman"/>
          <w:sz w:val="24"/>
          <w:szCs w:val="24"/>
        </w:rPr>
      </w:pPr>
    </w:p>
    <w:p w:rsidR="00466258" w:rsidRPr="00466258" w:rsidRDefault="00466258" w:rsidP="004C3969">
      <w:pPr>
        <w:pStyle w:val="Titolo"/>
        <w:rPr>
          <w:rFonts w:ascii="Times New Roman" w:hAnsi="Times New Roman" w:cs="Times New Roman"/>
          <w:sz w:val="24"/>
          <w:szCs w:val="24"/>
        </w:rPr>
      </w:pPr>
    </w:p>
    <w:p w:rsidR="001A7BFF" w:rsidRPr="002578EF" w:rsidRDefault="00466258" w:rsidP="002578EF">
      <w:pPr>
        <w:pStyle w:val="NormaleWeb"/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 xml:space="preserve">Nicola </w:t>
      </w:r>
      <w:proofErr w:type="spellStart"/>
      <w:r>
        <w:rPr>
          <w:b/>
          <w:color w:val="222222"/>
        </w:rPr>
        <w:t>Dusi</w:t>
      </w:r>
      <w:proofErr w:type="spellEnd"/>
    </w:p>
    <w:p w:rsidR="00D8669B" w:rsidRPr="002578EF" w:rsidRDefault="00466258" w:rsidP="002578EF">
      <w:pPr>
        <w:pStyle w:val="NormaleWeb"/>
        <w:shd w:val="clear" w:color="auto" w:fill="FFFFFF"/>
        <w:ind w:left="720"/>
        <w:jc w:val="center"/>
        <w:rPr>
          <w:i/>
          <w:color w:val="222222"/>
        </w:rPr>
      </w:pPr>
      <w:r>
        <w:rPr>
          <w:i/>
          <w:color w:val="222222"/>
        </w:rPr>
        <w:t xml:space="preserve">Teoria e </w:t>
      </w:r>
      <w:r w:rsidR="00CE4FB9" w:rsidRPr="002578EF">
        <w:rPr>
          <w:i/>
          <w:color w:val="222222"/>
        </w:rPr>
        <w:t>pratic</w:t>
      </w:r>
      <w:r>
        <w:rPr>
          <w:i/>
          <w:color w:val="222222"/>
        </w:rPr>
        <w:t>a del</w:t>
      </w:r>
      <w:r w:rsidR="00CE4FB9" w:rsidRPr="002578EF">
        <w:rPr>
          <w:i/>
          <w:color w:val="222222"/>
        </w:rPr>
        <w:t xml:space="preserve"> video </w:t>
      </w:r>
      <w:proofErr w:type="spellStart"/>
      <w:r w:rsidR="00CE4FB9" w:rsidRPr="002578EF">
        <w:rPr>
          <w:i/>
          <w:color w:val="222222"/>
        </w:rPr>
        <w:t>essay</w:t>
      </w:r>
      <w:proofErr w:type="spellEnd"/>
      <w:r>
        <w:rPr>
          <w:i/>
          <w:color w:val="222222"/>
        </w:rPr>
        <w:t xml:space="preserve"> tra cinema e televisione </w:t>
      </w:r>
    </w:p>
    <w:p w:rsidR="00CE4FB9" w:rsidRDefault="00CE4FB9" w:rsidP="001A7BFF">
      <w:pPr>
        <w:pStyle w:val="NormaleWeb"/>
        <w:shd w:val="clear" w:color="auto" w:fill="FFFFFF"/>
        <w:jc w:val="both"/>
        <w:rPr>
          <w:i/>
          <w:color w:val="222222"/>
          <w:u w:val="single"/>
        </w:rPr>
      </w:pPr>
    </w:p>
    <w:p w:rsidR="00466258" w:rsidRPr="00302437" w:rsidRDefault="00466258" w:rsidP="001A7BFF">
      <w:pPr>
        <w:pStyle w:val="NormaleWeb"/>
        <w:shd w:val="clear" w:color="auto" w:fill="FFFFFF"/>
        <w:jc w:val="both"/>
        <w:rPr>
          <w:color w:val="222222"/>
        </w:rPr>
      </w:pPr>
      <w:r w:rsidRPr="00302437">
        <w:rPr>
          <w:bCs/>
          <w:color w:val="222222"/>
        </w:rPr>
        <w:t xml:space="preserve">Le pratiche di critica emergenti nel Web 2.0 sono legate anche ai </w:t>
      </w:r>
      <w:r w:rsidRPr="00302437">
        <w:rPr>
          <w:i/>
          <w:color w:val="222222"/>
        </w:rPr>
        <w:t xml:space="preserve">video </w:t>
      </w:r>
      <w:proofErr w:type="spellStart"/>
      <w:r w:rsidRPr="00302437">
        <w:rPr>
          <w:i/>
          <w:color w:val="222222"/>
        </w:rPr>
        <w:t>essays</w:t>
      </w:r>
      <w:proofErr w:type="spellEnd"/>
      <w:r w:rsidRPr="00302437">
        <w:rPr>
          <w:color w:val="222222"/>
        </w:rPr>
        <w:t xml:space="preserve">, prodotti </w:t>
      </w:r>
      <w:proofErr w:type="spellStart"/>
      <w:r w:rsidRPr="00302437">
        <w:rPr>
          <w:color w:val="222222"/>
        </w:rPr>
        <w:t>postmediali</w:t>
      </w:r>
      <w:proofErr w:type="spellEnd"/>
      <w:r w:rsidRPr="00302437">
        <w:rPr>
          <w:color w:val="222222"/>
        </w:rPr>
        <w:t xml:space="preserve"> (</w:t>
      </w:r>
      <w:proofErr w:type="spellStart"/>
      <w:r w:rsidRPr="00302437">
        <w:rPr>
          <w:color w:val="222222"/>
        </w:rPr>
        <w:t>Manovich</w:t>
      </w:r>
      <w:proofErr w:type="spellEnd"/>
      <w:r w:rsidRPr="00302437">
        <w:rPr>
          <w:color w:val="222222"/>
        </w:rPr>
        <w:t xml:space="preserve"> 2001; </w:t>
      </w:r>
      <w:proofErr w:type="spellStart"/>
      <w:r w:rsidRPr="00302437">
        <w:rPr>
          <w:color w:val="222222"/>
        </w:rPr>
        <w:t>Eugeni</w:t>
      </w:r>
      <w:proofErr w:type="spellEnd"/>
      <w:r w:rsidRPr="00302437">
        <w:rPr>
          <w:color w:val="222222"/>
        </w:rPr>
        <w:t xml:space="preserve"> 2016), che propongono un discorso meta-linguistico sull’audiovisivo, costruito tramite l’audiovisivo stesso (</w:t>
      </w:r>
      <w:r w:rsidRPr="00302437">
        <w:rPr>
          <w:bCs/>
          <w:color w:val="222222"/>
        </w:rPr>
        <w:t>Grant 2013)</w:t>
      </w:r>
      <w:r w:rsidRPr="00302437">
        <w:rPr>
          <w:color w:val="222222"/>
        </w:rPr>
        <w:t xml:space="preserve">. Analizzeremo alcuni </w:t>
      </w:r>
      <w:r w:rsidRPr="00302437">
        <w:rPr>
          <w:i/>
          <w:color w:val="222222"/>
        </w:rPr>
        <w:t xml:space="preserve">video </w:t>
      </w:r>
      <w:proofErr w:type="spellStart"/>
      <w:r w:rsidRPr="00302437">
        <w:rPr>
          <w:i/>
          <w:color w:val="222222"/>
        </w:rPr>
        <w:t>essays</w:t>
      </w:r>
      <w:proofErr w:type="spellEnd"/>
      <w:r w:rsidRPr="00302437">
        <w:rPr>
          <w:color w:val="222222"/>
        </w:rPr>
        <w:t xml:space="preserve"> dedicati al cinema e alle serie televisive, cercando ove possibile di confrontarci anche con autori italiani, per provare a distinguer</w:t>
      </w:r>
      <w:r w:rsidR="00302437">
        <w:rPr>
          <w:color w:val="222222"/>
        </w:rPr>
        <w:t>li in</w:t>
      </w:r>
      <w:r w:rsidRPr="00302437">
        <w:rPr>
          <w:color w:val="222222"/>
        </w:rPr>
        <w:t xml:space="preserve"> due grandi gruppi: soggettivanti e oggettivanti. </w:t>
      </w:r>
      <w:r w:rsidR="00302437" w:rsidRPr="00302437">
        <w:rPr>
          <w:color w:val="222222"/>
        </w:rPr>
        <w:t xml:space="preserve">L’uso della </w:t>
      </w:r>
      <w:r w:rsidRPr="00302437">
        <w:rPr>
          <w:bCs/>
          <w:i/>
          <w:color w:val="222222"/>
        </w:rPr>
        <w:t>voice over</w:t>
      </w:r>
      <w:r w:rsidR="00302437" w:rsidRPr="00302437">
        <w:rPr>
          <w:bCs/>
          <w:i/>
          <w:color w:val="222222"/>
        </w:rPr>
        <w:t xml:space="preserve"> </w:t>
      </w:r>
      <w:r w:rsidR="00302437" w:rsidRPr="00302437">
        <w:rPr>
          <w:bCs/>
          <w:color w:val="222222"/>
        </w:rPr>
        <w:t>e</w:t>
      </w:r>
      <w:r w:rsidRPr="00302437">
        <w:rPr>
          <w:bCs/>
          <w:color w:val="222222"/>
        </w:rPr>
        <w:t xml:space="preserve"> </w:t>
      </w:r>
      <w:r w:rsidR="00302437" w:rsidRPr="00302437">
        <w:rPr>
          <w:bCs/>
          <w:color w:val="222222"/>
        </w:rPr>
        <w:t xml:space="preserve">gli </w:t>
      </w:r>
      <w:r w:rsidRPr="00302437">
        <w:rPr>
          <w:bCs/>
          <w:color w:val="222222"/>
        </w:rPr>
        <w:t>ammiccamenti allo spettatore,</w:t>
      </w:r>
      <w:r w:rsidR="00302437" w:rsidRPr="00302437">
        <w:rPr>
          <w:bCs/>
          <w:color w:val="222222"/>
        </w:rPr>
        <w:t xml:space="preserve"> ad esempio,</w:t>
      </w:r>
      <w:r w:rsidRPr="00302437">
        <w:rPr>
          <w:bCs/>
          <w:color w:val="222222"/>
        </w:rPr>
        <w:t xml:space="preserve"> rientrano in una strategia di enunciazione che </w:t>
      </w:r>
      <w:r w:rsidR="00302437" w:rsidRPr="00302437">
        <w:rPr>
          <w:bCs/>
          <w:color w:val="222222"/>
        </w:rPr>
        <w:t>definiamo</w:t>
      </w:r>
      <w:r w:rsidRPr="00302437">
        <w:rPr>
          <w:bCs/>
          <w:color w:val="222222"/>
        </w:rPr>
        <w:t xml:space="preserve"> ‘soggettivante’, nell’accezione </w:t>
      </w:r>
      <w:proofErr w:type="spellStart"/>
      <w:r w:rsidRPr="00302437">
        <w:rPr>
          <w:bCs/>
          <w:color w:val="222222"/>
        </w:rPr>
        <w:t>sociosemiotica</w:t>
      </w:r>
      <w:proofErr w:type="spellEnd"/>
      <w:r w:rsidRPr="00302437">
        <w:rPr>
          <w:bCs/>
          <w:color w:val="222222"/>
        </w:rPr>
        <w:t xml:space="preserve"> di una costruzione testuale e di un patto comunicativo che interpellano lo spettatore, ragguagliandolo sui </w:t>
      </w:r>
      <w:proofErr w:type="spellStart"/>
      <w:r w:rsidRPr="00302437">
        <w:rPr>
          <w:bCs/>
          <w:color w:val="222222"/>
        </w:rPr>
        <w:t>saperi</w:t>
      </w:r>
      <w:proofErr w:type="spellEnd"/>
      <w:r w:rsidRPr="00302437">
        <w:rPr>
          <w:bCs/>
          <w:color w:val="222222"/>
        </w:rPr>
        <w:t xml:space="preserve"> in gioco ma puntando soprattutto sull’aspetto </w:t>
      </w:r>
      <w:r w:rsidR="00302437">
        <w:rPr>
          <w:bCs/>
          <w:color w:val="222222"/>
        </w:rPr>
        <w:t xml:space="preserve">ludico </w:t>
      </w:r>
      <w:r w:rsidRPr="00302437">
        <w:rPr>
          <w:bCs/>
          <w:color w:val="222222"/>
        </w:rPr>
        <w:t>del patto comunicativo (</w:t>
      </w:r>
      <w:proofErr w:type="spellStart"/>
      <w:r w:rsidRPr="00302437">
        <w:rPr>
          <w:bCs/>
          <w:color w:val="222222"/>
        </w:rPr>
        <w:t>Landowski</w:t>
      </w:r>
      <w:proofErr w:type="spellEnd"/>
      <w:r w:rsidRPr="00302437">
        <w:rPr>
          <w:bCs/>
          <w:color w:val="222222"/>
        </w:rPr>
        <w:t xml:space="preserve"> </w:t>
      </w:r>
      <w:r w:rsidR="00302437" w:rsidRPr="00302437">
        <w:rPr>
          <w:bCs/>
          <w:color w:val="222222"/>
        </w:rPr>
        <w:t>1989</w:t>
      </w:r>
      <w:r w:rsidRPr="00302437">
        <w:rPr>
          <w:bCs/>
          <w:color w:val="222222"/>
        </w:rPr>
        <w:t>). P</w:t>
      </w:r>
      <w:r w:rsidR="00302437" w:rsidRPr="00302437">
        <w:rPr>
          <w:bCs/>
          <w:color w:val="222222"/>
        </w:rPr>
        <w:t xml:space="preserve">arleremo </w:t>
      </w:r>
      <w:r w:rsidRPr="00302437">
        <w:rPr>
          <w:bCs/>
          <w:color w:val="222222"/>
        </w:rPr>
        <w:t>al contrario</w:t>
      </w:r>
      <w:r w:rsidR="00302437" w:rsidRPr="00302437">
        <w:rPr>
          <w:bCs/>
          <w:color w:val="222222"/>
        </w:rPr>
        <w:t xml:space="preserve"> </w:t>
      </w:r>
      <w:r w:rsidRPr="00302437">
        <w:rPr>
          <w:bCs/>
          <w:color w:val="222222"/>
        </w:rPr>
        <w:t xml:space="preserve">di strategie ‘oggettivanti’ quando la </w:t>
      </w:r>
      <w:r w:rsidRPr="00302437">
        <w:rPr>
          <w:bCs/>
          <w:i/>
          <w:color w:val="222222"/>
        </w:rPr>
        <w:t>voice over</w:t>
      </w:r>
      <w:r w:rsidRPr="00302437">
        <w:rPr>
          <w:bCs/>
          <w:color w:val="222222"/>
        </w:rPr>
        <w:t xml:space="preserve"> sparisce, e si valorizza più la conoscenza derivante dall’attiva comparazione tra sequenze di film diversi, </w:t>
      </w:r>
      <w:r w:rsidR="00302437">
        <w:rPr>
          <w:bCs/>
          <w:color w:val="222222"/>
        </w:rPr>
        <w:t>come a sfidare lo spettatore a trovare le somiglianze o le differenze</w:t>
      </w:r>
      <w:r w:rsidRPr="00302437">
        <w:rPr>
          <w:bCs/>
          <w:color w:val="222222"/>
        </w:rPr>
        <w:t xml:space="preserve">, senza dargli appigli. </w:t>
      </w:r>
    </w:p>
    <w:p w:rsidR="00730263" w:rsidRPr="00082923" w:rsidRDefault="00730263" w:rsidP="00D717BC">
      <w:pPr>
        <w:pStyle w:val="NormaleWeb"/>
        <w:shd w:val="clear" w:color="auto" w:fill="FFFFFF"/>
        <w:jc w:val="both"/>
        <w:rPr>
          <w:sz w:val="28"/>
          <w:szCs w:val="28"/>
        </w:rPr>
      </w:pPr>
    </w:p>
    <w:p w:rsidR="00A415A3" w:rsidRPr="00082923" w:rsidRDefault="00A415A3" w:rsidP="00D717BC">
      <w:pPr>
        <w:spacing w:after="0"/>
        <w:jc w:val="both"/>
        <w:rPr>
          <w:rFonts w:ascii="Times New Roman" w:hAnsi="Times New Roman" w:cs="Times New Roman"/>
        </w:rPr>
      </w:pPr>
      <w:r w:rsidRPr="00A846F7">
        <w:rPr>
          <w:rFonts w:ascii="Times New Roman" w:hAnsi="Times New Roman" w:cs="Times New Roman"/>
          <w:b/>
        </w:rPr>
        <w:t xml:space="preserve">Nicola </w:t>
      </w:r>
      <w:proofErr w:type="spellStart"/>
      <w:r w:rsidRPr="00A846F7">
        <w:rPr>
          <w:rFonts w:ascii="Times New Roman" w:hAnsi="Times New Roman" w:cs="Times New Roman"/>
          <w:b/>
        </w:rPr>
        <w:t>Dusi</w:t>
      </w:r>
      <w:proofErr w:type="spellEnd"/>
      <w:r w:rsidRPr="00082923">
        <w:rPr>
          <w:rFonts w:ascii="Times New Roman" w:hAnsi="Times New Roman" w:cs="Times New Roman"/>
        </w:rPr>
        <w:t xml:space="preserve">, ricercatore (Cinema, Fotografia, Televisione), insegna </w:t>
      </w:r>
      <w:r w:rsidR="005D6827">
        <w:rPr>
          <w:rFonts w:ascii="Times New Roman" w:hAnsi="Times New Roman" w:cs="Times New Roman"/>
          <w:iCs/>
        </w:rPr>
        <w:t>Linguaggi i</w:t>
      </w:r>
      <w:r w:rsidRPr="00082923">
        <w:rPr>
          <w:rFonts w:ascii="Times New Roman" w:hAnsi="Times New Roman" w:cs="Times New Roman"/>
          <w:iCs/>
        </w:rPr>
        <w:t>ntermediali</w:t>
      </w:r>
      <w:r w:rsidRPr="00082923">
        <w:rPr>
          <w:rFonts w:ascii="Times New Roman" w:hAnsi="Times New Roman" w:cs="Times New Roman"/>
        </w:rPr>
        <w:t xml:space="preserve"> all'Università di Modena e Reggio Emilia, Dipartimento di Comunicazione ed Economia. È autore di </w:t>
      </w:r>
      <w:r w:rsidRPr="00082923">
        <w:rPr>
          <w:rFonts w:ascii="Times New Roman" w:hAnsi="Times New Roman" w:cs="Times New Roman"/>
          <w:i/>
          <w:iCs/>
        </w:rPr>
        <w:t xml:space="preserve">Il cinema come traduzione </w:t>
      </w:r>
      <w:r w:rsidRPr="00082923">
        <w:rPr>
          <w:rFonts w:ascii="Times New Roman" w:hAnsi="Times New Roman" w:cs="Times New Roman"/>
        </w:rPr>
        <w:t xml:space="preserve">(Utet, 2003); </w:t>
      </w:r>
      <w:r w:rsidRPr="00082923">
        <w:rPr>
          <w:rFonts w:ascii="Times New Roman" w:hAnsi="Times New Roman" w:cs="Times New Roman"/>
          <w:i/>
          <w:iCs/>
        </w:rPr>
        <w:t xml:space="preserve">Dal cinema ai media digitali. Logiche del sensibile tra corpi, oggetti, passioni </w:t>
      </w:r>
      <w:r w:rsidRPr="00082923">
        <w:rPr>
          <w:rFonts w:ascii="Times New Roman" w:hAnsi="Times New Roman" w:cs="Times New Roman"/>
          <w:iCs/>
        </w:rPr>
        <w:t>(</w:t>
      </w:r>
      <w:proofErr w:type="spellStart"/>
      <w:r w:rsidRPr="00082923">
        <w:rPr>
          <w:rFonts w:ascii="Times New Roman" w:hAnsi="Times New Roman" w:cs="Times New Roman"/>
          <w:iCs/>
        </w:rPr>
        <w:t>Mimesis</w:t>
      </w:r>
      <w:proofErr w:type="spellEnd"/>
      <w:r w:rsidRPr="00082923">
        <w:rPr>
          <w:rFonts w:ascii="Times New Roman" w:hAnsi="Times New Roman" w:cs="Times New Roman"/>
          <w:iCs/>
        </w:rPr>
        <w:t xml:space="preserve">, 2014); </w:t>
      </w:r>
      <w:r w:rsidRPr="00082923">
        <w:rPr>
          <w:rFonts w:ascii="Times New Roman" w:hAnsi="Times New Roman" w:cs="Times New Roman"/>
          <w:i/>
        </w:rPr>
        <w:t xml:space="preserve">Contromisure. Trasposizioni e </w:t>
      </w:r>
      <w:proofErr w:type="spellStart"/>
      <w:r w:rsidRPr="00082923">
        <w:rPr>
          <w:rFonts w:ascii="Times New Roman" w:hAnsi="Times New Roman" w:cs="Times New Roman"/>
          <w:i/>
        </w:rPr>
        <w:t>intermedialità</w:t>
      </w:r>
      <w:proofErr w:type="spellEnd"/>
      <w:r w:rsidRPr="00082923">
        <w:rPr>
          <w:rFonts w:ascii="Times New Roman" w:hAnsi="Times New Roman" w:cs="Times New Roman"/>
          <w:i/>
        </w:rPr>
        <w:t xml:space="preserve"> </w:t>
      </w:r>
      <w:r w:rsidRPr="00082923">
        <w:rPr>
          <w:rFonts w:ascii="Times New Roman" w:hAnsi="Times New Roman" w:cs="Times New Roman"/>
        </w:rPr>
        <w:t>(</w:t>
      </w:r>
      <w:proofErr w:type="spellStart"/>
      <w:r w:rsidRPr="00082923">
        <w:rPr>
          <w:rFonts w:ascii="Times New Roman" w:hAnsi="Times New Roman" w:cs="Times New Roman"/>
        </w:rPr>
        <w:t>Mimesis</w:t>
      </w:r>
      <w:proofErr w:type="spellEnd"/>
      <w:r w:rsidRPr="00082923">
        <w:rPr>
          <w:rFonts w:ascii="Times New Roman" w:hAnsi="Times New Roman" w:cs="Times New Roman"/>
        </w:rPr>
        <w:t xml:space="preserve">, 2015). Tra le sue curatele i volumi </w:t>
      </w:r>
      <w:r w:rsidRPr="00082923">
        <w:rPr>
          <w:rFonts w:ascii="Times New Roman" w:hAnsi="Times New Roman" w:cs="Times New Roman"/>
          <w:i/>
          <w:iCs/>
        </w:rPr>
        <w:t>Remix-Remake. Pratiche di replicabilità</w:t>
      </w:r>
      <w:r w:rsidRPr="00082923">
        <w:rPr>
          <w:rFonts w:ascii="Times New Roman" w:hAnsi="Times New Roman" w:cs="Times New Roman"/>
        </w:rPr>
        <w:t xml:space="preserve"> (con L. Spaziante, 2006); </w:t>
      </w:r>
      <w:r w:rsidRPr="00082923">
        <w:rPr>
          <w:rFonts w:ascii="Times New Roman" w:hAnsi="Times New Roman" w:cs="Times New Roman"/>
          <w:i/>
          <w:iCs/>
        </w:rPr>
        <w:t xml:space="preserve">Destini del sacro. Discorso religioso e semiotica della cultura </w:t>
      </w:r>
      <w:r w:rsidRPr="00082923">
        <w:rPr>
          <w:rFonts w:ascii="Times New Roman" w:hAnsi="Times New Roman" w:cs="Times New Roman"/>
        </w:rPr>
        <w:t xml:space="preserve">(con G. Marrone, 2008); </w:t>
      </w:r>
      <w:r w:rsidRPr="00082923">
        <w:rPr>
          <w:rFonts w:ascii="Times New Roman" w:hAnsi="Times New Roman" w:cs="Times New Roman"/>
          <w:i/>
          <w:iCs/>
        </w:rPr>
        <w:t xml:space="preserve">Matthew Barney. Polimorfismo, </w:t>
      </w:r>
      <w:proofErr w:type="spellStart"/>
      <w:r w:rsidRPr="00082923">
        <w:rPr>
          <w:rFonts w:ascii="Times New Roman" w:hAnsi="Times New Roman" w:cs="Times New Roman"/>
          <w:i/>
          <w:iCs/>
        </w:rPr>
        <w:t>multimodalità</w:t>
      </w:r>
      <w:proofErr w:type="spellEnd"/>
      <w:r w:rsidRPr="00082923">
        <w:rPr>
          <w:rFonts w:ascii="Times New Roman" w:hAnsi="Times New Roman" w:cs="Times New Roman"/>
          <w:i/>
          <w:iCs/>
        </w:rPr>
        <w:t xml:space="preserve">, neobarocco </w:t>
      </w:r>
      <w:r w:rsidRPr="00082923">
        <w:rPr>
          <w:rFonts w:ascii="Times New Roman" w:hAnsi="Times New Roman" w:cs="Times New Roman"/>
        </w:rPr>
        <w:t xml:space="preserve">(con C. G. Saba, 2012); </w:t>
      </w:r>
      <w:r w:rsidRPr="00082923">
        <w:rPr>
          <w:rFonts w:ascii="Times New Roman" w:hAnsi="Times New Roman" w:cs="Times New Roman"/>
          <w:i/>
        </w:rPr>
        <w:t xml:space="preserve">L’uomo che vende un occhio. Un soggetto per il film Il Boom </w:t>
      </w:r>
      <w:r w:rsidRPr="00A846F7">
        <w:rPr>
          <w:rFonts w:ascii="Times New Roman" w:hAnsi="Times New Roman" w:cs="Times New Roman"/>
          <w:i/>
        </w:rPr>
        <w:t>di Vittorio De Sica</w:t>
      </w:r>
      <w:r w:rsidRPr="00082923">
        <w:rPr>
          <w:rFonts w:ascii="Times New Roman" w:hAnsi="Times New Roman" w:cs="Times New Roman"/>
        </w:rPr>
        <w:t xml:space="preserve"> (con L. Di Francesco, ETS, 2017); </w:t>
      </w:r>
      <w:r w:rsidRPr="00082923">
        <w:rPr>
          <w:rFonts w:ascii="Times New Roman" w:hAnsi="Times New Roman" w:cs="Times New Roman"/>
          <w:i/>
        </w:rPr>
        <w:t xml:space="preserve">Bellissima tra scrittura e </w:t>
      </w:r>
      <w:proofErr w:type="spellStart"/>
      <w:r w:rsidRPr="00082923">
        <w:rPr>
          <w:rFonts w:ascii="Times New Roman" w:hAnsi="Times New Roman" w:cs="Times New Roman"/>
          <w:i/>
        </w:rPr>
        <w:t>metacinema</w:t>
      </w:r>
      <w:proofErr w:type="spellEnd"/>
      <w:r w:rsidRPr="00082923">
        <w:rPr>
          <w:rFonts w:ascii="Times New Roman" w:hAnsi="Times New Roman" w:cs="Times New Roman"/>
        </w:rPr>
        <w:t xml:space="preserve"> (con L. Di Francesco, </w:t>
      </w:r>
      <w:proofErr w:type="spellStart"/>
      <w:r w:rsidRPr="00082923">
        <w:rPr>
          <w:rFonts w:ascii="Times New Roman" w:hAnsi="Times New Roman" w:cs="Times New Roman"/>
        </w:rPr>
        <w:t>Diabasis</w:t>
      </w:r>
      <w:proofErr w:type="spellEnd"/>
      <w:r w:rsidRPr="00082923">
        <w:rPr>
          <w:rFonts w:ascii="Times New Roman" w:hAnsi="Times New Roman" w:cs="Times New Roman"/>
        </w:rPr>
        <w:t>, 2017).</w:t>
      </w:r>
    </w:p>
    <w:p w:rsidR="00730263" w:rsidRPr="00082923" w:rsidRDefault="00730263" w:rsidP="00730263">
      <w:pPr>
        <w:rPr>
          <w:rFonts w:ascii="Times New Roman" w:hAnsi="Times New Roman" w:cs="Times New Roman"/>
        </w:rPr>
      </w:pPr>
    </w:p>
    <w:p w:rsidR="005F6A25" w:rsidRPr="00082923" w:rsidRDefault="00A846F7" w:rsidP="00A41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Riferimenti b</w:t>
      </w:r>
      <w:r w:rsidR="005F6A25" w:rsidRPr="00082923">
        <w:rPr>
          <w:rFonts w:ascii="Times New Roman" w:hAnsi="Times New Roman" w:cs="Times New Roman"/>
          <w:b/>
        </w:rPr>
        <w:t>ibliografi</w:t>
      </w:r>
      <w:r>
        <w:rPr>
          <w:rFonts w:ascii="Times New Roman" w:hAnsi="Times New Roman" w:cs="Times New Roman"/>
          <w:b/>
        </w:rPr>
        <w:t>ci</w:t>
      </w:r>
      <w:r w:rsidR="005F6A25" w:rsidRPr="00082923">
        <w:rPr>
          <w:rFonts w:ascii="Times New Roman" w:hAnsi="Times New Roman" w:cs="Times New Roman"/>
          <w:b/>
        </w:rPr>
        <w:t xml:space="preserve"> </w:t>
      </w:r>
    </w:p>
    <w:p w:rsidR="005F6A25" w:rsidRPr="00082923" w:rsidRDefault="005F6A25" w:rsidP="005F6A25">
      <w:pPr>
        <w:pStyle w:val="NormaleWeb"/>
        <w:shd w:val="clear" w:color="auto" w:fill="FFFFFF"/>
        <w:spacing w:line="240" w:lineRule="atLeast"/>
        <w:jc w:val="both"/>
        <w:rPr>
          <w:sz w:val="22"/>
          <w:szCs w:val="22"/>
        </w:rPr>
      </w:pPr>
      <w:proofErr w:type="spellStart"/>
      <w:r w:rsidRPr="00082923">
        <w:rPr>
          <w:sz w:val="22"/>
          <w:szCs w:val="22"/>
        </w:rPr>
        <w:t>E</w:t>
      </w:r>
      <w:r w:rsidR="00EE38E6" w:rsidRPr="00082923">
        <w:rPr>
          <w:sz w:val="22"/>
          <w:szCs w:val="22"/>
        </w:rPr>
        <w:t>ugeni</w:t>
      </w:r>
      <w:proofErr w:type="spellEnd"/>
      <w:r w:rsidRPr="00082923">
        <w:rPr>
          <w:sz w:val="22"/>
          <w:szCs w:val="22"/>
        </w:rPr>
        <w:t xml:space="preserve">, </w:t>
      </w:r>
      <w:r w:rsidR="00302437">
        <w:rPr>
          <w:sz w:val="22"/>
          <w:szCs w:val="22"/>
        </w:rPr>
        <w:t xml:space="preserve">R., </w:t>
      </w:r>
      <w:r w:rsidR="00EF1822" w:rsidRPr="00082923">
        <w:rPr>
          <w:sz w:val="22"/>
          <w:szCs w:val="22"/>
        </w:rPr>
        <w:t xml:space="preserve">2015, </w:t>
      </w:r>
      <w:r w:rsidRPr="00082923">
        <w:rPr>
          <w:i/>
          <w:sz w:val="22"/>
          <w:szCs w:val="22"/>
        </w:rPr>
        <w:t xml:space="preserve">La condizione </w:t>
      </w:r>
      <w:proofErr w:type="spellStart"/>
      <w:r w:rsidRPr="00082923">
        <w:rPr>
          <w:i/>
          <w:sz w:val="22"/>
          <w:szCs w:val="22"/>
        </w:rPr>
        <w:t>postmediale</w:t>
      </w:r>
      <w:proofErr w:type="spellEnd"/>
      <w:r w:rsidRPr="00082923">
        <w:rPr>
          <w:i/>
          <w:sz w:val="22"/>
          <w:szCs w:val="22"/>
        </w:rPr>
        <w:t>. Media, linguaggi e narrazioni</w:t>
      </w:r>
      <w:r w:rsidRPr="00082923">
        <w:rPr>
          <w:sz w:val="22"/>
          <w:szCs w:val="22"/>
        </w:rPr>
        <w:t>, Milano, La Scuola.</w:t>
      </w:r>
    </w:p>
    <w:p w:rsidR="005F6A25" w:rsidRPr="00082923" w:rsidRDefault="005F6A25" w:rsidP="005F6A25">
      <w:pPr>
        <w:pStyle w:val="NormaleWeb"/>
        <w:shd w:val="clear" w:color="auto" w:fill="FFFFFF"/>
        <w:spacing w:line="240" w:lineRule="atLeast"/>
        <w:jc w:val="both"/>
        <w:rPr>
          <w:bCs/>
          <w:sz w:val="22"/>
          <w:szCs w:val="22"/>
          <w:lang w:val="en-US"/>
        </w:rPr>
      </w:pPr>
      <w:r w:rsidRPr="00A846F7">
        <w:rPr>
          <w:bCs/>
          <w:sz w:val="22"/>
          <w:szCs w:val="22"/>
          <w:lang w:val="en-US"/>
        </w:rPr>
        <w:t>Grant, C</w:t>
      </w:r>
      <w:r w:rsidR="00EF1822" w:rsidRPr="00A846F7">
        <w:rPr>
          <w:bCs/>
          <w:sz w:val="22"/>
          <w:szCs w:val="22"/>
          <w:lang w:val="en-US"/>
        </w:rPr>
        <w:t>.</w:t>
      </w:r>
      <w:r w:rsidRPr="00A846F7">
        <w:rPr>
          <w:bCs/>
          <w:sz w:val="22"/>
          <w:szCs w:val="22"/>
          <w:lang w:val="en-US"/>
        </w:rPr>
        <w:t xml:space="preserve">, </w:t>
      </w:r>
      <w:r w:rsidR="00EF1822" w:rsidRPr="00A846F7">
        <w:rPr>
          <w:bCs/>
          <w:sz w:val="22"/>
          <w:szCs w:val="22"/>
          <w:lang w:val="en-US"/>
        </w:rPr>
        <w:t xml:space="preserve">2013, </w:t>
      </w:r>
      <w:r w:rsidRPr="00082923">
        <w:rPr>
          <w:bCs/>
          <w:i/>
          <w:iCs/>
          <w:sz w:val="22"/>
          <w:szCs w:val="22"/>
          <w:lang w:val="en-US"/>
        </w:rPr>
        <w:t xml:space="preserve">Déjà-Viewing? </w:t>
      </w:r>
      <w:proofErr w:type="spellStart"/>
      <w:r w:rsidRPr="00082923">
        <w:rPr>
          <w:bCs/>
          <w:i/>
          <w:iCs/>
          <w:sz w:val="22"/>
          <w:szCs w:val="22"/>
          <w:lang w:val="en-US"/>
        </w:rPr>
        <w:t>Videographic</w:t>
      </w:r>
      <w:proofErr w:type="spellEnd"/>
      <w:r w:rsidRPr="00082923">
        <w:rPr>
          <w:bCs/>
          <w:i/>
          <w:iCs/>
          <w:sz w:val="22"/>
          <w:szCs w:val="22"/>
          <w:lang w:val="en-US"/>
        </w:rPr>
        <w:t xml:space="preserve"> Experiments in Intertextual Film Studies</w:t>
      </w:r>
      <w:r w:rsidR="00EF1822" w:rsidRPr="00082923">
        <w:rPr>
          <w:bCs/>
          <w:sz w:val="22"/>
          <w:szCs w:val="22"/>
          <w:lang w:val="en-US"/>
        </w:rPr>
        <w:t>, «</w:t>
      </w:r>
      <w:proofErr w:type="spellStart"/>
      <w:r w:rsidR="00EF1822" w:rsidRPr="00082923">
        <w:rPr>
          <w:bCs/>
          <w:sz w:val="22"/>
          <w:szCs w:val="22"/>
          <w:lang w:val="en-US"/>
        </w:rPr>
        <w:t>Mediascape</w:t>
      </w:r>
      <w:proofErr w:type="spellEnd"/>
      <w:r w:rsidR="00EF1822" w:rsidRPr="00082923">
        <w:rPr>
          <w:bCs/>
          <w:sz w:val="22"/>
          <w:szCs w:val="22"/>
          <w:lang w:val="en-US"/>
        </w:rPr>
        <w:t xml:space="preserve">», Winter, Available online at </w:t>
      </w:r>
      <w:hyperlink r:id="rId6" w:history="1">
        <w:r w:rsidR="00EF1822" w:rsidRPr="00082923">
          <w:rPr>
            <w:rStyle w:val="Collegamentoipertestuale"/>
            <w:bCs/>
            <w:sz w:val="22"/>
            <w:szCs w:val="22"/>
            <w:lang w:val="en-US"/>
          </w:rPr>
          <w:t>http://www.tft.ucla.edu/mediascape/Winter2013_DejaViewing.html</w:t>
        </w:r>
      </w:hyperlink>
      <w:r w:rsidRPr="00082923">
        <w:rPr>
          <w:bCs/>
          <w:sz w:val="22"/>
          <w:szCs w:val="22"/>
          <w:lang w:val="en-US"/>
        </w:rPr>
        <w:t>.</w:t>
      </w:r>
      <w:r w:rsidR="00EF1822" w:rsidRPr="00082923">
        <w:rPr>
          <w:bCs/>
          <w:sz w:val="22"/>
          <w:szCs w:val="22"/>
          <w:lang w:val="en-US"/>
        </w:rPr>
        <w:t xml:space="preserve"> Accessed 30 </w:t>
      </w:r>
      <w:proofErr w:type="spellStart"/>
      <w:r w:rsidR="00EF1822" w:rsidRPr="00082923">
        <w:rPr>
          <w:bCs/>
          <w:sz w:val="22"/>
          <w:szCs w:val="22"/>
          <w:lang w:val="en-US"/>
        </w:rPr>
        <w:t>october</w:t>
      </w:r>
      <w:proofErr w:type="spellEnd"/>
      <w:r w:rsidR="00EF1822" w:rsidRPr="00082923">
        <w:rPr>
          <w:bCs/>
          <w:sz w:val="22"/>
          <w:szCs w:val="22"/>
          <w:lang w:val="en-US"/>
        </w:rPr>
        <w:t>, 2017.</w:t>
      </w:r>
    </w:p>
    <w:p w:rsidR="00EE38E6" w:rsidRPr="00302437" w:rsidRDefault="005F6A25" w:rsidP="00EE38E6">
      <w:pPr>
        <w:pStyle w:val="NormaleWeb"/>
        <w:shd w:val="clear" w:color="auto" w:fill="FFFFFF"/>
        <w:spacing w:line="240" w:lineRule="atLeast"/>
        <w:rPr>
          <w:color w:val="222222"/>
          <w:sz w:val="22"/>
          <w:szCs w:val="22"/>
          <w:lang w:val="en-US"/>
        </w:rPr>
      </w:pPr>
      <w:r w:rsidRPr="00302437">
        <w:rPr>
          <w:bCs/>
          <w:iCs/>
          <w:color w:val="222222"/>
          <w:sz w:val="22"/>
          <w:szCs w:val="22"/>
          <w:lang w:val="en-US"/>
        </w:rPr>
        <w:t>Manovich, L.</w:t>
      </w:r>
      <w:r w:rsidRPr="00302437">
        <w:rPr>
          <w:bCs/>
          <w:color w:val="222222"/>
          <w:sz w:val="22"/>
          <w:szCs w:val="22"/>
          <w:lang w:val="en-US"/>
        </w:rPr>
        <w:t>, 2001b, "Post-media Aesthetics". Available online at http://www.</w:t>
      </w:r>
      <w:r w:rsidRPr="00302437">
        <w:rPr>
          <w:bCs/>
          <w:iCs/>
          <w:color w:val="222222"/>
          <w:sz w:val="22"/>
          <w:szCs w:val="22"/>
          <w:lang w:val="en-US"/>
        </w:rPr>
        <w:t>manovich</w:t>
      </w:r>
      <w:r w:rsidRPr="00302437">
        <w:rPr>
          <w:bCs/>
          <w:color w:val="222222"/>
          <w:sz w:val="22"/>
          <w:szCs w:val="22"/>
          <w:lang w:val="en-US"/>
        </w:rPr>
        <w:t xml:space="preserve">.net/ (accessed 30 </w:t>
      </w:r>
      <w:proofErr w:type="spellStart"/>
      <w:r w:rsidRPr="00302437">
        <w:rPr>
          <w:bCs/>
          <w:color w:val="222222"/>
          <w:sz w:val="22"/>
          <w:szCs w:val="22"/>
          <w:lang w:val="en-US"/>
        </w:rPr>
        <w:t>october</w:t>
      </w:r>
      <w:proofErr w:type="spellEnd"/>
      <w:r w:rsidRPr="00302437">
        <w:rPr>
          <w:bCs/>
          <w:color w:val="222222"/>
          <w:sz w:val="22"/>
          <w:szCs w:val="22"/>
          <w:lang w:val="en-US"/>
        </w:rPr>
        <w:t>, 2017)</w:t>
      </w:r>
      <w:r w:rsidR="00EE38E6" w:rsidRPr="00302437">
        <w:rPr>
          <w:color w:val="222222"/>
          <w:sz w:val="22"/>
          <w:szCs w:val="22"/>
          <w:lang w:val="en-US"/>
        </w:rPr>
        <w:t>.</w:t>
      </w:r>
    </w:p>
    <w:p w:rsidR="00302437" w:rsidRPr="00302437" w:rsidRDefault="00302437" w:rsidP="00302437">
      <w:pPr>
        <w:spacing w:after="0"/>
        <w:jc w:val="both"/>
        <w:rPr>
          <w:rFonts w:ascii="Times New Roman" w:hAnsi="Times New Roman" w:cs="Times New Roman"/>
          <w:color w:val="222222"/>
        </w:rPr>
      </w:pPr>
      <w:proofErr w:type="spellStart"/>
      <w:r w:rsidRPr="00302437">
        <w:rPr>
          <w:rFonts w:ascii="Times New Roman" w:hAnsi="Times New Roman" w:cs="Times New Roman"/>
          <w:color w:val="222222"/>
        </w:rPr>
        <w:t>Landowski</w:t>
      </w:r>
      <w:proofErr w:type="spellEnd"/>
      <w:r w:rsidRPr="00302437">
        <w:rPr>
          <w:rFonts w:ascii="Times New Roman" w:hAnsi="Times New Roman" w:cs="Times New Roman"/>
          <w:color w:val="222222"/>
        </w:rPr>
        <w:t xml:space="preserve">, E., 1989, </w:t>
      </w:r>
      <w:r w:rsidRPr="00302437">
        <w:rPr>
          <w:rFonts w:ascii="Times New Roman" w:hAnsi="Times New Roman" w:cs="Times New Roman"/>
          <w:i/>
          <w:iCs/>
          <w:color w:val="222222"/>
        </w:rPr>
        <w:t xml:space="preserve">La </w:t>
      </w:r>
      <w:proofErr w:type="spellStart"/>
      <w:r w:rsidRPr="00302437">
        <w:rPr>
          <w:rFonts w:ascii="Times New Roman" w:hAnsi="Times New Roman" w:cs="Times New Roman"/>
          <w:i/>
          <w:iCs/>
          <w:color w:val="222222"/>
        </w:rPr>
        <w:t>société</w:t>
      </w:r>
      <w:proofErr w:type="spellEnd"/>
      <w:r w:rsidRPr="00302437">
        <w:rPr>
          <w:rFonts w:ascii="Times New Roman" w:hAnsi="Times New Roman" w:cs="Times New Roman"/>
          <w:i/>
          <w:iCs/>
          <w:color w:val="222222"/>
        </w:rPr>
        <w:t xml:space="preserve"> </w:t>
      </w:r>
      <w:proofErr w:type="spellStart"/>
      <w:r w:rsidRPr="00302437">
        <w:rPr>
          <w:rFonts w:ascii="Times New Roman" w:hAnsi="Times New Roman" w:cs="Times New Roman"/>
          <w:i/>
          <w:iCs/>
          <w:color w:val="222222"/>
        </w:rPr>
        <w:t>réflechie</w:t>
      </w:r>
      <w:proofErr w:type="spellEnd"/>
      <w:r w:rsidRPr="00302437">
        <w:rPr>
          <w:rFonts w:ascii="Times New Roman" w:hAnsi="Times New Roman" w:cs="Times New Roman"/>
          <w:i/>
          <w:iCs/>
          <w:color w:val="222222"/>
        </w:rPr>
        <w:t>,</w:t>
      </w:r>
      <w:r w:rsidRPr="00302437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02437">
        <w:rPr>
          <w:rFonts w:ascii="Times New Roman" w:hAnsi="Times New Roman" w:cs="Times New Roman"/>
          <w:color w:val="222222"/>
        </w:rPr>
        <w:t>Seuil</w:t>
      </w:r>
      <w:proofErr w:type="spellEnd"/>
      <w:r w:rsidRPr="00302437">
        <w:rPr>
          <w:rFonts w:ascii="Times New Roman" w:hAnsi="Times New Roman" w:cs="Times New Roman"/>
          <w:color w:val="222222"/>
        </w:rPr>
        <w:t>, Paris (</w:t>
      </w:r>
      <w:proofErr w:type="spellStart"/>
      <w:r w:rsidRPr="00302437">
        <w:rPr>
          <w:rFonts w:ascii="Times New Roman" w:hAnsi="Times New Roman" w:cs="Times New Roman"/>
          <w:color w:val="222222"/>
        </w:rPr>
        <w:t>trad</w:t>
      </w:r>
      <w:proofErr w:type="spellEnd"/>
      <w:r w:rsidRPr="00302437">
        <w:rPr>
          <w:rFonts w:ascii="Times New Roman" w:hAnsi="Times New Roman" w:cs="Times New Roman"/>
          <w:color w:val="222222"/>
        </w:rPr>
        <w:t xml:space="preserve">. </w:t>
      </w:r>
      <w:proofErr w:type="spellStart"/>
      <w:r w:rsidRPr="00302437">
        <w:rPr>
          <w:rFonts w:ascii="Times New Roman" w:hAnsi="Times New Roman" w:cs="Times New Roman"/>
          <w:color w:val="222222"/>
        </w:rPr>
        <w:t>it</w:t>
      </w:r>
      <w:proofErr w:type="spellEnd"/>
      <w:r w:rsidRPr="00302437">
        <w:rPr>
          <w:rFonts w:ascii="Times New Roman" w:hAnsi="Times New Roman" w:cs="Times New Roman"/>
          <w:color w:val="222222"/>
        </w:rPr>
        <w:t xml:space="preserve">., </w:t>
      </w:r>
      <w:r w:rsidRPr="00302437">
        <w:rPr>
          <w:rFonts w:ascii="Times New Roman" w:hAnsi="Times New Roman" w:cs="Times New Roman"/>
          <w:i/>
          <w:iCs/>
          <w:color w:val="222222"/>
        </w:rPr>
        <w:t>La società riflessa</w:t>
      </w:r>
      <w:r w:rsidRPr="00302437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302437">
        <w:rPr>
          <w:rFonts w:ascii="Times New Roman" w:hAnsi="Times New Roman" w:cs="Times New Roman"/>
          <w:color w:val="222222"/>
        </w:rPr>
        <w:t>Meltemi</w:t>
      </w:r>
      <w:proofErr w:type="spellEnd"/>
      <w:r w:rsidRPr="00302437">
        <w:rPr>
          <w:rFonts w:ascii="Times New Roman" w:hAnsi="Times New Roman" w:cs="Times New Roman"/>
          <w:color w:val="222222"/>
        </w:rPr>
        <w:t xml:space="preserve">, Roma 1999). </w:t>
      </w:r>
    </w:p>
    <w:p w:rsidR="0089225F" w:rsidRDefault="0089225F">
      <w:pPr>
        <w:rPr>
          <w:rFonts w:cstheme="minorHAnsi"/>
          <w:color w:val="222222"/>
        </w:rPr>
      </w:pPr>
      <w:r>
        <w:rPr>
          <w:rFonts w:cstheme="minorHAnsi"/>
          <w:color w:val="222222"/>
        </w:rPr>
        <w:br w:type="page"/>
      </w:r>
    </w:p>
    <w:p w:rsidR="0089225F" w:rsidRPr="0089225F" w:rsidRDefault="0089225F" w:rsidP="00D717BC">
      <w:pPr>
        <w:spacing w:after="0"/>
        <w:jc w:val="both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89225F">
        <w:rPr>
          <w:rFonts w:ascii="Times New Roman" w:hAnsi="Times New Roman" w:cs="Times New Roman"/>
          <w:b/>
          <w:color w:val="222222"/>
          <w:sz w:val="32"/>
          <w:szCs w:val="32"/>
        </w:rPr>
        <w:lastRenderedPageBreak/>
        <w:t>Relazione convegno</w:t>
      </w:r>
    </w:p>
    <w:p w:rsidR="0089225F" w:rsidRP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Affrontare lo studio di forme ibride come i </w:t>
      </w:r>
      <w:r w:rsidRPr="0089225F">
        <w:rPr>
          <w:rFonts w:ascii="Times New Roman" w:hAnsi="Times New Roman" w:cs="Times New Roman"/>
          <w:i/>
          <w:color w:val="222222"/>
          <w:sz w:val="32"/>
          <w:szCs w:val="32"/>
        </w:rPr>
        <w:t xml:space="preserve">video </w:t>
      </w:r>
      <w:proofErr w:type="spellStart"/>
      <w:r w:rsidRPr="0089225F">
        <w:rPr>
          <w:rFonts w:ascii="Times New Roman" w:hAnsi="Times New Roman" w:cs="Times New Roman"/>
          <w:i/>
          <w:color w:val="222222"/>
          <w:sz w:val="32"/>
          <w:szCs w:val="32"/>
        </w:rPr>
        <w:t>essay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è un modo di portare avanti alcune ipotesi che</w:t>
      </w:r>
      <w:r>
        <w:rPr>
          <w:rFonts w:ascii="Times New Roman" w:hAnsi="Times New Roman" w:cs="Times New Roman"/>
          <w:color w:val="222222"/>
          <w:sz w:val="32"/>
          <w:szCs w:val="32"/>
        </w:rPr>
        <w:t>, assieme a Lucio Spaziante,</w:t>
      </w: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iniziavamo a delineare in una ricerca sulle forme di </w:t>
      </w:r>
      <w:r w:rsidRPr="0089225F">
        <w:rPr>
          <w:rFonts w:ascii="Times New Roman" w:hAnsi="Times New Roman" w:cs="Times New Roman"/>
          <w:i/>
          <w:color w:val="222222"/>
          <w:sz w:val="32"/>
          <w:szCs w:val="32"/>
        </w:rPr>
        <w:t>remix</w:t>
      </w: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e di </w:t>
      </w:r>
      <w:r w:rsidRPr="0089225F">
        <w:rPr>
          <w:rFonts w:ascii="Times New Roman" w:hAnsi="Times New Roman" w:cs="Times New Roman"/>
          <w:i/>
          <w:color w:val="222222"/>
          <w:sz w:val="32"/>
          <w:szCs w:val="32"/>
        </w:rPr>
        <w:t>remake</w:t>
      </w: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, a partire da un convegno internazionale del 2004, quando si era in una fase acerba della svolta digitale, ancora precedente alla nascita di </w:t>
      </w: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YouTube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. Osservavamo all’epoca, che </w:t>
      </w: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“a partire da un </w:t>
      </w:r>
      <w:r w:rsidRPr="0089225F">
        <w:rPr>
          <w:rFonts w:ascii="Times New Roman" w:hAnsi="Times New Roman" w:cs="Times New Roman"/>
          <w:i/>
          <w:color w:val="222222"/>
          <w:sz w:val="32"/>
          <w:szCs w:val="32"/>
        </w:rPr>
        <w:t>fare trasformativo</w:t>
      </w: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dei materiali disponibili, che sa di </w:t>
      </w:r>
      <w:r w:rsidRPr="0089225F">
        <w:rPr>
          <w:rFonts w:ascii="Times New Roman" w:hAnsi="Times New Roman" w:cs="Times New Roman"/>
          <w:i/>
          <w:color w:val="222222"/>
          <w:sz w:val="32"/>
          <w:szCs w:val="32"/>
        </w:rPr>
        <w:t>bricolage</w:t>
      </w: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, attraverso un </w:t>
      </w:r>
      <w:r w:rsidRPr="0089225F">
        <w:rPr>
          <w:rFonts w:ascii="Times New Roman" w:hAnsi="Times New Roman" w:cs="Times New Roman"/>
          <w:i/>
          <w:color w:val="222222"/>
          <w:sz w:val="32"/>
          <w:szCs w:val="32"/>
        </w:rPr>
        <w:t xml:space="preserve">fare </w:t>
      </w:r>
      <w:proofErr w:type="spellStart"/>
      <w:r w:rsidRPr="0089225F">
        <w:rPr>
          <w:rFonts w:ascii="Times New Roman" w:hAnsi="Times New Roman" w:cs="Times New Roman"/>
          <w:i/>
          <w:color w:val="222222"/>
          <w:sz w:val="32"/>
          <w:szCs w:val="32"/>
        </w:rPr>
        <w:t>configurativo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che inizia a rendere esplicite figure e dominanti discorsive, per giungere a un </w:t>
      </w:r>
      <w:r w:rsidRPr="0089225F">
        <w:rPr>
          <w:rFonts w:ascii="Times New Roman" w:hAnsi="Times New Roman" w:cs="Times New Roman"/>
          <w:i/>
          <w:color w:val="222222"/>
          <w:sz w:val="32"/>
          <w:szCs w:val="32"/>
        </w:rPr>
        <w:t>fare manipolativo</w:t>
      </w: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che esplicita le strategie testuali e quindi riapre il gioco tra enunciatore e </w:t>
      </w: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enunciatario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>, prendono vita le nuove strategie testuali di produzione e di fruizione dei testi” (</w:t>
      </w: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Dusi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e Spaziante 2006: 13). </w:t>
      </w: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89225F">
        <w:rPr>
          <w:rFonts w:ascii="Times New Roman" w:hAnsi="Times New Roman" w:cs="Times New Roman"/>
          <w:color w:val="222222"/>
          <w:sz w:val="32"/>
          <w:szCs w:val="32"/>
        </w:rPr>
        <w:t>In quella prima mappatura si delineavano alcune logiche che erano alla base delle nuove pratiche audiovisive e musicali di inizio millennio, contraddistinte dal gusto della ricombinazione, tra campionamento, remix e altre trasformazioni manipolative di prodotti mediali preesistenti.</w:t>
      </w: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89225F" w:rsidRP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5F6A25" w:rsidRP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Denis Bertrand ha ripreso la semiotica tensiva di Claude </w:t>
      </w: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Zilberberg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per applicarla al discorso politico contemporaneo. Bertrand spiega la “grammatica tensiva” come una proposta che attribuisce alle emozioni e alla gradualità dell’affetto una “funzione direttrice nella produzione di senso”, nonché come una semiotica degli “intervalli, dei recuperi, delle dipendenze e delle misure di intensità.” (Bertrand 2010: 34).</w:t>
      </w: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89225F" w:rsidRP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Per </w:t>
      </w: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Ricoeur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(1983: 113) si tratta di “</w:t>
      </w: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ri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>-figurare” nell’interpretazione critica le “configurazioni” del testo</w:t>
      </w: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D24BDB" w:rsidRDefault="00D24BDB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D24BDB" w:rsidRDefault="00D24BDB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proofErr w:type="spellStart"/>
      <w:r w:rsidRPr="00D24BDB">
        <w:rPr>
          <w:rFonts w:ascii="Times New Roman" w:hAnsi="Times New Roman" w:cs="Times New Roman"/>
          <w:b/>
          <w:color w:val="222222"/>
          <w:sz w:val="32"/>
          <w:szCs w:val="32"/>
        </w:rPr>
        <w:t>Manovich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mette a confronto le logiche temporali del montaggio cinematografico, sia nel loro concatenamento causale sia nella composizione interna all'inquadratura, ricordando le proposte </w:t>
      </w: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Ejzenstejn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(1963-1970).</w:t>
      </w: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Manovich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ragiona poi sulla dimensione sintagmatica che riappare anche come risultato di ogni interazione e percorso tra i link ipertestuali in una navigazione Web, per una sequenzialità della narrazione che a suo avviso viene dal cinema.</w:t>
      </w: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>
        <w:rPr>
          <w:rFonts w:ascii="Times New Roman" w:hAnsi="Times New Roman" w:cs="Times New Roman"/>
          <w:color w:val="222222"/>
          <w:sz w:val="32"/>
          <w:szCs w:val="32"/>
        </w:rPr>
        <w:t>Oggettivante / soggettivante</w:t>
      </w: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Potremmo associare questi due modi discorsivi alle modalità “espositiva”, che si rivolge direttamente allo spettatore con una funzione argomentativa e didattica, e a quella “poetica” che invece punta più sul livello espressivo e la rielaborazione delle immagini in modo persuasivo: ne discute con precisione </w:t>
      </w: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Grizzaffi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(2017), citando tra le altre le posizioni di </w:t>
      </w: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Keathley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(2011) e di </w:t>
      </w:r>
      <w:proofErr w:type="spellStart"/>
      <w:r w:rsidRPr="0089225F">
        <w:rPr>
          <w:rFonts w:ascii="Times New Roman" w:hAnsi="Times New Roman" w:cs="Times New Roman"/>
          <w:color w:val="222222"/>
          <w:sz w:val="32"/>
          <w:szCs w:val="32"/>
        </w:rPr>
        <w:t>Morton</w:t>
      </w:r>
      <w:proofErr w:type="spellEnd"/>
      <w:r w:rsidRPr="0089225F">
        <w:rPr>
          <w:rFonts w:ascii="Times New Roman" w:hAnsi="Times New Roman" w:cs="Times New Roman"/>
          <w:color w:val="222222"/>
          <w:sz w:val="32"/>
          <w:szCs w:val="32"/>
        </w:rPr>
        <w:t xml:space="preserve"> (2014).</w:t>
      </w:r>
    </w:p>
    <w:p w:rsidR="0089225F" w:rsidRDefault="0089225F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D24BDB" w:rsidRDefault="00D24BDB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due modi fondamentali della narrazione e della comunicazione, un </w:t>
      </w:r>
      <w:r w:rsidRPr="00D24BDB">
        <w:rPr>
          <w:rFonts w:ascii="Times New Roman" w:hAnsi="Times New Roman" w:cs="Times New Roman"/>
          <w:b/>
          <w:color w:val="222222"/>
          <w:sz w:val="32"/>
          <w:szCs w:val="32"/>
        </w:rPr>
        <w:t>modo oggettivante e uno soggettivante</w:t>
      </w: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 (cfr. </w:t>
      </w:r>
      <w:proofErr w:type="spellStart"/>
      <w:r w:rsidRPr="00D24BDB">
        <w:rPr>
          <w:rFonts w:ascii="Times New Roman" w:hAnsi="Times New Roman" w:cs="Times New Roman"/>
          <w:color w:val="222222"/>
          <w:sz w:val="32"/>
          <w:szCs w:val="32"/>
        </w:rPr>
        <w:t>Greimas</w:t>
      </w:r>
      <w:proofErr w:type="spellEnd"/>
      <w:r w:rsidRPr="00D24BDB">
        <w:rPr>
          <w:rFonts w:ascii="Times New Roman" w:hAnsi="Times New Roman" w:cs="Times New Roman"/>
          <w:color w:val="222222"/>
          <w:sz w:val="32"/>
          <w:szCs w:val="32"/>
        </w:rPr>
        <w:t>,</w:t>
      </w:r>
      <w:r>
        <w:rPr>
          <w:rFonts w:ascii="Times New Roman" w:hAnsi="Times New Roman" w:cs="Times New Roman"/>
          <w:color w:val="222222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32"/>
          <w:szCs w:val="32"/>
        </w:rPr>
        <w:t>Courtés</w:t>
      </w:r>
      <w:proofErr w:type="spellEnd"/>
      <w:r>
        <w:rPr>
          <w:rFonts w:ascii="Times New Roman" w:hAnsi="Times New Roman" w:cs="Times New Roman"/>
          <w:color w:val="222222"/>
          <w:sz w:val="32"/>
          <w:szCs w:val="32"/>
        </w:rPr>
        <w:t xml:space="preserve"> 1979; </w:t>
      </w:r>
      <w:proofErr w:type="spellStart"/>
      <w:r>
        <w:rPr>
          <w:rFonts w:ascii="Times New Roman" w:hAnsi="Times New Roman" w:cs="Times New Roman"/>
          <w:color w:val="222222"/>
          <w:sz w:val="32"/>
          <w:szCs w:val="32"/>
        </w:rPr>
        <w:t>Landowski</w:t>
      </w:r>
      <w:proofErr w:type="spellEnd"/>
      <w:r>
        <w:rPr>
          <w:rFonts w:ascii="Times New Roman" w:hAnsi="Times New Roman" w:cs="Times New Roman"/>
          <w:color w:val="222222"/>
          <w:sz w:val="32"/>
          <w:szCs w:val="32"/>
        </w:rPr>
        <w:t xml:space="preserve"> 1989).</w:t>
      </w:r>
    </w:p>
    <w:p w:rsidR="00D24BDB" w:rsidRDefault="00D24BDB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Il </w:t>
      </w:r>
      <w:r w:rsidRPr="00D24BDB">
        <w:rPr>
          <w:rFonts w:ascii="Times New Roman" w:hAnsi="Times New Roman" w:cs="Times New Roman"/>
          <w:i/>
          <w:iCs/>
          <w:color w:val="222222"/>
          <w:sz w:val="32"/>
          <w:szCs w:val="32"/>
        </w:rPr>
        <w:t>modo oggettivante</w:t>
      </w: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 delle forme brevi si fonda su una “logica della scelta”: costruisce un destinatario autonomo, capace di definire i propri bisogni e usare le proprie competenze per soddisfarli. L’enunciatore del discorso si pone come un </w:t>
      </w:r>
      <w:r w:rsidRPr="00D24BDB">
        <w:rPr>
          <w:rFonts w:ascii="Times New Roman" w:hAnsi="Times New Roman" w:cs="Times New Roman"/>
          <w:i/>
          <w:iCs/>
          <w:color w:val="222222"/>
          <w:sz w:val="32"/>
          <w:szCs w:val="32"/>
        </w:rPr>
        <w:t xml:space="preserve">aiutante </w:t>
      </w: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del destinatario-spettatore modello, che è un </w:t>
      </w:r>
      <w:r w:rsidRPr="00D24BDB">
        <w:rPr>
          <w:rFonts w:ascii="Times New Roman" w:hAnsi="Times New Roman" w:cs="Times New Roman"/>
          <w:i/>
          <w:iCs/>
          <w:color w:val="222222"/>
          <w:sz w:val="32"/>
          <w:szCs w:val="32"/>
        </w:rPr>
        <w:t xml:space="preserve">testimone attento e interessato, </w:t>
      </w: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oppure più </w:t>
      </w:r>
      <w:r w:rsidRPr="00D24BDB">
        <w:rPr>
          <w:rFonts w:ascii="Times New Roman" w:hAnsi="Times New Roman" w:cs="Times New Roman"/>
          <w:i/>
          <w:iCs/>
          <w:color w:val="222222"/>
          <w:sz w:val="32"/>
          <w:szCs w:val="32"/>
        </w:rPr>
        <w:t>informato</w:t>
      </w: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 e </w:t>
      </w:r>
      <w:r w:rsidRPr="00D24BDB">
        <w:rPr>
          <w:rFonts w:ascii="Times New Roman" w:hAnsi="Times New Roman" w:cs="Times New Roman"/>
          <w:i/>
          <w:iCs/>
          <w:color w:val="222222"/>
          <w:sz w:val="32"/>
          <w:szCs w:val="32"/>
        </w:rPr>
        <w:t>distaccato</w:t>
      </w: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, ma pur sempre </w:t>
      </w:r>
      <w:r w:rsidRPr="00D24BDB">
        <w:rPr>
          <w:rFonts w:ascii="Times New Roman" w:hAnsi="Times New Roman" w:cs="Times New Roman"/>
          <w:i/>
          <w:iCs/>
          <w:color w:val="222222"/>
          <w:sz w:val="32"/>
          <w:szCs w:val="32"/>
        </w:rPr>
        <w:t xml:space="preserve">critico, </w:t>
      </w:r>
      <w:r>
        <w:rPr>
          <w:rFonts w:ascii="Times New Roman" w:hAnsi="Times New Roman" w:cs="Times New Roman"/>
          <w:color w:val="222222"/>
          <w:sz w:val="32"/>
          <w:szCs w:val="32"/>
        </w:rPr>
        <w:t>coinvolto cognitivamente.</w:t>
      </w:r>
    </w:p>
    <w:p w:rsidR="00D24BDB" w:rsidRDefault="00D24BDB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>
        <w:rPr>
          <w:rFonts w:ascii="Times New Roman" w:hAnsi="Times New Roman" w:cs="Times New Roman"/>
          <w:color w:val="222222"/>
          <w:sz w:val="32"/>
          <w:szCs w:val="32"/>
        </w:rPr>
        <w:t>Dove</w:t>
      </w: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 prevale il </w:t>
      </w:r>
      <w:r w:rsidRPr="00D24BDB">
        <w:rPr>
          <w:rFonts w:ascii="Times New Roman" w:hAnsi="Times New Roman" w:cs="Times New Roman"/>
          <w:b/>
          <w:i/>
          <w:iCs/>
          <w:color w:val="222222"/>
          <w:sz w:val="32"/>
          <w:szCs w:val="32"/>
        </w:rPr>
        <w:t>modo soggettivante</w:t>
      </w: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, invece, siamo di fronte ad un discorso fondato su una “logica partecipativa”, fusionale, che </w:t>
      </w:r>
      <w:bookmarkStart w:id="0" w:name="_GoBack"/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costruisce un destinatario incerto sulle proprie competenze, da prendere in carico, ma </w:t>
      </w:r>
      <w:r w:rsidRPr="00D24BDB">
        <w:rPr>
          <w:rFonts w:ascii="Times New Roman" w:hAnsi="Times New Roman" w:cs="Times New Roman"/>
          <w:color w:val="222222"/>
          <w:sz w:val="32"/>
          <w:szCs w:val="32"/>
        </w:rPr>
        <w:lastRenderedPageBreak/>
        <w:t xml:space="preserve">fortemente implicato attraverso un </w:t>
      </w:r>
      <w:r w:rsidRPr="00D24BDB">
        <w:rPr>
          <w:rFonts w:ascii="Times New Roman" w:hAnsi="Times New Roman" w:cs="Times New Roman"/>
          <w:i/>
          <w:iCs/>
          <w:color w:val="222222"/>
          <w:sz w:val="32"/>
          <w:szCs w:val="32"/>
        </w:rPr>
        <w:t xml:space="preserve">coinvolgimento </w:t>
      </w:r>
      <w:proofErr w:type="spellStart"/>
      <w:r w:rsidRPr="00D24BDB">
        <w:rPr>
          <w:rFonts w:ascii="Times New Roman" w:hAnsi="Times New Roman" w:cs="Times New Roman"/>
          <w:i/>
          <w:iCs/>
          <w:color w:val="222222"/>
          <w:sz w:val="32"/>
          <w:szCs w:val="32"/>
        </w:rPr>
        <w:t>patemico</w:t>
      </w:r>
      <w:proofErr w:type="spellEnd"/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 che può andare fino alla </w:t>
      </w:r>
      <w:r w:rsidRPr="00D24BDB">
        <w:rPr>
          <w:rFonts w:ascii="Times New Roman" w:hAnsi="Times New Roman" w:cs="Times New Roman"/>
          <w:i/>
          <w:iCs/>
          <w:color w:val="222222"/>
          <w:sz w:val="32"/>
          <w:szCs w:val="32"/>
        </w:rPr>
        <w:t>convivialità</w:t>
      </w:r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 più esplicita</w:t>
      </w:r>
      <w:bookmarkEnd w:id="0"/>
      <w:r w:rsidRPr="00D24BDB">
        <w:rPr>
          <w:rFonts w:ascii="Times New Roman" w:hAnsi="Times New Roman" w:cs="Times New Roman"/>
          <w:color w:val="222222"/>
          <w:sz w:val="32"/>
          <w:szCs w:val="32"/>
        </w:rPr>
        <w:t xml:space="preserve">. </w:t>
      </w:r>
    </w:p>
    <w:p w:rsidR="00D24BDB" w:rsidRDefault="00D24BDB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D24BDB">
        <w:rPr>
          <w:rFonts w:ascii="Times New Roman" w:hAnsi="Times New Roman" w:cs="Times New Roman"/>
          <w:color w:val="222222"/>
          <w:sz w:val="32"/>
          <w:szCs w:val="32"/>
        </w:rPr>
        <w:t>La nostra distinzione, ponendo due termini contrari, permette di supporre altre forme in relazione di contraddittorietà o di complementarietà con le prime</w:t>
      </w:r>
      <w:r>
        <w:rPr>
          <w:rFonts w:ascii="Times New Roman" w:hAnsi="Times New Roman" w:cs="Times New Roman"/>
          <w:color w:val="222222"/>
          <w:sz w:val="32"/>
          <w:szCs w:val="32"/>
        </w:rPr>
        <w:t>.</w:t>
      </w:r>
    </w:p>
    <w:p w:rsidR="00D24BDB" w:rsidRDefault="00D24BDB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p w:rsidR="00D24BDB" w:rsidRPr="0089225F" w:rsidRDefault="00D24BDB" w:rsidP="00D717BC">
      <w:pPr>
        <w:spacing w:after="0"/>
        <w:jc w:val="both"/>
        <w:rPr>
          <w:rFonts w:ascii="Times New Roman" w:hAnsi="Times New Roman" w:cs="Times New Roman"/>
          <w:color w:val="222222"/>
          <w:sz w:val="32"/>
          <w:szCs w:val="32"/>
        </w:rPr>
      </w:pPr>
    </w:p>
    <w:sectPr w:rsidR="00D24BDB" w:rsidRPr="008922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C1A6A"/>
    <w:multiLevelType w:val="hybridMultilevel"/>
    <w:tmpl w:val="2D78D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8F"/>
    <w:rsid w:val="00070130"/>
    <w:rsid w:val="00082923"/>
    <w:rsid w:val="000C21CD"/>
    <w:rsid w:val="00153596"/>
    <w:rsid w:val="00187B52"/>
    <w:rsid w:val="001A7BFF"/>
    <w:rsid w:val="001E4CDB"/>
    <w:rsid w:val="001E6721"/>
    <w:rsid w:val="00201DE4"/>
    <w:rsid w:val="002035A4"/>
    <w:rsid w:val="0020616C"/>
    <w:rsid w:val="002578EF"/>
    <w:rsid w:val="002A3FF5"/>
    <w:rsid w:val="00302437"/>
    <w:rsid w:val="00367163"/>
    <w:rsid w:val="00394A76"/>
    <w:rsid w:val="0042374A"/>
    <w:rsid w:val="0042736B"/>
    <w:rsid w:val="00466258"/>
    <w:rsid w:val="004A6681"/>
    <w:rsid w:val="004C3969"/>
    <w:rsid w:val="004D3984"/>
    <w:rsid w:val="004E12D1"/>
    <w:rsid w:val="00530B92"/>
    <w:rsid w:val="005D3250"/>
    <w:rsid w:val="005D6827"/>
    <w:rsid w:val="005E0AF1"/>
    <w:rsid w:val="005F6A25"/>
    <w:rsid w:val="00617620"/>
    <w:rsid w:val="006B565D"/>
    <w:rsid w:val="006D689D"/>
    <w:rsid w:val="006E4941"/>
    <w:rsid w:val="00714175"/>
    <w:rsid w:val="00730263"/>
    <w:rsid w:val="00777E99"/>
    <w:rsid w:val="0089225F"/>
    <w:rsid w:val="00941229"/>
    <w:rsid w:val="009E018F"/>
    <w:rsid w:val="00A026DF"/>
    <w:rsid w:val="00A0533B"/>
    <w:rsid w:val="00A37276"/>
    <w:rsid w:val="00A415A3"/>
    <w:rsid w:val="00A846F7"/>
    <w:rsid w:val="00B1709C"/>
    <w:rsid w:val="00BD203F"/>
    <w:rsid w:val="00C21C50"/>
    <w:rsid w:val="00CE4FB9"/>
    <w:rsid w:val="00D24BDB"/>
    <w:rsid w:val="00D717BC"/>
    <w:rsid w:val="00D82ADA"/>
    <w:rsid w:val="00D8669B"/>
    <w:rsid w:val="00E0725A"/>
    <w:rsid w:val="00E74ED0"/>
    <w:rsid w:val="00EC7A20"/>
    <w:rsid w:val="00EE38E6"/>
    <w:rsid w:val="00E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018F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E0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D398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3984"/>
    <w:rPr>
      <w:color w:val="808080"/>
      <w:shd w:val="clear" w:color="auto" w:fill="E6E6E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39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396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018F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E0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D398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3984"/>
    <w:rPr>
      <w:color w:val="808080"/>
      <w:shd w:val="clear" w:color="auto" w:fill="E6E6E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39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396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ft.ucla.edu/mediascape/Winter2013_DejaViewing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Spaziante</dc:creator>
  <cp:keywords/>
  <dc:description/>
  <cp:lastModifiedBy> </cp:lastModifiedBy>
  <cp:revision>5</cp:revision>
  <dcterms:created xsi:type="dcterms:W3CDTF">2018-01-31T13:24:00Z</dcterms:created>
  <dcterms:modified xsi:type="dcterms:W3CDTF">2018-06-02T18:13:00Z</dcterms:modified>
</cp:coreProperties>
</file>