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75C344" w14:textId="1E863C83" w:rsidR="00C94AA5" w:rsidRPr="00022B05" w:rsidRDefault="00BE5C67" w:rsidP="00B120F3">
      <w:pPr>
        <w:pStyle w:val="Title"/>
        <w:rPr>
          <w:rFonts w:cs="Times New Roman"/>
        </w:rPr>
      </w:pPr>
      <w:r w:rsidRPr="00022B05">
        <w:rPr>
          <w:rFonts w:cs="Times New Roman"/>
        </w:rPr>
        <w:t>Effect of melt/lithosphere interactions on MORB chemistry at the easternmost Southwest Indian Ridge (61 to 67°E)</w:t>
      </w:r>
    </w:p>
    <w:p w14:paraId="32E6B0CF" w14:textId="46D81247" w:rsidR="00C94AA5" w:rsidRPr="008630DC" w:rsidRDefault="00BE5C67" w:rsidP="00B120F3">
      <w:pPr>
        <w:pStyle w:val="Authors"/>
        <w:rPr>
          <w:lang w:val="fr-FR"/>
          <w:rPrChange w:id="0" w:author="Daniele" w:date="2016-04-03T18:28:00Z">
            <w:rPr/>
          </w:rPrChange>
        </w:rPr>
      </w:pPr>
      <w:r w:rsidRPr="008630DC">
        <w:rPr>
          <w:lang w:val="fr-FR"/>
          <w:rPrChange w:id="1" w:author="Daniele" w:date="2016-04-03T18:28:00Z">
            <w:rPr/>
          </w:rPrChange>
        </w:rPr>
        <w:t>M. Paquet</w:t>
      </w:r>
      <w:r w:rsidR="00545B6C" w:rsidRPr="008630DC">
        <w:rPr>
          <w:vertAlign w:val="superscript"/>
          <w:lang w:val="fr-FR"/>
          <w:rPrChange w:id="2" w:author="Daniele" w:date="2016-04-03T18:28:00Z">
            <w:rPr>
              <w:vertAlign w:val="superscript"/>
            </w:rPr>
          </w:rPrChange>
        </w:rPr>
        <w:t>1</w:t>
      </w:r>
      <w:r w:rsidRPr="008630DC">
        <w:rPr>
          <w:vertAlign w:val="superscript"/>
          <w:lang w:val="fr-FR"/>
          <w:rPrChange w:id="3" w:author="Daniele" w:date="2016-04-03T18:28:00Z">
            <w:rPr>
              <w:vertAlign w:val="superscript"/>
            </w:rPr>
          </w:rPrChange>
        </w:rPr>
        <w:t>*</w:t>
      </w:r>
      <w:r w:rsidR="00C94AA5" w:rsidRPr="008630DC">
        <w:rPr>
          <w:lang w:val="fr-FR"/>
          <w:rPrChange w:id="4" w:author="Daniele" w:date="2016-04-03T18:28:00Z">
            <w:rPr/>
          </w:rPrChange>
        </w:rPr>
        <w:t>,</w:t>
      </w:r>
      <w:r w:rsidRPr="008630DC">
        <w:rPr>
          <w:lang w:val="fr-FR"/>
          <w:rPrChange w:id="5" w:author="Daniele" w:date="2016-04-03T18:28:00Z">
            <w:rPr/>
          </w:rPrChange>
        </w:rPr>
        <w:t xml:space="preserve"> M. Cannat</w:t>
      </w:r>
      <w:r w:rsidRPr="008630DC">
        <w:rPr>
          <w:vertAlign w:val="superscript"/>
          <w:lang w:val="fr-FR"/>
          <w:rPrChange w:id="6" w:author="Daniele" w:date="2016-04-03T18:28:00Z">
            <w:rPr>
              <w:vertAlign w:val="superscript"/>
            </w:rPr>
          </w:rPrChange>
        </w:rPr>
        <w:t>1</w:t>
      </w:r>
      <w:r w:rsidRPr="008630DC">
        <w:rPr>
          <w:lang w:val="fr-FR"/>
          <w:rPrChange w:id="7" w:author="Daniele" w:date="2016-04-03T18:28:00Z">
            <w:rPr/>
          </w:rPrChange>
        </w:rPr>
        <w:t>, D. Brunelli</w:t>
      </w:r>
      <w:r w:rsidR="00545B6C" w:rsidRPr="008630DC">
        <w:rPr>
          <w:vertAlign w:val="superscript"/>
          <w:lang w:val="fr-FR"/>
          <w:rPrChange w:id="8" w:author="Daniele" w:date="2016-04-03T18:28:00Z">
            <w:rPr>
              <w:vertAlign w:val="superscript"/>
            </w:rPr>
          </w:rPrChange>
        </w:rPr>
        <w:t>2</w:t>
      </w:r>
      <w:proofErr w:type="gramStart"/>
      <w:r w:rsidR="001A6CAD" w:rsidRPr="008630DC">
        <w:rPr>
          <w:vertAlign w:val="superscript"/>
          <w:lang w:val="fr-FR"/>
          <w:rPrChange w:id="9" w:author="Daniele" w:date="2016-04-03T18:28:00Z">
            <w:rPr>
              <w:vertAlign w:val="superscript"/>
            </w:rPr>
          </w:rPrChange>
        </w:rPr>
        <w:t>,3</w:t>
      </w:r>
      <w:proofErr w:type="gramEnd"/>
      <w:r w:rsidR="00C94AA5" w:rsidRPr="008630DC">
        <w:rPr>
          <w:lang w:val="fr-FR"/>
          <w:rPrChange w:id="10" w:author="Daniele" w:date="2016-04-03T18:28:00Z">
            <w:rPr/>
          </w:rPrChange>
        </w:rPr>
        <w:t>,</w:t>
      </w:r>
      <w:r w:rsidRPr="008630DC">
        <w:rPr>
          <w:lang w:val="fr-FR"/>
          <w:rPrChange w:id="11" w:author="Daniele" w:date="2016-04-03T18:28:00Z">
            <w:rPr/>
          </w:rPrChange>
        </w:rPr>
        <w:t xml:space="preserve"> C. </w:t>
      </w:r>
      <w:r w:rsidR="001A6CAD" w:rsidRPr="008630DC">
        <w:rPr>
          <w:lang w:val="fr-FR"/>
          <w:rPrChange w:id="12" w:author="Daniele" w:date="2016-04-03T18:28:00Z">
            <w:rPr/>
          </w:rPrChange>
        </w:rPr>
        <w:t>Hamelin</w:t>
      </w:r>
      <w:r w:rsidR="001A6CAD" w:rsidRPr="008630DC">
        <w:rPr>
          <w:vertAlign w:val="superscript"/>
          <w:lang w:val="fr-FR"/>
          <w:rPrChange w:id="13" w:author="Daniele" w:date="2016-04-03T18:28:00Z">
            <w:rPr>
              <w:vertAlign w:val="superscript"/>
            </w:rPr>
          </w:rPrChange>
        </w:rPr>
        <w:t>4</w:t>
      </w:r>
      <w:r w:rsidRPr="008630DC">
        <w:rPr>
          <w:lang w:val="fr-FR"/>
          <w:rPrChange w:id="14" w:author="Daniele" w:date="2016-04-03T18:28:00Z">
            <w:rPr/>
          </w:rPrChange>
        </w:rPr>
        <w:t xml:space="preserve">, and E. </w:t>
      </w:r>
      <w:r w:rsidR="001A6CAD" w:rsidRPr="008630DC">
        <w:rPr>
          <w:lang w:val="fr-FR"/>
          <w:rPrChange w:id="15" w:author="Daniele" w:date="2016-04-03T18:28:00Z">
            <w:rPr/>
          </w:rPrChange>
        </w:rPr>
        <w:t>Humler</w:t>
      </w:r>
      <w:r w:rsidR="001A6CAD" w:rsidRPr="008630DC">
        <w:rPr>
          <w:vertAlign w:val="superscript"/>
          <w:lang w:val="fr-FR"/>
          <w:rPrChange w:id="16" w:author="Daniele" w:date="2016-04-03T18:28:00Z">
            <w:rPr>
              <w:vertAlign w:val="superscript"/>
            </w:rPr>
          </w:rPrChange>
        </w:rPr>
        <w:t>5</w:t>
      </w:r>
      <w:r w:rsidR="001A6CAD" w:rsidRPr="008630DC">
        <w:rPr>
          <w:lang w:val="fr-FR"/>
          <w:rPrChange w:id="17" w:author="Daniele" w:date="2016-04-03T18:28:00Z">
            <w:rPr/>
          </w:rPrChange>
        </w:rPr>
        <w:t xml:space="preserve"> </w:t>
      </w:r>
    </w:p>
    <w:p w14:paraId="04BCF5E5" w14:textId="7B0C8915" w:rsidR="007110A6" w:rsidRPr="00CC49FC" w:rsidRDefault="007110A6" w:rsidP="00CC49FC">
      <w:pPr>
        <w:widowControl w:val="0"/>
        <w:autoSpaceDE w:val="0"/>
        <w:autoSpaceDN w:val="0"/>
        <w:adjustRightInd w:val="0"/>
        <w:rPr>
          <w:rFonts w:eastAsiaTheme="minorHAnsi"/>
          <w:sz w:val="32"/>
          <w:szCs w:val="22"/>
          <w:lang w:val="fr-FR"/>
        </w:rPr>
      </w:pPr>
      <w:r w:rsidRPr="007110A6">
        <w:rPr>
          <w:rFonts w:eastAsiaTheme="minorHAnsi"/>
          <w:sz w:val="24"/>
          <w:szCs w:val="22"/>
          <w:vertAlign w:val="superscript"/>
          <w:lang w:val="fr-FR"/>
        </w:rPr>
        <w:t>1</w:t>
      </w:r>
      <w:r w:rsidRPr="007110A6">
        <w:rPr>
          <w:rFonts w:eastAsiaTheme="minorHAnsi"/>
          <w:sz w:val="24"/>
          <w:szCs w:val="22"/>
          <w:lang w:val="fr-FR"/>
        </w:rPr>
        <w:t>Equipe de Géosciences Marines, Institut de Physique du Globe de Paris, Sorbonne Paris Cité,</w:t>
      </w:r>
      <w:r w:rsidR="00CC49FC">
        <w:rPr>
          <w:rFonts w:eastAsiaTheme="minorHAnsi"/>
          <w:sz w:val="24"/>
          <w:szCs w:val="22"/>
          <w:lang w:val="fr-FR"/>
        </w:rPr>
        <w:t xml:space="preserve"> Université Paris Diderot, </w:t>
      </w:r>
      <w:r w:rsidRPr="00CC49FC">
        <w:rPr>
          <w:rFonts w:eastAsiaTheme="minorHAnsi"/>
          <w:sz w:val="24"/>
          <w:szCs w:val="22"/>
          <w:lang w:val="fr-FR"/>
        </w:rPr>
        <w:t>UMR7154 CNRS, 1, rue Jussieu, 75238 Paris cedex 05, France</w:t>
      </w:r>
    </w:p>
    <w:p w14:paraId="0D75D89F" w14:textId="052ED45F" w:rsidR="00341277" w:rsidRPr="008630DC" w:rsidRDefault="00545B6C" w:rsidP="007110A6">
      <w:pPr>
        <w:pStyle w:val="Affiliation"/>
        <w:rPr>
          <w:rFonts w:eastAsiaTheme="minorHAnsi"/>
          <w:szCs w:val="22"/>
          <w:lang w:val="it-IT"/>
          <w:rPrChange w:id="18" w:author="Daniele" w:date="2016-04-03T18:28:00Z">
            <w:rPr>
              <w:rFonts w:eastAsiaTheme="minorHAnsi"/>
              <w:szCs w:val="22"/>
              <w:lang w:val="fr-FR"/>
            </w:rPr>
          </w:rPrChange>
        </w:rPr>
      </w:pPr>
      <w:r w:rsidRPr="008630DC">
        <w:rPr>
          <w:vertAlign w:val="superscript"/>
          <w:lang w:val="it-IT"/>
          <w:rPrChange w:id="19" w:author="Daniele" w:date="2016-04-03T18:28:00Z">
            <w:rPr>
              <w:vertAlign w:val="superscript"/>
            </w:rPr>
          </w:rPrChange>
        </w:rPr>
        <w:t>2</w:t>
      </w:r>
      <w:r w:rsidR="00341277" w:rsidRPr="008630DC">
        <w:rPr>
          <w:rFonts w:eastAsiaTheme="minorHAnsi"/>
          <w:szCs w:val="22"/>
          <w:lang w:val="it-IT"/>
          <w:rPrChange w:id="20" w:author="Daniele" w:date="2016-04-03T18:28:00Z">
            <w:rPr>
              <w:rFonts w:eastAsiaTheme="minorHAnsi"/>
              <w:szCs w:val="22"/>
              <w:lang w:val="fr-FR"/>
            </w:rPr>
          </w:rPrChange>
        </w:rPr>
        <w:t xml:space="preserve">Dipartimento di Scienze Chimiche e Geologiche, Università di Modena e Reggio Emilia, </w:t>
      </w:r>
      <w:del w:id="21" w:author="Daniele" w:date="2016-04-03T18:49:00Z">
        <w:r w:rsidR="00341277" w:rsidRPr="008630DC" w:rsidDel="00DD1950">
          <w:rPr>
            <w:rFonts w:eastAsiaTheme="minorHAnsi"/>
            <w:szCs w:val="22"/>
            <w:lang w:val="it-IT"/>
            <w:rPrChange w:id="22" w:author="Daniele" w:date="2016-04-03T18:28:00Z">
              <w:rPr>
                <w:rFonts w:eastAsiaTheme="minorHAnsi"/>
                <w:szCs w:val="22"/>
                <w:lang w:val="fr-FR"/>
              </w:rPr>
            </w:rPrChange>
          </w:rPr>
          <w:delText>P.zza S. Eufemia 19, 4110</w:delText>
        </w:r>
      </w:del>
      <w:ins w:id="23" w:author="Daniele" w:date="2016-04-03T18:49:00Z">
        <w:r w:rsidR="00DD1950">
          <w:rPr>
            <w:rFonts w:eastAsiaTheme="minorHAnsi"/>
            <w:szCs w:val="22"/>
            <w:lang w:val="it-IT"/>
          </w:rPr>
          <w:t>Via Campi 103, 41</w:t>
        </w:r>
      </w:ins>
      <w:del w:id="24" w:author="Daniele" w:date="2016-04-03T18:50:00Z">
        <w:r w:rsidR="00341277" w:rsidRPr="008630DC" w:rsidDel="00DD1950">
          <w:rPr>
            <w:rFonts w:eastAsiaTheme="minorHAnsi"/>
            <w:szCs w:val="22"/>
            <w:lang w:val="it-IT"/>
            <w:rPrChange w:id="25" w:author="Daniele" w:date="2016-04-03T18:28:00Z">
              <w:rPr>
                <w:rFonts w:eastAsiaTheme="minorHAnsi"/>
                <w:szCs w:val="22"/>
                <w:lang w:val="fr-FR"/>
              </w:rPr>
            </w:rPrChange>
          </w:rPr>
          <w:delText>0</w:delText>
        </w:r>
      </w:del>
      <w:ins w:id="26" w:author="Daniele" w:date="2016-04-03T18:50:00Z">
        <w:r w:rsidR="00DD1950">
          <w:rPr>
            <w:rFonts w:eastAsiaTheme="minorHAnsi"/>
            <w:szCs w:val="22"/>
            <w:lang w:val="it-IT"/>
          </w:rPr>
          <w:t>125</w:t>
        </w:r>
      </w:ins>
      <w:r w:rsidR="00341277" w:rsidRPr="008630DC">
        <w:rPr>
          <w:rFonts w:eastAsiaTheme="minorHAnsi"/>
          <w:szCs w:val="22"/>
          <w:lang w:val="it-IT"/>
          <w:rPrChange w:id="27" w:author="Daniele" w:date="2016-04-03T18:28:00Z">
            <w:rPr>
              <w:rFonts w:eastAsiaTheme="minorHAnsi"/>
              <w:szCs w:val="22"/>
              <w:lang w:val="fr-FR"/>
            </w:rPr>
          </w:rPrChange>
        </w:rPr>
        <w:t xml:space="preserve"> Modena, Italy </w:t>
      </w:r>
    </w:p>
    <w:p w14:paraId="7B40B6C9" w14:textId="7CB13C65" w:rsidR="001A6CAD" w:rsidRPr="00022B05" w:rsidRDefault="001A6CAD" w:rsidP="007110A6">
      <w:pPr>
        <w:pStyle w:val="Affiliation"/>
      </w:pPr>
      <w:r w:rsidRPr="0075775B">
        <w:rPr>
          <w:vertAlign w:val="superscript"/>
        </w:rPr>
        <w:t>3</w:t>
      </w:r>
      <w:r>
        <w:t>Institute for Marine Sciences, CNR – ISMAR, Bologna, Italy</w:t>
      </w:r>
    </w:p>
    <w:p w14:paraId="372EE0DC" w14:textId="0194BA5B" w:rsidR="00247852" w:rsidRPr="00022B05" w:rsidRDefault="001A6CAD" w:rsidP="00B719C8">
      <w:pPr>
        <w:pStyle w:val="Affiliation"/>
      </w:pPr>
      <w:r>
        <w:rPr>
          <w:vertAlign w:val="superscript"/>
        </w:rPr>
        <w:t>4</w:t>
      </w:r>
      <w:r w:rsidRPr="00022B05">
        <w:t xml:space="preserve">Centre </w:t>
      </w:r>
      <w:r w:rsidR="00BE5C67" w:rsidRPr="00022B05">
        <w:t xml:space="preserve">for Geobiology, University of Bergen, </w:t>
      </w:r>
      <w:r w:rsidR="00247852">
        <w:t xml:space="preserve">Allegaten 41 5007, </w:t>
      </w:r>
      <w:r w:rsidR="00BE5C67" w:rsidRPr="00022B05">
        <w:t>Bergen, Norway</w:t>
      </w:r>
    </w:p>
    <w:p w14:paraId="51961DE8" w14:textId="2BF0B411" w:rsidR="00460F1C" w:rsidRPr="008630DC" w:rsidRDefault="001A6CAD" w:rsidP="00B719C8">
      <w:pPr>
        <w:pStyle w:val="Affiliation"/>
        <w:rPr>
          <w:lang w:val="fr-FR"/>
          <w:rPrChange w:id="28" w:author="Daniele" w:date="2016-04-03T18:28:00Z">
            <w:rPr/>
          </w:rPrChange>
        </w:rPr>
      </w:pPr>
      <w:r w:rsidRPr="008630DC">
        <w:rPr>
          <w:vertAlign w:val="superscript"/>
          <w:lang w:val="fr-FR"/>
          <w:rPrChange w:id="29" w:author="Daniele" w:date="2016-04-03T18:28:00Z">
            <w:rPr>
              <w:vertAlign w:val="superscript"/>
            </w:rPr>
          </w:rPrChange>
        </w:rPr>
        <w:t>5</w:t>
      </w:r>
      <w:r w:rsidRPr="008630DC">
        <w:rPr>
          <w:lang w:val="fr-FR"/>
          <w:rPrChange w:id="30" w:author="Daniele" w:date="2016-04-03T18:28:00Z">
            <w:rPr/>
          </w:rPrChange>
        </w:rPr>
        <w:t xml:space="preserve">Laboratoire </w:t>
      </w:r>
      <w:r w:rsidR="004E193A" w:rsidRPr="008630DC">
        <w:rPr>
          <w:lang w:val="fr-FR"/>
          <w:rPrChange w:id="31" w:author="Daniele" w:date="2016-04-03T18:28:00Z">
            <w:rPr/>
          </w:rPrChange>
        </w:rPr>
        <w:t xml:space="preserve">de Planétologie et Géodynamique, </w:t>
      </w:r>
      <w:r w:rsidR="00CA36C1" w:rsidRPr="008630DC">
        <w:rPr>
          <w:lang w:val="fr-FR"/>
          <w:rPrChange w:id="32" w:author="Daniele" w:date="2016-04-03T18:28:00Z">
            <w:rPr/>
          </w:rPrChange>
        </w:rPr>
        <w:t xml:space="preserve">UMR 6112, CNRS, </w:t>
      </w:r>
      <w:r w:rsidR="00BE5C67" w:rsidRPr="008630DC">
        <w:rPr>
          <w:lang w:val="fr-FR"/>
          <w:rPrChange w:id="33" w:author="Daniele" w:date="2016-04-03T18:28:00Z">
            <w:rPr/>
          </w:rPrChange>
        </w:rPr>
        <w:t>Université de Nantes,</w:t>
      </w:r>
      <w:r w:rsidR="00460F1C" w:rsidRPr="008630DC">
        <w:rPr>
          <w:lang w:val="fr-FR"/>
          <w:rPrChange w:id="34" w:author="Daniele" w:date="2016-04-03T18:28:00Z">
            <w:rPr/>
          </w:rPrChange>
        </w:rPr>
        <w:t xml:space="preserve"> 2 rue de la Houssinière, 44322</w:t>
      </w:r>
      <w:r w:rsidR="00BE5C67" w:rsidRPr="008630DC">
        <w:rPr>
          <w:lang w:val="fr-FR"/>
          <w:rPrChange w:id="35" w:author="Daniele" w:date="2016-04-03T18:28:00Z">
            <w:rPr/>
          </w:rPrChange>
        </w:rPr>
        <w:t xml:space="preserve"> Nantes, France</w:t>
      </w:r>
    </w:p>
    <w:p w14:paraId="07063CB4" w14:textId="77777777" w:rsidR="00460F1C" w:rsidRPr="008630DC" w:rsidRDefault="00460F1C" w:rsidP="00B719C8">
      <w:pPr>
        <w:pStyle w:val="Affiliation"/>
        <w:rPr>
          <w:lang w:val="fr-FR"/>
          <w:rPrChange w:id="36" w:author="Daniele" w:date="2016-04-03T18:28:00Z">
            <w:rPr/>
          </w:rPrChange>
        </w:rPr>
      </w:pPr>
    </w:p>
    <w:p w14:paraId="5614852F" w14:textId="07E4FE9F" w:rsidR="00DE3F91" w:rsidRPr="00022B05" w:rsidRDefault="008A6077" w:rsidP="003137C3">
      <w:pPr>
        <w:pStyle w:val="Affiliation"/>
      </w:pPr>
      <w:r w:rsidRPr="00022B05">
        <w:t>Correspond</w:t>
      </w:r>
      <w:r w:rsidR="00DE3F91" w:rsidRPr="00022B05">
        <w:t>ing</w:t>
      </w:r>
      <w:r w:rsidRPr="00022B05">
        <w:t xml:space="preserve"> </w:t>
      </w:r>
      <w:r w:rsidR="006F662E" w:rsidRPr="00022B05">
        <w:t>author:</w:t>
      </w:r>
      <w:r w:rsidRPr="00022B05">
        <w:t xml:space="preserve"> </w:t>
      </w:r>
      <w:r w:rsidR="004E193A" w:rsidRPr="00022B05">
        <w:t>Marine Paquet</w:t>
      </w:r>
      <w:r w:rsidR="00DE3F91" w:rsidRPr="00022B05">
        <w:t xml:space="preserve"> (</w:t>
      </w:r>
      <w:r w:rsidR="004E193A" w:rsidRPr="00022B05">
        <w:t>paquet@ipgp.fr)</w:t>
      </w:r>
    </w:p>
    <w:p w14:paraId="52EAA876" w14:textId="27206C18" w:rsidR="00C94AA5" w:rsidRPr="00022B05" w:rsidRDefault="00C94AA5" w:rsidP="005358D5">
      <w:pPr>
        <w:pStyle w:val="Heading-Main"/>
      </w:pPr>
      <w:r w:rsidRPr="00022B05">
        <w:t>Key Points:</w:t>
      </w:r>
      <w:r w:rsidR="002C0992" w:rsidRPr="00022B05">
        <w:t xml:space="preserve"> </w:t>
      </w:r>
      <w:r w:rsidR="002C0992" w:rsidRPr="00022B05">
        <w:rPr>
          <w:b w:val="0"/>
        </w:rPr>
        <w:t xml:space="preserve">ultraslow spreading </w:t>
      </w:r>
      <w:r w:rsidR="00B258F3">
        <w:rPr>
          <w:b w:val="0"/>
        </w:rPr>
        <w:t xml:space="preserve">mid-ocean </w:t>
      </w:r>
      <w:r w:rsidR="002C0992" w:rsidRPr="00022B05">
        <w:rPr>
          <w:b w:val="0"/>
        </w:rPr>
        <w:t>ridges, MORB petrogenesis, melt-</w:t>
      </w:r>
      <w:r w:rsidR="00B258F3">
        <w:rPr>
          <w:b w:val="0"/>
        </w:rPr>
        <w:t>mantle</w:t>
      </w:r>
      <w:r w:rsidR="002C0992" w:rsidRPr="00022B05">
        <w:rPr>
          <w:b w:val="0"/>
        </w:rPr>
        <w:t xml:space="preserve"> reactions</w:t>
      </w:r>
    </w:p>
    <w:p w14:paraId="5C03B4CB" w14:textId="77777777" w:rsidR="00B719C8" w:rsidRPr="00022B05" w:rsidRDefault="00B719C8">
      <w:pPr>
        <w:rPr>
          <w:color w:val="00B0F0"/>
        </w:rPr>
      </w:pPr>
      <w:r w:rsidRPr="00022B05">
        <w:br w:type="page"/>
      </w:r>
    </w:p>
    <w:p w14:paraId="2659CCE1" w14:textId="77777777" w:rsidR="002F3B11" w:rsidRPr="00022B05" w:rsidRDefault="008A6077" w:rsidP="00C81368">
      <w:pPr>
        <w:pStyle w:val="Heading-Main"/>
      </w:pPr>
      <w:r w:rsidRPr="00022B05">
        <w:lastRenderedPageBreak/>
        <w:t>Abstract</w:t>
      </w:r>
    </w:p>
    <w:p w14:paraId="17B94DAE" w14:textId="215C444D" w:rsidR="009A5BC4" w:rsidRPr="00A9610F" w:rsidRDefault="009A5BC4" w:rsidP="009A5BC4">
      <w:pPr>
        <w:pStyle w:val="BodyText1"/>
        <w:spacing w:line="240" w:lineRule="auto"/>
        <w:rPr>
          <w:rFonts w:ascii="Times New Roman" w:hAnsi="Times New Roman"/>
          <w:sz w:val="24"/>
          <w:szCs w:val="24"/>
        </w:rPr>
      </w:pPr>
      <w:r w:rsidRPr="00022B05">
        <w:rPr>
          <w:rFonts w:ascii="Times New Roman" w:hAnsi="Times New Roman"/>
          <w:sz w:val="24"/>
          <w:lang w:val="en-US"/>
        </w:rPr>
        <w:t>The easternmost part of the Southwest Indian Ridge (61°-67°E)</w:t>
      </w:r>
      <w:r w:rsidRPr="00002E2B">
        <w:rPr>
          <w:sz w:val="24"/>
        </w:rPr>
        <w:t xml:space="preserve"> </w:t>
      </w:r>
      <w:r w:rsidRPr="00022B05">
        <w:rPr>
          <w:sz w:val="24"/>
        </w:rPr>
        <w:t xml:space="preserve">is an end-member of the global ridge system in terms of its very low magma supply. As such, it is a good laboratory to investigate the effect of melt-rock interactions on the composition of erupted basalts: for a given volume of erupted basaltic melt, the volume of reacted mantle is potentially greater than at more magmatically robust ridges. </w:t>
      </w:r>
      <w:r w:rsidRPr="00022B05">
        <w:rPr>
          <w:rFonts w:ascii="Times New Roman" w:hAnsi="Times New Roman"/>
          <w:sz w:val="24"/>
          <w:lang w:val="en-US"/>
        </w:rPr>
        <w:t>We analyzed major</w:t>
      </w:r>
      <w:r>
        <w:rPr>
          <w:rFonts w:ascii="Times New Roman" w:hAnsi="Times New Roman"/>
          <w:sz w:val="24"/>
          <w:lang w:val="en-US"/>
        </w:rPr>
        <w:t>,</w:t>
      </w:r>
      <w:r w:rsidRPr="00022B05">
        <w:rPr>
          <w:rFonts w:ascii="Times New Roman" w:hAnsi="Times New Roman"/>
          <w:sz w:val="24"/>
          <w:lang w:val="en-US"/>
        </w:rPr>
        <w:t xml:space="preserve"> trace element </w:t>
      </w:r>
      <w:r>
        <w:rPr>
          <w:rFonts w:ascii="Times New Roman" w:hAnsi="Times New Roman"/>
          <w:sz w:val="24"/>
          <w:lang w:val="en-US"/>
        </w:rPr>
        <w:t xml:space="preserve">and isotopic </w:t>
      </w:r>
      <w:r w:rsidRPr="00022B05">
        <w:rPr>
          <w:rFonts w:ascii="Times New Roman" w:hAnsi="Times New Roman"/>
          <w:sz w:val="24"/>
          <w:lang w:val="en-US"/>
        </w:rPr>
        <w:t xml:space="preserve">compositions in </w:t>
      </w:r>
      <w:r w:rsidRPr="00022B05">
        <w:rPr>
          <w:sz w:val="24"/>
          <w:szCs w:val="24"/>
        </w:rPr>
        <w:t>three groups of rock</w:t>
      </w:r>
      <w:r>
        <w:rPr>
          <w:sz w:val="24"/>
          <w:szCs w:val="24"/>
        </w:rPr>
        <w:t>s</w:t>
      </w:r>
      <w:r>
        <w:rPr>
          <w:rFonts w:ascii="Times New Roman" w:hAnsi="Times New Roman"/>
          <w:sz w:val="24"/>
          <w:lang w:val="en-US"/>
        </w:rPr>
        <w:t xml:space="preserve"> : </w:t>
      </w:r>
      <w:r w:rsidRPr="00022B05">
        <w:rPr>
          <w:sz w:val="24"/>
          <w:szCs w:val="24"/>
        </w:rPr>
        <w:t>plagioclase-bearing ultramafic and gabbroic rocks dredged in nearly amagmatic corridors; basalts from the sparse volcanic cover of these corridors ("ultramafic seafloor basalts"); and basalts dredged from the intervening, more volcanically active domains ("volcanic seafloor basalts")</w:t>
      </w:r>
      <w:r>
        <w:rPr>
          <w:rFonts w:ascii="Times New Roman" w:hAnsi="Times New Roman"/>
          <w:sz w:val="24"/>
          <w:lang w:val="en-US"/>
        </w:rPr>
        <w:t xml:space="preserve">. </w:t>
      </w:r>
      <w:r>
        <w:rPr>
          <w:rStyle w:val="Strong"/>
          <w:b w:val="0"/>
          <w:sz w:val="24"/>
          <w:szCs w:val="24"/>
        </w:rPr>
        <w:t>U</w:t>
      </w:r>
      <w:r w:rsidRPr="00022B05">
        <w:rPr>
          <w:rStyle w:val="Strong"/>
          <w:b w:val="0"/>
          <w:sz w:val="24"/>
          <w:szCs w:val="24"/>
        </w:rPr>
        <w:t xml:space="preserve">ltramafic seafloor basalts have </w:t>
      </w:r>
      <w:r w:rsidRPr="00022B05">
        <w:rPr>
          <w:sz w:val="24"/>
          <w:szCs w:val="24"/>
        </w:rPr>
        <w:t xml:space="preserve">significantly lower CaO </w:t>
      </w:r>
      <w:r>
        <w:rPr>
          <w:sz w:val="24"/>
          <w:szCs w:val="24"/>
        </w:rPr>
        <w:t>and Al</w:t>
      </w:r>
      <w:r w:rsidRPr="00645D51">
        <w:rPr>
          <w:sz w:val="24"/>
          <w:szCs w:val="24"/>
          <w:vertAlign w:val="subscript"/>
        </w:rPr>
        <w:t>2</w:t>
      </w:r>
      <w:r>
        <w:rPr>
          <w:sz w:val="24"/>
          <w:szCs w:val="24"/>
        </w:rPr>
        <w:t>O</w:t>
      </w:r>
      <w:r w:rsidRPr="00645D51">
        <w:rPr>
          <w:sz w:val="24"/>
          <w:szCs w:val="24"/>
          <w:vertAlign w:val="subscript"/>
        </w:rPr>
        <w:t>3</w:t>
      </w:r>
      <w:r>
        <w:rPr>
          <w:sz w:val="24"/>
          <w:szCs w:val="24"/>
        </w:rPr>
        <w:t xml:space="preserve"> </w:t>
      </w:r>
      <w:r w:rsidRPr="00022B05">
        <w:rPr>
          <w:sz w:val="24"/>
          <w:szCs w:val="24"/>
        </w:rPr>
        <w:t>contents at a given MgO than most volcanic seafloor basalts</w:t>
      </w:r>
      <w:r>
        <w:rPr>
          <w:rFonts w:ascii="Times New Roman" w:hAnsi="Times New Roman"/>
          <w:sz w:val="24"/>
          <w:lang w:val="en-US"/>
        </w:rPr>
        <w:t xml:space="preserve">. We propose that </w:t>
      </w:r>
      <w:r w:rsidR="00645D51">
        <w:rPr>
          <w:sz w:val="24"/>
          <w:szCs w:val="24"/>
        </w:rPr>
        <w:t>both</w:t>
      </w:r>
      <w:r>
        <w:rPr>
          <w:sz w:val="24"/>
          <w:szCs w:val="24"/>
        </w:rPr>
        <w:t xml:space="preserve"> types of basalts are</w:t>
      </w:r>
      <w:r w:rsidRPr="00022B05">
        <w:rPr>
          <w:sz w:val="24"/>
          <w:szCs w:val="24"/>
        </w:rPr>
        <w:t xml:space="preserve"> derived from similar parental melts, but that the ultramafic seafloor basalts are more affected by reactions between th</w:t>
      </w:r>
      <w:r>
        <w:rPr>
          <w:sz w:val="24"/>
          <w:szCs w:val="24"/>
        </w:rPr>
        <w:t>ese</w:t>
      </w:r>
      <w:r w:rsidRPr="00022B05">
        <w:rPr>
          <w:sz w:val="24"/>
          <w:szCs w:val="24"/>
        </w:rPr>
        <w:t xml:space="preserve"> parent melt</w:t>
      </w:r>
      <w:r>
        <w:rPr>
          <w:sz w:val="24"/>
          <w:szCs w:val="24"/>
        </w:rPr>
        <w:t>s</w:t>
      </w:r>
      <w:r w:rsidRPr="00022B05">
        <w:rPr>
          <w:sz w:val="24"/>
          <w:szCs w:val="24"/>
        </w:rPr>
        <w:t xml:space="preserve"> and the mantle rocks in the lithosphere below the ridge.</w:t>
      </w:r>
      <w:r>
        <w:rPr>
          <w:sz w:val="24"/>
          <w:szCs w:val="24"/>
        </w:rPr>
        <w:t xml:space="preserve"> We infer that these reactions </w:t>
      </w:r>
      <w:r>
        <w:rPr>
          <w:rFonts w:ascii="Times New Roman" w:hAnsi="Times New Roman"/>
          <w:sz w:val="24"/>
          <w:lang w:val="en-US"/>
        </w:rPr>
        <w:t>occur</w:t>
      </w:r>
      <w:r w:rsidRPr="00022B05">
        <w:rPr>
          <w:rFonts w:ascii="Times New Roman" w:hAnsi="Times New Roman"/>
          <w:sz w:val="24"/>
          <w:lang w:val="en-US"/>
        </w:rPr>
        <w:t xml:space="preserve"> in the walls of conduits that allow the aggregated melts extracted from the melting mantle to rise through the axial lithosphere and to the eruption sites. </w:t>
      </w:r>
      <w:r>
        <w:rPr>
          <w:rFonts w:ascii="Times New Roman" w:hAnsi="Times New Roman"/>
          <w:sz w:val="24"/>
          <w:lang w:val="en-US"/>
        </w:rPr>
        <w:t xml:space="preserve">The </w:t>
      </w:r>
      <w:r>
        <w:rPr>
          <w:sz w:val="24"/>
          <w:szCs w:val="24"/>
        </w:rPr>
        <w:t xml:space="preserve">principal effect of these reactions is to </w:t>
      </w:r>
      <w:r w:rsidRPr="00A9610F">
        <w:rPr>
          <w:rFonts w:ascii="Times New Roman" w:hAnsi="Times New Roman"/>
          <w:sz w:val="24"/>
          <w:szCs w:val="24"/>
        </w:rPr>
        <w:t>enrich the asthenospheric melts in MgO through olivine dissolution. T</w:t>
      </w:r>
      <w:r w:rsidRPr="00A9610F">
        <w:rPr>
          <w:rFonts w:ascii="Times New Roman" w:hAnsi="Times New Roman"/>
          <w:sz w:val="24"/>
          <w:szCs w:val="24"/>
          <w:lang w:val="en-US"/>
        </w:rPr>
        <w:t xml:space="preserve">his effect is not expected to be as noticeable, but could still play a role in basalt petrogenesis </w:t>
      </w:r>
      <w:r w:rsidRPr="00A9610F">
        <w:rPr>
          <w:rFonts w:ascii="Times New Roman" w:hAnsi="Times New Roman"/>
          <w:sz w:val="24"/>
          <w:szCs w:val="24"/>
        </w:rPr>
        <w:t>at more magmatic regions of the global slow-spreading MOR system.</w:t>
      </w:r>
    </w:p>
    <w:p w14:paraId="73C9EC2F" w14:textId="77777777" w:rsidR="002C0992" w:rsidRPr="00022B05" w:rsidRDefault="002C0992" w:rsidP="00DE3F91">
      <w:pPr>
        <w:pStyle w:val="Abstract"/>
      </w:pPr>
    </w:p>
    <w:p w14:paraId="43DF5425" w14:textId="67BFECDD" w:rsidR="009041CE" w:rsidRPr="00022B05" w:rsidRDefault="009041CE" w:rsidP="00C81368">
      <w:pPr>
        <w:pStyle w:val="Heading-Main"/>
      </w:pPr>
      <w:r>
        <w:t xml:space="preserve">1 </w:t>
      </w:r>
      <w:r w:rsidRPr="009041CE">
        <w:rPr>
          <w:rStyle w:val="Strong"/>
          <w:b/>
        </w:rPr>
        <w:t>Introduction</w:t>
      </w:r>
      <w:r w:rsidRPr="003D6C63">
        <w:rPr>
          <w:rStyle w:val="Strong"/>
        </w:rPr>
        <w:t xml:space="preserve"> </w:t>
      </w:r>
    </w:p>
    <w:p w14:paraId="75EF5286" w14:textId="3925A923" w:rsidR="004113BA" w:rsidRDefault="004113BA" w:rsidP="004113BA">
      <w:pPr>
        <w:widowControl w:val="0"/>
        <w:autoSpaceDE w:val="0"/>
        <w:autoSpaceDN w:val="0"/>
        <w:adjustRightInd w:val="0"/>
        <w:spacing w:after="120"/>
        <w:jc w:val="both"/>
        <w:rPr>
          <w:sz w:val="24"/>
        </w:rPr>
      </w:pPr>
      <w:r w:rsidRPr="00022B05">
        <w:tab/>
      </w:r>
      <w:r w:rsidRPr="00022B05">
        <w:rPr>
          <w:sz w:val="24"/>
        </w:rPr>
        <w:t xml:space="preserve">During its ascent beneath mid-ocean ridges, hot mantle material undergoes decompression and partial melting </w:t>
      </w:r>
      <w:r w:rsidR="00C0760B" w:rsidRPr="00022B05">
        <w:rPr>
          <w:sz w:val="24"/>
        </w:rPr>
        <w:t>[</w:t>
      </w:r>
      <w:r w:rsidRPr="00022B05">
        <w:rPr>
          <w:i/>
          <w:sz w:val="24"/>
        </w:rPr>
        <w:t>Botti</w:t>
      </w:r>
      <w:r w:rsidR="00D758C2">
        <w:rPr>
          <w:i/>
          <w:sz w:val="24"/>
        </w:rPr>
        <w:t>n</w:t>
      </w:r>
      <w:r w:rsidRPr="00022B05">
        <w:rPr>
          <w:i/>
          <w:sz w:val="24"/>
        </w:rPr>
        <w:t>ga</w:t>
      </w:r>
      <w:r w:rsidR="00D758C2">
        <w:rPr>
          <w:i/>
          <w:sz w:val="24"/>
        </w:rPr>
        <w:t xml:space="preserve"> and Allègre</w:t>
      </w:r>
      <w:r w:rsidR="00D758C2">
        <w:rPr>
          <w:sz w:val="24"/>
        </w:rPr>
        <w:t>, 1973</w:t>
      </w:r>
      <w:r w:rsidR="00C0760B" w:rsidRPr="00022B05">
        <w:rPr>
          <w:sz w:val="24"/>
        </w:rPr>
        <w:t xml:space="preserve">; </w:t>
      </w:r>
      <w:r w:rsidR="00C0760B" w:rsidRPr="00022B05">
        <w:rPr>
          <w:i/>
          <w:sz w:val="24"/>
        </w:rPr>
        <w:t>Carmichael et al.</w:t>
      </w:r>
      <w:r w:rsidR="00C0760B" w:rsidRPr="00022B05">
        <w:rPr>
          <w:sz w:val="24"/>
        </w:rPr>
        <w:t>, 1974]</w:t>
      </w:r>
      <w:r w:rsidRPr="00022B05">
        <w:rPr>
          <w:sz w:val="24"/>
        </w:rPr>
        <w:t xml:space="preserve">. </w:t>
      </w:r>
      <w:proofErr w:type="gramStart"/>
      <w:r w:rsidRPr="00022B05">
        <w:rPr>
          <w:sz w:val="24"/>
        </w:rPr>
        <w:t>Mid Ocean Ridge basalts (MORB) result from the eruption of these melts at the seafloor.</w:t>
      </w:r>
      <w:proofErr w:type="gramEnd"/>
      <w:r w:rsidRPr="00022B05">
        <w:rPr>
          <w:sz w:val="24"/>
        </w:rPr>
        <w:t xml:space="preserve"> Their chemical composition depends on the composition of the mantle source </w:t>
      </w:r>
      <w:r w:rsidR="00C0760B" w:rsidRPr="00022B05">
        <w:rPr>
          <w:sz w:val="24"/>
        </w:rPr>
        <w:t>[</w:t>
      </w:r>
      <w:r w:rsidRPr="00022B05">
        <w:rPr>
          <w:i/>
          <w:sz w:val="24"/>
        </w:rPr>
        <w:t>Jaques and Green</w:t>
      </w:r>
      <w:r w:rsidRPr="00022B05">
        <w:rPr>
          <w:sz w:val="24"/>
        </w:rPr>
        <w:t xml:space="preserve">, 1980; </w:t>
      </w:r>
      <w:r w:rsidRPr="00022B05">
        <w:rPr>
          <w:i/>
          <w:sz w:val="24"/>
        </w:rPr>
        <w:t>Kinzler and Grove</w:t>
      </w:r>
      <w:r w:rsidRPr="00022B05">
        <w:rPr>
          <w:sz w:val="24"/>
        </w:rPr>
        <w:t>, 1992a, 1992b, 1993</w:t>
      </w:r>
      <w:r w:rsidR="00C0760B" w:rsidRPr="00022B05">
        <w:rPr>
          <w:sz w:val="24"/>
        </w:rPr>
        <w:t>]</w:t>
      </w:r>
      <w:r w:rsidRPr="00022B05">
        <w:rPr>
          <w:sz w:val="24"/>
        </w:rPr>
        <w:t xml:space="preserve"> and on the degree and depth of partial melting </w:t>
      </w:r>
      <w:r w:rsidR="00C0760B" w:rsidRPr="00022B05">
        <w:rPr>
          <w:sz w:val="24"/>
        </w:rPr>
        <w:t>[</w:t>
      </w:r>
      <w:r w:rsidRPr="00022B05">
        <w:rPr>
          <w:sz w:val="24"/>
        </w:rPr>
        <w:t xml:space="preserve">e.g. </w:t>
      </w:r>
      <w:r w:rsidRPr="00022B05">
        <w:rPr>
          <w:i/>
          <w:sz w:val="24"/>
        </w:rPr>
        <w:t>Dick et al.</w:t>
      </w:r>
      <w:r w:rsidRPr="00022B05">
        <w:rPr>
          <w:sz w:val="24"/>
        </w:rPr>
        <w:t xml:space="preserve">, 1984; </w:t>
      </w:r>
      <w:r w:rsidRPr="00022B05">
        <w:rPr>
          <w:i/>
          <w:sz w:val="24"/>
        </w:rPr>
        <w:t>Klein and Langm</w:t>
      </w:r>
      <w:r w:rsidR="00C0760B" w:rsidRPr="00022B05">
        <w:rPr>
          <w:i/>
          <w:sz w:val="24"/>
        </w:rPr>
        <w:t>uir</w:t>
      </w:r>
      <w:r w:rsidR="00DE04B3" w:rsidRPr="00022B05">
        <w:rPr>
          <w:sz w:val="24"/>
        </w:rPr>
        <w:t>,</w:t>
      </w:r>
      <w:r w:rsidR="00C0760B" w:rsidRPr="00022B05">
        <w:rPr>
          <w:i/>
          <w:sz w:val="24"/>
        </w:rPr>
        <w:t xml:space="preserve"> </w:t>
      </w:r>
      <w:r w:rsidR="00C0760B" w:rsidRPr="00022B05">
        <w:rPr>
          <w:sz w:val="24"/>
        </w:rPr>
        <w:t xml:space="preserve">1987; </w:t>
      </w:r>
      <w:r w:rsidR="00C0760B" w:rsidRPr="00022B05">
        <w:rPr>
          <w:i/>
          <w:sz w:val="24"/>
        </w:rPr>
        <w:t>Langmuir et al.</w:t>
      </w:r>
      <w:r w:rsidR="00C0760B" w:rsidRPr="00022B05">
        <w:rPr>
          <w:sz w:val="24"/>
        </w:rPr>
        <w:t>, 199</w:t>
      </w:r>
      <w:r w:rsidR="006770AC">
        <w:rPr>
          <w:sz w:val="24"/>
        </w:rPr>
        <w:t>3</w:t>
      </w:r>
      <w:r w:rsidR="00C0760B" w:rsidRPr="00022B05">
        <w:rPr>
          <w:sz w:val="24"/>
        </w:rPr>
        <w:t>]</w:t>
      </w:r>
      <w:r w:rsidRPr="00022B05">
        <w:rPr>
          <w:sz w:val="24"/>
        </w:rPr>
        <w:t>. However, several other processes also determine MORB composition: mixing and aggregation of melts during the</w:t>
      </w:r>
      <w:r w:rsidR="00C0760B" w:rsidRPr="00022B05">
        <w:rPr>
          <w:sz w:val="24"/>
        </w:rPr>
        <w:t>ir ascent to the eruption site [</w:t>
      </w:r>
      <w:r w:rsidRPr="00022B05">
        <w:rPr>
          <w:sz w:val="24"/>
        </w:rPr>
        <w:t xml:space="preserve">e.g. </w:t>
      </w:r>
      <w:r w:rsidRPr="00022B05">
        <w:rPr>
          <w:i/>
          <w:sz w:val="24"/>
        </w:rPr>
        <w:t>Grove et al.</w:t>
      </w:r>
      <w:r w:rsidR="00A45A86">
        <w:rPr>
          <w:sz w:val="24"/>
        </w:rPr>
        <w:t>, 1993</w:t>
      </w:r>
      <w:r w:rsidR="00C0760B" w:rsidRPr="00022B05">
        <w:rPr>
          <w:sz w:val="24"/>
        </w:rPr>
        <w:t>]</w:t>
      </w:r>
      <w:r w:rsidRPr="00022B05">
        <w:rPr>
          <w:sz w:val="24"/>
        </w:rPr>
        <w:t>, melt/rock interactions in the melting mantl</w:t>
      </w:r>
      <w:r w:rsidR="00C0760B" w:rsidRPr="00022B05">
        <w:rPr>
          <w:sz w:val="24"/>
        </w:rPr>
        <w:t xml:space="preserve">e and in the axial lithosphere [e.g. </w:t>
      </w:r>
      <w:r w:rsidR="00C0760B" w:rsidRPr="00022B05">
        <w:rPr>
          <w:i/>
          <w:sz w:val="24"/>
        </w:rPr>
        <w:t>Rubin and Sinton</w:t>
      </w:r>
      <w:r w:rsidR="00C0760B" w:rsidRPr="00022B05">
        <w:rPr>
          <w:sz w:val="24"/>
        </w:rPr>
        <w:t>, 2007]</w:t>
      </w:r>
      <w:r w:rsidRPr="00022B05">
        <w:rPr>
          <w:sz w:val="24"/>
        </w:rPr>
        <w:t xml:space="preserve">, </w:t>
      </w:r>
      <w:r w:rsidR="00C0760B" w:rsidRPr="00022B05">
        <w:rPr>
          <w:sz w:val="24"/>
        </w:rPr>
        <w:t>and fractional crystallization [</w:t>
      </w:r>
      <w:r w:rsidRPr="00022B05">
        <w:rPr>
          <w:sz w:val="24"/>
        </w:rPr>
        <w:t xml:space="preserve">e.g. </w:t>
      </w:r>
      <w:r w:rsidRPr="00022B05">
        <w:rPr>
          <w:i/>
          <w:sz w:val="24"/>
        </w:rPr>
        <w:t>Klein and Langmuir</w:t>
      </w:r>
      <w:r w:rsidRPr="00022B05">
        <w:rPr>
          <w:sz w:val="24"/>
        </w:rPr>
        <w:t xml:space="preserve">, 1987; </w:t>
      </w:r>
      <w:r w:rsidRPr="00022B05">
        <w:rPr>
          <w:i/>
          <w:sz w:val="24"/>
        </w:rPr>
        <w:t>Langmuir e</w:t>
      </w:r>
      <w:r w:rsidR="00C0760B" w:rsidRPr="00022B05">
        <w:rPr>
          <w:i/>
          <w:sz w:val="24"/>
        </w:rPr>
        <w:t>t al.</w:t>
      </w:r>
      <w:r w:rsidR="00C0760B" w:rsidRPr="00022B05">
        <w:rPr>
          <w:sz w:val="24"/>
        </w:rPr>
        <w:t>, 199</w:t>
      </w:r>
      <w:r w:rsidR="006770AC">
        <w:rPr>
          <w:sz w:val="24"/>
        </w:rPr>
        <w:t>3</w:t>
      </w:r>
      <w:r w:rsidR="00C0760B" w:rsidRPr="00022B05">
        <w:rPr>
          <w:sz w:val="24"/>
        </w:rPr>
        <w:t xml:space="preserve">; </w:t>
      </w:r>
      <w:r w:rsidR="00C0760B" w:rsidRPr="00022B05">
        <w:rPr>
          <w:i/>
          <w:sz w:val="24"/>
        </w:rPr>
        <w:t>Grove et al.</w:t>
      </w:r>
      <w:r w:rsidR="00A45A86">
        <w:rPr>
          <w:sz w:val="24"/>
        </w:rPr>
        <w:t>, 1993</w:t>
      </w:r>
      <w:r w:rsidR="00C0760B" w:rsidRPr="00022B05">
        <w:rPr>
          <w:sz w:val="24"/>
        </w:rPr>
        <w:t>]</w:t>
      </w:r>
      <w:r w:rsidRPr="00022B05">
        <w:rPr>
          <w:sz w:val="24"/>
        </w:rPr>
        <w:t xml:space="preserve">. Unraveling the chemical effects of these processes is </w:t>
      </w:r>
      <w:proofErr w:type="gramStart"/>
      <w:r w:rsidRPr="00022B05">
        <w:rPr>
          <w:sz w:val="24"/>
        </w:rPr>
        <w:t>key</w:t>
      </w:r>
      <w:proofErr w:type="gramEnd"/>
      <w:r w:rsidRPr="00022B05">
        <w:rPr>
          <w:sz w:val="24"/>
        </w:rPr>
        <w:t xml:space="preserve"> to better constrain the composition of the Earth's mantle. It is also a way to approach the dynamics of mid-ocean ridge magmatic systems. Melt-rock reactions can occur in the melting region, and further up in the cooled mantle lithosphere below the ridge. </w:t>
      </w:r>
      <w:r w:rsidR="006F164E">
        <w:rPr>
          <w:sz w:val="24"/>
        </w:rPr>
        <w:t>This</w:t>
      </w:r>
      <w:r w:rsidR="006F164E" w:rsidRPr="00022B05">
        <w:rPr>
          <w:sz w:val="24"/>
        </w:rPr>
        <w:t xml:space="preserve"> </w:t>
      </w:r>
      <w:r w:rsidRPr="00022B05">
        <w:rPr>
          <w:sz w:val="24"/>
        </w:rPr>
        <w:t>paper focuses on the latter</w:t>
      </w:r>
      <w:r w:rsidR="001A6CAD">
        <w:rPr>
          <w:sz w:val="24"/>
        </w:rPr>
        <w:t>,</w:t>
      </w:r>
      <w:r w:rsidRPr="00022B05">
        <w:rPr>
          <w:sz w:val="24"/>
        </w:rPr>
        <w:t xml:space="preserve"> </w:t>
      </w:r>
      <w:r w:rsidR="00645D51">
        <w:rPr>
          <w:sz w:val="24"/>
        </w:rPr>
        <w:t xml:space="preserve">and is </w:t>
      </w:r>
      <w:r w:rsidR="00A40906">
        <w:rPr>
          <w:sz w:val="24"/>
        </w:rPr>
        <w:t xml:space="preserve">based </w:t>
      </w:r>
      <w:r w:rsidRPr="00022B05">
        <w:rPr>
          <w:sz w:val="24"/>
        </w:rPr>
        <w:t>on a petrological and geochemical study of a suite of ultramafic, gabbroic and MORB samples collected on- and off-axis the Southwest Indian Ridge (SWIR) between longitude 61°E and 67°E (Figure 1).</w:t>
      </w:r>
    </w:p>
    <w:p w14:paraId="26158805" w14:textId="081522C2" w:rsidR="00290FD2" w:rsidRDefault="00290FD2" w:rsidP="004113BA">
      <w:pPr>
        <w:widowControl w:val="0"/>
        <w:autoSpaceDE w:val="0"/>
        <w:autoSpaceDN w:val="0"/>
        <w:adjustRightInd w:val="0"/>
        <w:spacing w:after="120"/>
        <w:jc w:val="both"/>
        <w:rPr>
          <w:sz w:val="24"/>
        </w:rPr>
      </w:pPr>
      <w:r>
        <w:rPr>
          <w:noProof/>
          <w:sz w:val="24"/>
          <w:lang w:val="en-GB" w:eastAsia="en-GB"/>
        </w:rPr>
        <w:lastRenderedPageBreak/>
        <w:drawing>
          <wp:inline distT="0" distB="0" distL="0" distR="0" wp14:anchorId="040852C3" wp14:editId="0E19A9CE">
            <wp:extent cx="5943600" cy="3266872"/>
            <wp:effectExtent l="0" t="0" r="0" b="10160"/>
            <wp:docPr id="1" name="Image 1" descr="Sans titre:Users:MarinePaquet:Documents:PhD:Sujet Basaltes - Stage M2:Papiers:Majeurs &amp; Traces:Figures:SWIR-carte-axe_bathy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Users:MarinePaquet:Documents:PhD:Sujet Basaltes - Stage M2:Papiers:Majeurs &amp; Traces:Figures:SWIR-carte-axe_bathy4.jpg"/>
                    <pic:cNvPicPr>
                      <a:picLocks noChangeAspect="1" noChangeArrowheads="1"/>
                    </pic:cNvPicPr>
                  </pic:nvPicPr>
                  <pic:blipFill rotWithShape="1">
                    <a:blip r:embed="rId9">
                      <a:extLst>
                        <a:ext uri="{28A0092B-C50C-407E-A947-70E740481C1C}">
                          <a14:useLocalDpi xmlns:a14="http://schemas.microsoft.com/office/drawing/2010/main" val="0"/>
                        </a:ext>
                      </a:extLst>
                    </a:blip>
                    <a:srcRect t="23288" r="3425" b="23630"/>
                    <a:stretch/>
                  </pic:blipFill>
                  <pic:spPr bwMode="auto">
                    <a:xfrm>
                      <a:off x="0" y="0"/>
                      <a:ext cx="5943600" cy="3266872"/>
                    </a:xfrm>
                    <a:prstGeom prst="rect">
                      <a:avLst/>
                    </a:prstGeom>
                    <a:noFill/>
                    <a:ln>
                      <a:noFill/>
                    </a:ln>
                    <a:extLst>
                      <a:ext uri="{53640926-AAD7-44D8-BBD7-CCE9431645EC}">
                        <a14:shadowObscured xmlns:a14="http://schemas.microsoft.com/office/drawing/2010/main"/>
                      </a:ext>
                    </a:extLst>
                  </pic:spPr>
                </pic:pic>
              </a:graphicData>
            </a:graphic>
          </wp:inline>
        </w:drawing>
      </w:r>
    </w:p>
    <w:p w14:paraId="230FE20A" w14:textId="3730BBDA" w:rsidR="00290FD2" w:rsidRDefault="00290FD2" w:rsidP="00974A1C">
      <w:pPr>
        <w:pStyle w:val="FigureorTableCaption"/>
        <w:jc w:val="both"/>
      </w:pPr>
      <w:proofErr w:type="gramStart"/>
      <w:r w:rsidRPr="00974A1C">
        <w:rPr>
          <w:b/>
        </w:rPr>
        <w:t>Figure 1</w:t>
      </w:r>
      <w:r w:rsidRPr="00974A1C">
        <w:t>.</w:t>
      </w:r>
      <w:proofErr w:type="gramEnd"/>
      <w:r w:rsidRPr="00974A1C">
        <w:t xml:space="preserve"> </w:t>
      </w:r>
      <w:r w:rsidR="00974A1C" w:rsidRPr="006901EC">
        <w:t xml:space="preserve">Location of the dredged samples considered in this study on a bathymetric map of the 61° to 67°E region of the Southwest Indian Ridge (east of the Melville FZ). SMS6 to SMS35 are dredges </w:t>
      </w:r>
      <w:r w:rsidR="003468FC">
        <w:t>from the Smoothseafloor cruise [</w:t>
      </w:r>
      <w:r w:rsidR="00974A1C" w:rsidRPr="003468FC">
        <w:rPr>
          <w:i/>
        </w:rPr>
        <w:t>Sauter et al.</w:t>
      </w:r>
      <w:r w:rsidR="003468FC">
        <w:t>, 2013]</w:t>
      </w:r>
      <w:r w:rsidR="00974A1C" w:rsidRPr="006901EC">
        <w:t>; ed7 to ed29 ar</w:t>
      </w:r>
      <w:r w:rsidR="003468FC">
        <w:t>e dredges from the EDUL cruise [</w:t>
      </w:r>
      <w:r w:rsidR="00974A1C" w:rsidRPr="003468FC">
        <w:rPr>
          <w:i/>
        </w:rPr>
        <w:t>Mével et al.</w:t>
      </w:r>
      <w:r w:rsidR="00974A1C" w:rsidRPr="006901EC">
        <w:t xml:space="preserve">, </w:t>
      </w:r>
      <w:r w:rsidR="003468FC">
        <w:t>1997]</w:t>
      </w:r>
      <w:r w:rsidR="00974A1C" w:rsidRPr="006901EC">
        <w:t xml:space="preserve">. The outlines of the volcanic seafloor </w:t>
      </w:r>
      <w:r w:rsidR="003468FC">
        <w:t xml:space="preserve">domains are from </w:t>
      </w:r>
      <w:r w:rsidR="003468FC" w:rsidRPr="003468FC">
        <w:rPr>
          <w:i/>
        </w:rPr>
        <w:t>Cannat et al.</w:t>
      </w:r>
      <w:r w:rsidR="003468FC">
        <w:t xml:space="preserve"> [2006]</w:t>
      </w:r>
      <w:r w:rsidR="00974A1C" w:rsidRPr="006901EC">
        <w:t>.</w:t>
      </w:r>
    </w:p>
    <w:p w14:paraId="335F5248" w14:textId="77777777" w:rsidR="00290FD2" w:rsidRPr="00022B05" w:rsidRDefault="00290FD2" w:rsidP="004113BA">
      <w:pPr>
        <w:widowControl w:val="0"/>
        <w:autoSpaceDE w:val="0"/>
        <w:autoSpaceDN w:val="0"/>
        <w:adjustRightInd w:val="0"/>
        <w:spacing w:after="120"/>
        <w:jc w:val="both"/>
        <w:rPr>
          <w:sz w:val="24"/>
        </w:rPr>
      </w:pPr>
    </w:p>
    <w:p w14:paraId="793DC840" w14:textId="6F0C51CC" w:rsidR="004113BA" w:rsidRPr="00022B05" w:rsidRDefault="004113BA" w:rsidP="004113BA">
      <w:pPr>
        <w:widowControl w:val="0"/>
        <w:autoSpaceDE w:val="0"/>
        <w:autoSpaceDN w:val="0"/>
        <w:adjustRightInd w:val="0"/>
        <w:spacing w:after="120"/>
        <w:jc w:val="both"/>
        <w:rPr>
          <w:sz w:val="24"/>
        </w:rPr>
      </w:pPr>
      <w:r w:rsidRPr="00022B05">
        <w:rPr>
          <w:sz w:val="24"/>
        </w:rPr>
        <w:tab/>
        <w:t>Melt/rock interactions inferred to have occurred in the mantle part of the lithosphere at mid-ocean ridges have been documented from the study of troctolite-olivine gabbr</w:t>
      </w:r>
      <w:r w:rsidR="00C0760B" w:rsidRPr="00022B05">
        <w:rPr>
          <w:sz w:val="24"/>
        </w:rPr>
        <w:t>o suites sampled in ophiolites [</w:t>
      </w:r>
      <w:r w:rsidRPr="00022B05">
        <w:rPr>
          <w:i/>
          <w:sz w:val="24"/>
        </w:rPr>
        <w:t>Kelemen et al.</w:t>
      </w:r>
      <w:r w:rsidRPr="00022B05">
        <w:rPr>
          <w:sz w:val="24"/>
        </w:rPr>
        <w:t xml:space="preserve">, 1995, 1997; </w:t>
      </w:r>
      <w:r w:rsidRPr="00022B05">
        <w:rPr>
          <w:i/>
          <w:sz w:val="24"/>
          <w:szCs w:val="22"/>
        </w:rPr>
        <w:t>Borghini et al.</w:t>
      </w:r>
      <w:r w:rsidRPr="00022B05">
        <w:rPr>
          <w:sz w:val="24"/>
          <w:szCs w:val="22"/>
        </w:rPr>
        <w:t xml:space="preserve">, 2007; </w:t>
      </w:r>
      <w:r w:rsidRPr="00022B05">
        <w:rPr>
          <w:i/>
          <w:sz w:val="24"/>
          <w:szCs w:val="22"/>
        </w:rPr>
        <w:t>Borghini and Rampone</w:t>
      </w:r>
      <w:r w:rsidRPr="00022B05">
        <w:rPr>
          <w:sz w:val="24"/>
          <w:szCs w:val="22"/>
        </w:rPr>
        <w:t>, 2007</w:t>
      </w:r>
      <w:r w:rsidRPr="00022B05">
        <w:rPr>
          <w:sz w:val="24"/>
        </w:rPr>
        <w:t xml:space="preserve">; </w:t>
      </w:r>
      <w:r w:rsidRPr="00022B05">
        <w:rPr>
          <w:i/>
          <w:sz w:val="24"/>
        </w:rPr>
        <w:t>Renna and Tribuzio</w:t>
      </w:r>
      <w:r w:rsidRPr="00022B05">
        <w:rPr>
          <w:sz w:val="24"/>
        </w:rPr>
        <w:t xml:space="preserve">, 2011; </w:t>
      </w:r>
      <w:r w:rsidRPr="00022B05">
        <w:rPr>
          <w:i/>
          <w:sz w:val="24"/>
        </w:rPr>
        <w:t>Sanfilippo and Tribuzio</w:t>
      </w:r>
      <w:r w:rsidR="00C0760B" w:rsidRPr="00022B05">
        <w:rPr>
          <w:sz w:val="24"/>
        </w:rPr>
        <w:t xml:space="preserve">, 2013; </w:t>
      </w:r>
      <w:r w:rsidR="00C0760B" w:rsidRPr="00022B05">
        <w:rPr>
          <w:i/>
          <w:sz w:val="24"/>
        </w:rPr>
        <w:t>Sanfilippo et al.</w:t>
      </w:r>
      <w:r w:rsidR="00C0760B" w:rsidRPr="00022B05">
        <w:rPr>
          <w:sz w:val="24"/>
        </w:rPr>
        <w:t>, 2014]</w:t>
      </w:r>
      <w:r w:rsidRPr="00022B05">
        <w:rPr>
          <w:sz w:val="24"/>
        </w:rPr>
        <w:t xml:space="preserve"> and at present-day ridges </w:t>
      </w:r>
      <w:r w:rsidR="00C0760B" w:rsidRPr="00022B05">
        <w:rPr>
          <w:sz w:val="24"/>
        </w:rPr>
        <w:t>[</w:t>
      </w:r>
      <w:r w:rsidRPr="00022B05">
        <w:rPr>
          <w:i/>
          <w:sz w:val="24"/>
        </w:rPr>
        <w:t>Cannat et al.</w:t>
      </w:r>
      <w:r w:rsidRPr="00022B05">
        <w:rPr>
          <w:sz w:val="24"/>
        </w:rPr>
        <w:t xml:space="preserve">, 1990; </w:t>
      </w:r>
      <w:r w:rsidRPr="00022B05">
        <w:rPr>
          <w:i/>
          <w:sz w:val="24"/>
        </w:rPr>
        <w:t>Suhr et al.</w:t>
      </w:r>
      <w:r w:rsidRPr="00022B05">
        <w:rPr>
          <w:sz w:val="24"/>
        </w:rPr>
        <w:t xml:space="preserve">, 2008; </w:t>
      </w:r>
      <w:r w:rsidRPr="00022B05">
        <w:rPr>
          <w:i/>
          <w:sz w:val="24"/>
        </w:rPr>
        <w:t>Drouin et al.</w:t>
      </w:r>
      <w:r w:rsidRPr="00022B05">
        <w:rPr>
          <w:sz w:val="24"/>
        </w:rPr>
        <w:t xml:space="preserve">, 2009; </w:t>
      </w:r>
      <w:r w:rsidRPr="00022B05">
        <w:rPr>
          <w:i/>
          <w:sz w:val="24"/>
        </w:rPr>
        <w:t>Sanfilippo et al.</w:t>
      </w:r>
      <w:r w:rsidRPr="00022B05">
        <w:rPr>
          <w:sz w:val="24"/>
        </w:rPr>
        <w:t>, 2013</w:t>
      </w:r>
      <w:r w:rsidR="00C0760B" w:rsidRPr="00022B05">
        <w:rPr>
          <w:sz w:val="24"/>
        </w:rPr>
        <w:t>]</w:t>
      </w:r>
      <w:r w:rsidRPr="00022B05">
        <w:rPr>
          <w:sz w:val="24"/>
        </w:rPr>
        <w:t>. The interpretation that prevails, particularly in the most recent studies, is that these troctolite-olivine gabbro suites result from assimilation and fractional crystallization processes involving MORB-like melts an</w:t>
      </w:r>
      <w:r w:rsidR="00646955" w:rsidRPr="00022B05">
        <w:rPr>
          <w:sz w:val="24"/>
        </w:rPr>
        <w:t>d a dunitic residual host rock [</w:t>
      </w:r>
      <w:r w:rsidRPr="00022B05">
        <w:rPr>
          <w:sz w:val="24"/>
        </w:rPr>
        <w:t xml:space="preserve">e.g. </w:t>
      </w:r>
      <w:r w:rsidRPr="00022B05">
        <w:rPr>
          <w:i/>
          <w:sz w:val="24"/>
        </w:rPr>
        <w:t>Cannat et al.</w:t>
      </w:r>
      <w:r w:rsidRPr="00022B05">
        <w:rPr>
          <w:sz w:val="24"/>
        </w:rPr>
        <w:t xml:space="preserve">, 1990; </w:t>
      </w:r>
      <w:r w:rsidRPr="00022B05">
        <w:rPr>
          <w:i/>
          <w:sz w:val="24"/>
        </w:rPr>
        <w:t>Kelemen et al.</w:t>
      </w:r>
      <w:r w:rsidRPr="00022B05">
        <w:rPr>
          <w:sz w:val="24"/>
        </w:rPr>
        <w:t xml:space="preserve">, 1995, 1997; </w:t>
      </w:r>
      <w:r w:rsidRPr="00022B05">
        <w:rPr>
          <w:i/>
          <w:sz w:val="24"/>
        </w:rPr>
        <w:t>Suhr et al.</w:t>
      </w:r>
      <w:r w:rsidRPr="00022B05">
        <w:rPr>
          <w:sz w:val="24"/>
        </w:rPr>
        <w:t xml:space="preserve">, 2008; </w:t>
      </w:r>
      <w:r w:rsidRPr="00022B05">
        <w:rPr>
          <w:i/>
          <w:sz w:val="24"/>
        </w:rPr>
        <w:t>Drouin et al.</w:t>
      </w:r>
      <w:r w:rsidRPr="00022B05">
        <w:rPr>
          <w:sz w:val="24"/>
        </w:rPr>
        <w:t xml:space="preserve">, 2009; </w:t>
      </w:r>
      <w:r w:rsidRPr="00022B05">
        <w:rPr>
          <w:i/>
          <w:sz w:val="24"/>
        </w:rPr>
        <w:t>Renna and Tribuzio</w:t>
      </w:r>
      <w:r w:rsidRPr="00022B05">
        <w:rPr>
          <w:sz w:val="24"/>
        </w:rPr>
        <w:t xml:space="preserve">, 2011; </w:t>
      </w:r>
      <w:r w:rsidRPr="00022B05">
        <w:rPr>
          <w:i/>
          <w:sz w:val="24"/>
        </w:rPr>
        <w:t>Sanfilippo and Tribuzio</w:t>
      </w:r>
      <w:r w:rsidRPr="00022B05">
        <w:rPr>
          <w:sz w:val="24"/>
        </w:rPr>
        <w:t xml:space="preserve">, 2013; </w:t>
      </w:r>
      <w:r w:rsidRPr="00022B05">
        <w:rPr>
          <w:i/>
          <w:sz w:val="24"/>
        </w:rPr>
        <w:t xml:space="preserve">Sanfilippo et </w:t>
      </w:r>
      <w:r w:rsidR="00646955" w:rsidRPr="00022B05">
        <w:rPr>
          <w:i/>
          <w:sz w:val="24"/>
        </w:rPr>
        <w:t>al.</w:t>
      </w:r>
      <w:r w:rsidR="00646955" w:rsidRPr="00022B05">
        <w:rPr>
          <w:sz w:val="24"/>
        </w:rPr>
        <w:t>, 2013, 2014]</w:t>
      </w:r>
      <w:r w:rsidRPr="00022B05">
        <w:rPr>
          <w:sz w:val="24"/>
        </w:rPr>
        <w:t xml:space="preserve">. These dunites are proposed by many authors to have formed at an earlier stage, due to the reaction between Si-depleted melts and mantle harzburgite or lherzolite </w:t>
      </w:r>
      <w:r w:rsidR="00646955" w:rsidRPr="00022B05">
        <w:rPr>
          <w:sz w:val="24"/>
        </w:rPr>
        <w:t>[</w:t>
      </w:r>
      <w:r w:rsidRPr="00022B05">
        <w:rPr>
          <w:sz w:val="24"/>
        </w:rPr>
        <w:t xml:space="preserve">e.g. </w:t>
      </w:r>
      <w:r w:rsidRPr="00022B05">
        <w:rPr>
          <w:i/>
          <w:sz w:val="24"/>
        </w:rPr>
        <w:t>Dick</w:t>
      </w:r>
      <w:r w:rsidRPr="00022B05">
        <w:rPr>
          <w:sz w:val="24"/>
        </w:rPr>
        <w:t xml:space="preserve">, 1977; </w:t>
      </w:r>
      <w:r w:rsidRPr="00022B05">
        <w:rPr>
          <w:i/>
          <w:sz w:val="24"/>
        </w:rPr>
        <w:t>Hopson et al.</w:t>
      </w:r>
      <w:r w:rsidRPr="00022B05">
        <w:rPr>
          <w:sz w:val="24"/>
        </w:rPr>
        <w:t xml:space="preserve">, 1981; </w:t>
      </w:r>
      <w:r w:rsidRPr="00022B05">
        <w:rPr>
          <w:i/>
          <w:sz w:val="24"/>
        </w:rPr>
        <w:t>Quick</w:t>
      </w:r>
      <w:r w:rsidR="00D13504">
        <w:rPr>
          <w:sz w:val="24"/>
        </w:rPr>
        <w:t>, 1982</w:t>
      </w:r>
      <w:r w:rsidRPr="00022B05">
        <w:rPr>
          <w:sz w:val="24"/>
        </w:rPr>
        <w:t xml:space="preserve">; </w:t>
      </w:r>
      <w:r w:rsidRPr="00022B05">
        <w:rPr>
          <w:i/>
          <w:sz w:val="24"/>
        </w:rPr>
        <w:t>Kelemen et al.</w:t>
      </w:r>
      <w:r w:rsidRPr="00022B05">
        <w:rPr>
          <w:sz w:val="24"/>
        </w:rPr>
        <w:t>, 1990;</w:t>
      </w:r>
      <w:r w:rsidR="00646955" w:rsidRPr="00022B05">
        <w:rPr>
          <w:sz w:val="24"/>
        </w:rPr>
        <w:t xml:space="preserve"> </w:t>
      </w:r>
      <w:r w:rsidR="00646955" w:rsidRPr="00022B05">
        <w:rPr>
          <w:i/>
          <w:sz w:val="24"/>
        </w:rPr>
        <w:t>Suhr et al.</w:t>
      </w:r>
      <w:r w:rsidR="00646955" w:rsidRPr="00022B05">
        <w:rPr>
          <w:sz w:val="24"/>
        </w:rPr>
        <w:t>, 1999]</w:t>
      </w:r>
      <w:r w:rsidRPr="00022B05">
        <w:rPr>
          <w:sz w:val="24"/>
        </w:rPr>
        <w:t xml:space="preserve">. Trace element </w:t>
      </w:r>
      <w:r w:rsidR="007F4168" w:rsidRPr="00022B05">
        <w:rPr>
          <w:sz w:val="24"/>
        </w:rPr>
        <w:t>modeling</w:t>
      </w:r>
      <w:r w:rsidRPr="00022B05">
        <w:rPr>
          <w:sz w:val="24"/>
        </w:rPr>
        <w:t xml:space="preserve"> consistently supports a MORB-like chemistry for the melt involved in forming the studied troctolites and olivine gabbros </w:t>
      </w:r>
      <w:r w:rsidR="00646955" w:rsidRPr="00022B05">
        <w:rPr>
          <w:sz w:val="24"/>
        </w:rPr>
        <w:t>[</w:t>
      </w:r>
      <w:r w:rsidRPr="00022B05">
        <w:rPr>
          <w:i/>
          <w:sz w:val="24"/>
        </w:rPr>
        <w:t>Suhr et al.</w:t>
      </w:r>
      <w:r w:rsidRPr="00022B05">
        <w:rPr>
          <w:sz w:val="24"/>
        </w:rPr>
        <w:t xml:space="preserve">, 2008; </w:t>
      </w:r>
      <w:r w:rsidRPr="00022B05">
        <w:rPr>
          <w:i/>
          <w:sz w:val="24"/>
        </w:rPr>
        <w:t>Drouin et al.</w:t>
      </w:r>
      <w:r w:rsidRPr="00022B05">
        <w:rPr>
          <w:sz w:val="24"/>
        </w:rPr>
        <w:t xml:space="preserve">, 2009; </w:t>
      </w:r>
      <w:r w:rsidRPr="00022B05">
        <w:rPr>
          <w:i/>
          <w:sz w:val="24"/>
        </w:rPr>
        <w:t>Renna and Tribuzio</w:t>
      </w:r>
      <w:r w:rsidRPr="00022B05">
        <w:rPr>
          <w:sz w:val="24"/>
        </w:rPr>
        <w:t xml:space="preserve">, 2011; </w:t>
      </w:r>
      <w:r w:rsidRPr="00022B05">
        <w:rPr>
          <w:i/>
          <w:sz w:val="24"/>
        </w:rPr>
        <w:t>Sanfilippo et al.</w:t>
      </w:r>
      <w:r w:rsidRPr="00022B05">
        <w:rPr>
          <w:sz w:val="24"/>
        </w:rPr>
        <w:t xml:space="preserve">, </w:t>
      </w:r>
      <w:r w:rsidR="00646955" w:rsidRPr="00022B05">
        <w:rPr>
          <w:sz w:val="24"/>
        </w:rPr>
        <w:t>2013, 2014]</w:t>
      </w:r>
      <w:r w:rsidRPr="00022B05">
        <w:rPr>
          <w:sz w:val="24"/>
        </w:rPr>
        <w:t xml:space="preserve">. However, the possible effects of such melt-rock interactions on the composition of erupted basalts have not yet been investigated. In fact, several authors suggest that </w:t>
      </w:r>
      <w:r w:rsidR="00A40906">
        <w:rPr>
          <w:sz w:val="24"/>
        </w:rPr>
        <w:t>the reacted melts have</w:t>
      </w:r>
      <w:r w:rsidRPr="00022B05">
        <w:rPr>
          <w:sz w:val="24"/>
        </w:rPr>
        <w:t xml:space="preserve"> remain</w:t>
      </w:r>
      <w:r w:rsidR="007F4168">
        <w:rPr>
          <w:sz w:val="24"/>
        </w:rPr>
        <w:t>ed</w:t>
      </w:r>
      <w:r w:rsidRPr="00022B05">
        <w:rPr>
          <w:sz w:val="24"/>
        </w:rPr>
        <w:t xml:space="preserve"> trapped in the axial lithosphere </w:t>
      </w:r>
      <w:r w:rsidR="00646955" w:rsidRPr="00022B05">
        <w:rPr>
          <w:sz w:val="24"/>
        </w:rPr>
        <w:t>[</w:t>
      </w:r>
      <w:r w:rsidRPr="00022B05">
        <w:rPr>
          <w:i/>
          <w:sz w:val="24"/>
        </w:rPr>
        <w:t>Godard et al.</w:t>
      </w:r>
      <w:r w:rsidRPr="00022B05">
        <w:rPr>
          <w:sz w:val="24"/>
        </w:rPr>
        <w:t xml:space="preserve">, 2009; </w:t>
      </w:r>
      <w:r w:rsidRPr="00022B05">
        <w:rPr>
          <w:i/>
          <w:sz w:val="24"/>
        </w:rPr>
        <w:t>Drouin et al.</w:t>
      </w:r>
      <w:r w:rsidRPr="00022B05">
        <w:rPr>
          <w:sz w:val="24"/>
        </w:rPr>
        <w:t xml:space="preserve">, 2009; </w:t>
      </w:r>
      <w:r w:rsidRPr="00022B05">
        <w:rPr>
          <w:i/>
          <w:sz w:val="24"/>
        </w:rPr>
        <w:t>Renna and Tribuzi</w:t>
      </w:r>
      <w:r w:rsidR="00646955" w:rsidRPr="00022B05">
        <w:rPr>
          <w:i/>
          <w:sz w:val="24"/>
        </w:rPr>
        <w:t>o</w:t>
      </w:r>
      <w:r w:rsidR="00646955" w:rsidRPr="00022B05">
        <w:rPr>
          <w:sz w:val="24"/>
        </w:rPr>
        <w:t xml:space="preserve">, 2011; </w:t>
      </w:r>
      <w:r w:rsidR="00646955" w:rsidRPr="00022B05">
        <w:rPr>
          <w:i/>
          <w:sz w:val="24"/>
        </w:rPr>
        <w:t>Sanfilip</w:t>
      </w:r>
      <w:r w:rsidR="0034315F">
        <w:rPr>
          <w:i/>
          <w:sz w:val="24"/>
        </w:rPr>
        <w:t>p</w:t>
      </w:r>
      <w:r w:rsidR="00646955" w:rsidRPr="00022B05">
        <w:rPr>
          <w:i/>
          <w:sz w:val="24"/>
        </w:rPr>
        <w:t>o et al.</w:t>
      </w:r>
      <w:r w:rsidR="00646955" w:rsidRPr="00022B05">
        <w:rPr>
          <w:sz w:val="24"/>
        </w:rPr>
        <w:t>, 2014]</w:t>
      </w:r>
      <w:r w:rsidRPr="00022B05">
        <w:rPr>
          <w:sz w:val="24"/>
        </w:rPr>
        <w:t xml:space="preserve">, and have therefore no effect on the composition of erupted basalts. </w:t>
      </w:r>
    </w:p>
    <w:p w14:paraId="52383CE7" w14:textId="0F5412AF" w:rsidR="004113BA" w:rsidRPr="00022B05" w:rsidRDefault="004113BA" w:rsidP="004113BA">
      <w:pPr>
        <w:widowControl w:val="0"/>
        <w:autoSpaceDE w:val="0"/>
        <w:autoSpaceDN w:val="0"/>
        <w:adjustRightInd w:val="0"/>
        <w:spacing w:after="120"/>
        <w:jc w:val="both"/>
        <w:rPr>
          <w:sz w:val="24"/>
        </w:rPr>
      </w:pPr>
      <w:r w:rsidRPr="00022B05">
        <w:rPr>
          <w:sz w:val="24"/>
        </w:rPr>
        <w:tab/>
        <w:t xml:space="preserve">Interactions between MORB-type melts and harzburgitic or lherzolitic mantle peridotites </w:t>
      </w:r>
      <w:r w:rsidRPr="00022B05">
        <w:rPr>
          <w:sz w:val="24"/>
        </w:rPr>
        <w:lastRenderedPageBreak/>
        <w:t xml:space="preserve">in the axial lithosphere have also been proposed </w:t>
      </w:r>
      <w:r w:rsidR="00646955" w:rsidRPr="00022B05">
        <w:rPr>
          <w:sz w:val="24"/>
        </w:rPr>
        <w:t>[</w:t>
      </w:r>
      <w:r w:rsidRPr="00022B05">
        <w:rPr>
          <w:i/>
          <w:sz w:val="24"/>
        </w:rPr>
        <w:t>Cannat and Casey</w:t>
      </w:r>
      <w:r w:rsidRPr="00022B05">
        <w:rPr>
          <w:sz w:val="24"/>
        </w:rPr>
        <w:t xml:space="preserve">, 1995; </w:t>
      </w:r>
      <w:r w:rsidRPr="00022B05">
        <w:rPr>
          <w:i/>
          <w:sz w:val="24"/>
        </w:rPr>
        <w:t>Cannat et al.</w:t>
      </w:r>
      <w:r w:rsidRPr="00022B05">
        <w:rPr>
          <w:sz w:val="24"/>
        </w:rPr>
        <w:t>, 199</w:t>
      </w:r>
      <w:r w:rsidR="00646955" w:rsidRPr="00022B05">
        <w:rPr>
          <w:sz w:val="24"/>
        </w:rPr>
        <w:t>5, 1997</w:t>
      </w:r>
      <w:r w:rsidR="003E51E3">
        <w:rPr>
          <w:sz w:val="24"/>
        </w:rPr>
        <w:t>b</w:t>
      </w:r>
      <w:r w:rsidR="00646955" w:rsidRPr="00022B05">
        <w:rPr>
          <w:sz w:val="24"/>
        </w:rPr>
        <w:t xml:space="preserve">; </w:t>
      </w:r>
      <w:r w:rsidR="00646955" w:rsidRPr="00022B05">
        <w:rPr>
          <w:i/>
          <w:sz w:val="24"/>
        </w:rPr>
        <w:t>Seyler et al.</w:t>
      </w:r>
      <w:r w:rsidR="000B3369">
        <w:rPr>
          <w:sz w:val="24"/>
        </w:rPr>
        <w:t>, 2007</w:t>
      </w:r>
      <w:r w:rsidR="00646955" w:rsidRPr="00022B05">
        <w:rPr>
          <w:sz w:val="24"/>
        </w:rPr>
        <w:t>].</w:t>
      </w:r>
      <w:r w:rsidR="00A40906">
        <w:rPr>
          <w:sz w:val="24"/>
        </w:rPr>
        <w:t xml:space="preserve"> </w:t>
      </w:r>
      <w:r w:rsidR="00A40906" w:rsidRPr="00022B05">
        <w:rPr>
          <w:sz w:val="24"/>
        </w:rPr>
        <w:t xml:space="preserve">Experimental studies by </w:t>
      </w:r>
      <w:r w:rsidR="00A40906" w:rsidRPr="00022B05">
        <w:rPr>
          <w:i/>
          <w:sz w:val="24"/>
        </w:rPr>
        <w:t>Tursack and Liang</w:t>
      </w:r>
      <w:r w:rsidR="00A40906" w:rsidRPr="00022B05">
        <w:rPr>
          <w:sz w:val="24"/>
        </w:rPr>
        <w:t xml:space="preserve"> [2012], and </w:t>
      </w:r>
      <w:r w:rsidR="00A40906" w:rsidRPr="00022B05">
        <w:rPr>
          <w:i/>
          <w:sz w:val="24"/>
        </w:rPr>
        <w:t>Saper and Liang</w:t>
      </w:r>
      <w:r w:rsidR="00A40906" w:rsidRPr="00022B05">
        <w:rPr>
          <w:sz w:val="24"/>
        </w:rPr>
        <w:t xml:space="preserve"> [2014] show that MORB-type melts reacting with residual lherzolites, over the range of temperatures and pressures expected for the base of the mantle lithosphere at slow-spreading ridges, are indeed capable of producing the clinopyroxene-rich mineral assemblages and the textures observed in natural melt-impregnated and reacted mantle rock suites, be they plagioclase-bearing as in the case of the troctolite-olivine gabbro suites, or plagioclase-free. In particular, their experiments produce clinopyroxene oikocrysts that enclose olivine, very similar to what is observed in natural samples [see microphotographs in </w:t>
      </w:r>
      <w:r w:rsidR="00A40906" w:rsidRPr="00022B05">
        <w:rPr>
          <w:i/>
          <w:sz w:val="24"/>
        </w:rPr>
        <w:t>Suhr et al.</w:t>
      </w:r>
      <w:r w:rsidR="00A40906" w:rsidRPr="00022B05">
        <w:rPr>
          <w:sz w:val="24"/>
        </w:rPr>
        <w:t xml:space="preserve">, 2008; </w:t>
      </w:r>
      <w:r w:rsidR="00A40906" w:rsidRPr="00022B05">
        <w:rPr>
          <w:i/>
          <w:sz w:val="24"/>
        </w:rPr>
        <w:t>Drouin et al.</w:t>
      </w:r>
      <w:r w:rsidR="00A40906" w:rsidRPr="00022B05">
        <w:rPr>
          <w:sz w:val="24"/>
        </w:rPr>
        <w:t xml:space="preserve">, 2009; or </w:t>
      </w:r>
      <w:r w:rsidR="00A40906" w:rsidRPr="00022B05">
        <w:rPr>
          <w:i/>
          <w:sz w:val="24"/>
        </w:rPr>
        <w:t>Sanfilippo et al.</w:t>
      </w:r>
      <w:r w:rsidR="00A40906" w:rsidRPr="00022B05">
        <w:rPr>
          <w:sz w:val="24"/>
        </w:rPr>
        <w:t>, 2013].</w:t>
      </w:r>
      <w:r w:rsidR="00A40906">
        <w:rPr>
          <w:sz w:val="24"/>
        </w:rPr>
        <w:t xml:space="preserve"> </w:t>
      </w:r>
      <w:r w:rsidR="00646955" w:rsidRPr="00022B05">
        <w:rPr>
          <w:i/>
          <w:sz w:val="24"/>
        </w:rPr>
        <w:t>Seyler et al.</w:t>
      </w:r>
      <w:r w:rsidR="000B3369">
        <w:rPr>
          <w:sz w:val="24"/>
        </w:rPr>
        <w:t xml:space="preserve"> [2007</w:t>
      </w:r>
      <w:r w:rsidR="00646955" w:rsidRPr="00022B05">
        <w:rPr>
          <w:sz w:val="24"/>
        </w:rPr>
        <w:t>]</w:t>
      </w:r>
      <w:r w:rsidRPr="00022B05">
        <w:rPr>
          <w:sz w:val="24"/>
        </w:rPr>
        <w:t xml:space="preserve"> propose</w:t>
      </w:r>
      <w:r w:rsidR="002E1499">
        <w:rPr>
          <w:sz w:val="24"/>
        </w:rPr>
        <w:t>d</w:t>
      </w:r>
      <w:r w:rsidRPr="00022B05">
        <w:rPr>
          <w:sz w:val="24"/>
        </w:rPr>
        <w:t xml:space="preserve"> that clinopyroxene-rich harzburgites drilled at 15°N at the Mid-Atlantic Ridge (MAR) formed due to a reaction with MORB-like melts, leading to the dissolution of residual orthopyroxene (opx) and its replacement by clinopyroxene (cpx), olivine (ol) and spinel (sp). These authors also propose</w:t>
      </w:r>
      <w:r w:rsidR="002E1499">
        <w:rPr>
          <w:sz w:val="24"/>
        </w:rPr>
        <w:t>d</w:t>
      </w:r>
      <w:r w:rsidRPr="00022B05">
        <w:rPr>
          <w:sz w:val="24"/>
        </w:rPr>
        <w:t xml:space="preserve"> that such melt-rock reactions could explain why residual peridotites in the 15°N region of the MAR have more refractory compositions than predicted from the composition of erupted MORBs sampled in the same region. They do not, however, investigate the effects these reactions could have on </w:t>
      </w:r>
      <w:r w:rsidR="00C71DBC">
        <w:rPr>
          <w:sz w:val="24"/>
        </w:rPr>
        <w:t xml:space="preserve">erupted </w:t>
      </w:r>
      <w:r w:rsidRPr="00022B05">
        <w:rPr>
          <w:sz w:val="24"/>
        </w:rPr>
        <w:t>MORB composition.</w:t>
      </w:r>
    </w:p>
    <w:p w14:paraId="1237CB56" w14:textId="3B8EB003" w:rsidR="00777711" w:rsidRPr="00022B05" w:rsidRDefault="004113BA" w:rsidP="00777711">
      <w:pPr>
        <w:widowControl w:val="0"/>
        <w:autoSpaceDE w:val="0"/>
        <w:autoSpaceDN w:val="0"/>
        <w:adjustRightInd w:val="0"/>
        <w:spacing w:after="120"/>
        <w:jc w:val="both"/>
        <w:rPr>
          <w:sz w:val="24"/>
        </w:rPr>
      </w:pPr>
      <w:r w:rsidRPr="00022B05">
        <w:rPr>
          <w:sz w:val="24"/>
        </w:rPr>
        <w:tab/>
        <w:t xml:space="preserve">In this paper, we discuss the potential for melt-mantle interactions in the axial lithosphere </w:t>
      </w:r>
      <w:r w:rsidR="00012197">
        <w:rPr>
          <w:sz w:val="24"/>
        </w:rPr>
        <w:t xml:space="preserve">to </w:t>
      </w:r>
      <w:r w:rsidR="00777711">
        <w:rPr>
          <w:sz w:val="24"/>
        </w:rPr>
        <w:t xml:space="preserve">produce the suite of gabbroic and plagioclase-bearing ultramafic rocks sampled in </w:t>
      </w:r>
      <w:r w:rsidR="001206C3">
        <w:rPr>
          <w:sz w:val="24"/>
        </w:rPr>
        <w:t xml:space="preserve">the </w:t>
      </w:r>
      <w:r w:rsidR="00777711">
        <w:rPr>
          <w:sz w:val="24"/>
        </w:rPr>
        <w:t>study area (Figure 1) and to modify the composition of erupted basalts</w:t>
      </w:r>
      <w:r w:rsidR="00777711" w:rsidRPr="00022B05">
        <w:rPr>
          <w:sz w:val="24"/>
        </w:rPr>
        <w:t>.</w:t>
      </w:r>
      <w:r w:rsidRPr="00022B05">
        <w:rPr>
          <w:sz w:val="24"/>
        </w:rPr>
        <w:t xml:space="preserve"> </w:t>
      </w:r>
      <w:r w:rsidR="00777711" w:rsidRPr="00022B05">
        <w:rPr>
          <w:sz w:val="24"/>
        </w:rPr>
        <w:t>The two types of seafloor (volcanic and nearly-amagmatic) exposed in the 61°-67°E SWIR region have been dredged during the EDUL [</w:t>
      </w:r>
      <w:r w:rsidR="00777711" w:rsidRPr="00022B05">
        <w:rPr>
          <w:i/>
          <w:sz w:val="24"/>
        </w:rPr>
        <w:t>Meyzen et al.</w:t>
      </w:r>
      <w:r w:rsidR="00777711" w:rsidRPr="00022B05">
        <w:rPr>
          <w:sz w:val="24"/>
        </w:rPr>
        <w:t xml:space="preserve">, 2003; </w:t>
      </w:r>
      <w:r w:rsidR="00777711" w:rsidRPr="00022B05">
        <w:rPr>
          <w:i/>
          <w:sz w:val="24"/>
        </w:rPr>
        <w:t>Seyler et al.</w:t>
      </w:r>
      <w:r w:rsidR="00777711" w:rsidRPr="00022B05">
        <w:rPr>
          <w:sz w:val="24"/>
        </w:rPr>
        <w:t>, 2003], and Smoothseafloor [</w:t>
      </w:r>
      <w:r w:rsidR="00777711" w:rsidRPr="00022B05">
        <w:rPr>
          <w:i/>
          <w:sz w:val="24"/>
        </w:rPr>
        <w:t>Sauter et al.</w:t>
      </w:r>
      <w:r w:rsidR="00777711" w:rsidRPr="00022B05">
        <w:rPr>
          <w:sz w:val="24"/>
        </w:rPr>
        <w:t xml:space="preserve">, 2013] cruises. </w:t>
      </w:r>
      <w:r w:rsidR="00777711">
        <w:rPr>
          <w:sz w:val="24"/>
        </w:rPr>
        <w:t>This</w:t>
      </w:r>
      <w:r w:rsidR="00777711" w:rsidRPr="00022B05">
        <w:rPr>
          <w:sz w:val="24"/>
        </w:rPr>
        <w:t xml:space="preserve"> study is based on samples from both cruises (Figure 1): plagioclase-bearing ultramafic and gabbroic rocks dredged from nearly amagmatic corridors, basalts dredged from the sparse volcanic cover of these corridors</w:t>
      </w:r>
      <w:r w:rsidR="00777711">
        <w:rPr>
          <w:sz w:val="24"/>
        </w:rPr>
        <w:t xml:space="preserve"> (“ultramafic seafloor basalts”)</w:t>
      </w:r>
      <w:r w:rsidR="00777711" w:rsidRPr="00022B05">
        <w:rPr>
          <w:sz w:val="24"/>
        </w:rPr>
        <w:t xml:space="preserve">, and </w:t>
      </w:r>
      <w:r w:rsidR="004D21C7" w:rsidRPr="00022B05">
        <w:rPr>
          <w:sz w:val="24"/>
          <w:szCs w:val="24"/>
        </w:rPr>
        <w:t>basalts dredged from the intervening, more volcanically active domains ("volcanic seafloor basalts")</w:t>
      </w:r>
      <w:r w:rsidR="00777711" w:rsidRPr="00022B05">
        <w:rPr>
          <w:sz w:val="24"/>
        </w:rPr>
        <w:t>. This sample set allows us to address the following questions: are basalts from nearly amagmatic corridors different from those erupted at the volcanic centers? If so, could the difference be explained by enhanced interactions of the parent melts with residual ultramafic rocks, to produce the plagioclase-bearing ultramafic to gabbroic rock suite? What could then be the range of melt to rock ratio in the melt/mantle reaction zones beneath nearly amagmatic spreading corridors? And what are the consequences of these melt/mantle reactions on the plumbing system? Being aware that these corridors represent an extremely low melt budget end</w:t>
      </w:r>
      <w:r w:rsidR="001206C3">
        <w:rPr>
          <w:sz w:val="24"/>
        </w:rPr>
        <w:t>-</w:t>
      </w:r>
      <w:r w:rsidR="00777711" w:rsidRPr="00022B05">
        <w:rPr>
          <w:sz w:val="24"/>
        </w:rPr>
        <w:t xml:space="preserve">member for mid-ocean ridges, we then introduce a discussion of the extent to which </w:t>
      </w:r>
      <w:r w:rsidR="001206C3">
        <w:rPr>
          <w:sz w:val="24"/>
        </w:rPr>
        <w:t>these</w:t>
      </w:r>
      <w:r w:rsidR="001206C3" w:rsidRPr="00022B05">
        <w:rPr>
          <w:sz w:val="24"/>
        </w:rPr>
        <w:t xml:space="preserve"> </w:t>
      </w:r>
      <w:r w:rsidR="00777711" w:rsidRPr="00022B05">
        <w:rPr>
          <w:sz w:val="24"/>
        </w:rPr>
        <w:t>observations in the SWIR 61°-67°E region may be significant for other, more magmatically active ridges.</w:t>
      </w:r>
    </w:p>
    <w:p w14:paraId="1D279741" w14:textId="6690DADA" w:rsidR="00777711" w:rsidRDefault="00777711" w:rsidP="004113BA">
      <w:pPr>
        <w:widowControl w:val="0"/>
        <w:autoSpaceDE w:val="0"/>
        <w:autoSpaceDN w:val="0"/>
        <w:adjustRightInd w:val="0"/>
        <w:spacing w:after="120"/>
        <w:jc w:val="both"/>
        <w:rPr>
          <w:sz w:val="24"/>
        </w:rPr>
      </w:pPr>
    </w:p>
    <w:p w14:paraId="12E250F6" w14:textId="48EED7F1" w:rsidR="00777711" w:rsidRPr="00022B05" w:rsidRDefault="00777711" w:rsidP="00B776EA">
      <w:pPr>
        <w:pStyle w:val="Heading-Main"/>
      </w:pPr>
      <w:r>
        <w:t xml:space="preserve">2 </w:t>
      </w:r>
      <w:r w:rsidR="004D21C7">
        <w:rPr>
          <w:rStyle w:val="Strong"/>
          <w:b/>
        </w:rPr>
        <w:t>Geological and basalt geochemistry background of the study area</w:t>
      </w:r>
      <w:r w:rsidRPr="003D6C63">
        <w:rPr>
          <w:rStyle w:val="Strong"/>
        </w:rPr>
        <w:t xml:space="preserve"> </w:t>
      </w:r>
    </w:p>
    <w:p w14:paraId="0180678E" w14:textId="091E75A9" w:rsidR="00777711" w:rsidRDefault="004113BA" w:rsidP="004113BA">
      <w:pPr>
        <w:widowControl w:val="0"/>
        <w:autoSpaceDE w:val="0"/>
        <w:autoSpaceDN w:val="0"/>
        <w:adjustRightInd w:val="0"/>
        <w:spacing w:after="120"/>
        <w:jc w:val="both"/>
        <w:rPr>
          <w:sz w:val="24"/>
        </w:rPr>
      </w:pPr>
      <w:r w:rsidRPr="00022B05">
        <w:rPr>
          <w:sz w:val="24"/>
        </w:rPr>
        <w:tab/>
      </w:r>
      <w:r w:rsidR="006F164E">
        <w:rPr>
          <w:sz w:val="24"/>
        </w:rPr>
        <w:t>The</w:t>
      </w:r>
      <w:r w:rsidR="006F164E" w:rsidRPr="00022B05">
        <w:rPr>
          <w:sz w:val="24"/>
        </w:rPr>
        <w:t xml:space="preserve"> </w:t>
      </w:r>
      <w:r w:rsidRPr="00022B05">
        <w:rPr>
          <w:sz w:val="24"/>
        </w:rPr>
        <w:t xml:space="preserve">easternmost region of the ultraslow SWIR </w:t>
      </w:r>
      <w:r w:rsidR="000C2C83" w:rsidRPr="00022B05">
        <w:rPr>
          <w:sz w:val="24"/>
        </w:rPr>
        <w:t>[</w:t>
      </w:r>
      <w:r w:rsidRPr="00022B05">
        <w:rPr>
          <w:sz w:val="24"/>
        </w:rPr>
        <w:t>~14mm.yr</w:t>
      </w:r>
      <w:r w:rsidRPr="00022B05">
        <w:rPr>
          <w:sz w:val="24"/>
          <w:vertAlign w:val="superscript"/>
        </w:rPr>
        <w:t>-1</w:t>
      </w:r>
      <w:r w:rsidRPr="00022B05">
        <w:rPr>
          <w:sz w:val="24"/>
        </w:rPr>
        <w:t xml:space="preserve">; </w:t>
      </w:r>
      <w:r w:rsidRPr="00022B05">
        <w:rPr>
          <w:i/>
          <w:noProof/>
          <w:sz w:val="24"/>
        </w:rPr>
        <w:t>Patriat and Segoufin</w:t>
      </w:r>
      <w:r w:rsidRPr="00022B05">
        <w:rPr>
          <w:noProof/>
          <w:sz w:val="24"/>
        </w:rPr>
        <w:t>, 1988</w:t>
      </w:r>
      <w:r w:rsidR="000C2C83" w:rsidRPr="00022B05">
        <w:rPr>
          <w:sz w:val="24"/>
        </w:rPr>
        <w:t>]</w:t>
      </w:r>
      <w:r w:rsidRPr="00022B05">
        <w:rPr>
          <w:sz w:val="24"/>
        </w:rPr>
        <w:t xml:space="preserve"> is an end-member of the global ridge system in terms of its very low magma supply. As such, it is a good laboratory to investigate the effect of melt-rock interactions on the composition of erupted basalts: for a given volume of erupted basaltic melt, the volume of reacted mantle is potentially greater than at more magmatically robust ridges. </w:t>
      </w:r>
    </w:p>
    <w:p w14:paraId="1D98DBDD" w14:textId="3D64135A" w:rsidR="004113BA" w:rsidRDefault="00777711" w:rsidP="004113BA">
      <w:pPr>
        <w:widowControl w:val="0"/>
        <w:autoSpaceDE w:val="0"/>
        <w:autoSpaceDN w:val="0"/>
        <w:adjustRightInd w:val="0"/>
        <w:spacing w:after="120"/>
        <w:jc w:val="both"/>
        <w:rPr>
          <w:sz w:val="24"/>
        </w:rPr>
      </w:pPr>
      <w:r>
        <w:rPr>
          <w:sz w:val="24"/>
        </w:rPr>
        <w:tab/>
      </w:r>
      <w:r w:rsidR="004113BA" w:rsidRPr="00022B05">
        <w:rPr>
          <w:sz w:val="24"/>
        </w:rPr>
        <w:t xml:space="preserve">The low overall melt budget of the SWIR in the 61°-67°E (east of the Melville Fracture Zone) region is supported by the seismic crustal structure </w:t>
      </w:r>
      <w:r w:rsidR="000C2C83" w:rsidRPr="00022B05">
        <w:rPr>
          <w:sz w:val="24"/>
        </w:rPr>
        <w:t>[</w:t>
      </w:r>
      <w:r w:rsidR="000C2C83" w:rsidRPr="00022B05">
        <w:rPr>
          <w:i/>
          <w:sz w:val="24"/>
        </w:rPr>
        <w:t>Muller et al.</w:t>
      </w:r>
      <w:r w:rsidR="000C2C83" w:rsidRPr="00022B05">
        <w:rPr>
          <w:sz w:val="24"/>
        </w:rPr>
        <w:t>, 1999]</w:t>
      </w:r>
      <w:r w:rsidR="004113BA" w:rsidRPr="00022B05">
        <w:rPr>
          <w:sz w:val="24"/>
        </w:rPr>
        <w:t xml:space="preserve">, and by gravity </w:t>
      </w:r>
      <w:r w:rsidR="004113BA" w:rsidRPr="00022B05">
        <w:rPr>
          <w:sz w:val="24"/>
        </w:rPr>
        <w:lastRenderedPageBreak/>
        <w:t xml:space="preserve">data </w:t>
      </w:r>
      <w:r w:rsidR="000C2C83" w:rsidRPr="00022B05">
        <w:rPr>
          <w:sz w:val="24"/>
        </w:rPr>
        <w:t>[</w:t>
      </w:r>
      <w:r w:rsidR="000C2C83" w:rsidRPr="00022B05">
        <w:rPr>
          <w:i/>
          <w:sz w:val="24"/>
        </w:rPr>
        <w:t>Cannat et al.</w:t>
      </w:r>
      <w:r w:rsidR="000C2C83" w:rsidRPr="00022B05">
        <w:rPr>
          <w:sz w:val="24"/>
        </w:rPr>
        <w:t>, 1999, 2006]</w:t>
      </w:r>
      <w:r w:rsidR="004113BA" w:rsidRPr="00022B05">
        <w:rPr>
          <w:sz w:val="24"/>
        </w:rPr>
        <w:t xml:space="preserve">. Underway geophysics, seafloor imagery and dredging </w:t>
      </w:r>
      <w:r w:rsidR="000C2C83" w:rsidRPr="00022B05">
        <w:rPr>
          <w:sz w:val="24"/>
        </w:rPr>
        <w:t>[</w:t>
      </w:r>
      <w:r w:rsidR="004113BA" w:rsidRPr="00022B05">
        <w:rPr>
          <w:i/>
          <w:sz w:val="24"/>
        </w:rPr>
        <w:t>Cannat et al.</w:t>
      </w:r>
      <w:r w:rsidR="004113BA" w:rsidRPr="00022B05">
        <w:rPr>
          <w:sz w:val="24"/>
        </w:rPr>
        <w:t xml:space="preserve">, 2006; </w:t>
      </w:r>
      <w:r w:rsidR="004113BA" w:rsidRPr="00022B05">
        <w:rPr>
          <w:i/>
          <w:sz w:val="24"/>
        </w:rPr>
        <w:t>Sauter et al.</w:t>
      </w:r>
      <w:r w:rsidR="000C2C83" w:rsidRPr="00022B05">
        <w:rPr>
          <w:sz w:val="24"/>
        </w:rPr>
        <w:t>, 2013]</w:t>
      </w:r>
      <w:r w:rsidR="004113BA" w:rsidRPr="00022B05">
        <w:rPr>
          <w:sz w:val="24"/>
        </w:rPr>
        <w:t xml:space="preserve"> in the 61°-67°E region also show that the modes of seafloor spreading are variable along-axis. There are large volcanic centers, where most the low overall melt influx to the ridge is actually focused</w:t>
      </w:r>
      <w:r w:rsidR="00D03F6C">
        <w:rPr>
          <w:sz w:val="24"/>
        </w:rPr>
        <w:t xml:space="preserve"> </w:t>
      </w:r>
      <w:r w:rsidR="00D03F6C" w:rsidRPr="00022B05">
        <w:rPr>
          <w:sz w:val="24"/>
          <w:szCs w:val="24"/>
        </w:rPr>
        <w:t>[</w:t>
      </w:r>
      <w:r w:rsidR="00D03F6C" w:rsidRPr="00022B05">
        <w:rPr>
          <w:i/>
          <w:sz w:val="24"/>
          <w:szCs w:val="24"/>
        </w:rPr>
        <w:t>Cannat et al.</w:t>
      </w:r>
      <w:r w:rsidR="00D03F6C" w:rsidRPr="00022B05">
        <w:rPr>
          <w:sz w:val="24"/>
          <w:szCs w:val="24"/>
        </w:rPr>
        <w:t xml:space="preserve">, 2003; </w:t>
      </w:r>
      <w:r w:rsidR="00D03F6C" w:rsidRPr="00022B05">
        <w:rPr>
          <w:i/>
          <w:sz w:val="24"/>
          <w:szCs w:val="24"/>
        </w:rPr>
        <w:t>Standish et al.</w:t>
      </w:r>
      <w:r w:rsidR="00D03F6C" w:rsidRPr="00022B05">
        <w:rPr>
          <w:sz w:val="24"/>
          <w:szCs w:val="24"/>
        </w:rPr>
        <w:t>, 2008]</w:t>
      </w:r>
      <w:r w:rsidR="004113BA" w:rsidRPr="00022B05">
        <w:rPr>
          <w:sz w:val="24"/>
        </w:rPr>
        <w:t xml:space="preserve">, leaving corridors of essentially amagmatic spreading. In these corridors, the seafloor exposes wide expanses of partially serpentinized mantle-derived peridotites, with </w:t>
      </w:r>
      <w:r>
        <w:rPr>
          <w:sz w:val="24"/>
        </w:rPr>
        <w:t>a small proportion</w:t>
      </w:r>
      <w:r w:rsidR="004113BA" w:rsidRPr="00022B05">
        <w:rPr>
          <w:sz w:val="24"/>
        </w:rPr>
        <w:t xml:space="preserve"> of gabbroic rocks</w:t>
      </w:r>
      <w:r>
        <w:rPr>
          <w:sz w:val="24"/>
        </w:rPr>
        <w:t xml:space="preserve"> (4% in volume of the dredged material; </w:t>
      </w:r>
      <w:r w:rsidRPr="00D92765">
        <w:rPr>
          <w:i/>
          <w:sz w:val="24"/>
        </w:rPr>
        <w:t>Sauter et al.</w:t>
      </w:r>
      <w:r>
        <w:rPr>
          <w:sz w:val="24"/>
        </w:rPr>
        <w:t>, [2013])</w:t>
      </w:r>
      <w:r w:rsidR="004113BA" w:rsidRPr="00022B05">
        <w:rPr>
          <w:sz w:val="24"/>
        </w:rPr>
        <w:t xml:space="preserve"> and a thin and discontinuous basaltic cover (Figure 2). Off-axis dredging shows that mantle-derived material has been continuously exhumed in these corridors over the past 8 to 10 </w:t>
      </w:r>
      <w:r w:rsidR="001A6CAD">
        <w:rPr>
          <w:sz w:val="24"/>
        </w:rPr>
        <w:t>M</w:t>
      </w:r>
      <w:r w:rsidR="001A6CAD" w:rsidRPr="00022B05">
        <w:rPr>
          <w:sz w:val="24"/>
        </w:rPr>
        <w:t>yrs</w:t>
      </w:r>
      <w:r w:rsidR="004113BA" w:rsidRPr="00022B05">
        <w:rPr>
          <w:sz w:val="24"/>
        </w:rPr>
        <w:t xml:space="preserve">. The proposed </w:t>
      </w:r>
      <w:r>
        <w:rPr>
          <w:sz w:val="24"/>
        </w:rPr>
        <w:t xml:space="preserve">tectonic </w:t>
      </w:r>
      <w:r w:rsidR="004113BA" w:rsidRPr="00022B05">
        <w:rPr>
          <w:sz w:val="24"/>
        </w:rPr>
        <w:t xml:space="preserve">interpretation is that mantle exhumation is accommodated by successive large offset normal faults that persist for 1 to 3 </w:t>
      </w:r>
      <w:r w:rsidR="001A6CAD">
        <w:rPr>
          <w:sz w:val="24"/>
        </w:rPr>
        <w:t>M</w:t>
      </w:r>
      <w:r w:rsidR="001A6CAD" w:rsidRPr="00022B05">
        <w:rPr>
          <w:sz w:val="24"/>
        </w:rPr>
        <w:t xml:space="preserve">yrs </w:t>
      </w:r>
      <w:r w:rsidR="004113BA" w:rsidRPr="00022B05">
        <w:rPr>
          <w:sz w:val="24"/>
        </w:rPr>
        <w:t xml:space="preserve">and dip alternatively to the north beneath the African-Somalian plate, or to the south beneath the Antarctic plate </w:t>
      </w:r>
      <w:r w:rsidR="000C2C83" w:rsidRPr="00022B05">
        <w:rPr>
          <w:sz w:val="24"/>
        </w:rPr>
        <w:t>[</w:t>
      </w:r>
      <w:r w:rsidR="000C2C83" w:rsidRPr="00022B05">
        <w:rPr>
          <w:i/>
          <w:sz w:val="24"/>
        </w:rPr>
        <w:t>Sauter et al.</w:t>
      </w:r>
      <w:r w:rsidR="000C2C83" w:rsidRPr="00022B05">
        <w:rPr>
          <w:sz w:val="24"/>
        </w:rPr>
        <w:t>, 2013]</w:t>
      </w:r>
      <w:r w:rsidR="004113BA" w:rsidRPr="00022B05">
        <w:rPr>
          <w:sz w:val="24"/>
        </w:rPr>
        <w:t>.</w:t>
      </w:r>
    </w:p>
    <w:p w14:paraId="4DB29740" w14:textId="77777777" w:rsidR="00974A1C" w:rsidRDefault="00974A1C" w:rsidP="004113BA">
      <w:pPr>
        <w:widowControl w:val="0"/>
        <w:autoSpaceDE w:val="0"/>
        <w:autoSpaceDN w:val="0"/>
        <w:adjustRightInd w:val="0"/>
        <w:spacing w:after="120"/>
        <w:jc w:val="both"/>
        <w:rPr>
          <w:sz w:val="24"/>
        </w:rPr>
      </w:pPr>
    </w:p>
    <w:p w14:paraId="57615B60" w14:textId="04FA995F" w:rsidR="00974A1C" w:rsidRDefault="00EC766E" w:rsidP="004113BA">
      <w:pPr>
        <w:widowControl w:val="0"/>
        <w:autoSpaceDE w:val="0"/>
        <w:autoSpaceDN w:val="0"/>
        <w:adjustRightInd w:val="0"/>
        <w:spacing w:after="120"/>
        <w:jc w:val="both"/>
        <w:rPr>
          <w:sz w:val="24"/>
        </w:rPr>
      </w:pPr>
      <w:r>
        <w:rPr>
          <w:noProof/>
          <w:sz w:val="24"/>
          <w:lang w:val="en-GB" w:eastAsia="en-GB"/>
        </w:rPr>
        <w:drawing>
          <wp:inline distT="0" distB="0" distL="0" distR="0" wp14:anchorId="04AABAA6" wp14:editId="6D8C0FA4">
            <wp:extent cx="5933440" cy="2011680"/>
            <wp:effectExtent l="0" t="0" r="10160" b="0"/>
            <wp:docPr id="2" name="Image 2" descr="Sans titre:Users:MarinePaquet:Documents:PhD:Sujet Basaltes - Stage M2:Papiers:Majeurs &amp; Traces:Figures:TOB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ns titre:Users:MarinePaquet:Documents:PhD:Sujet Basaltes - Stage M2:Papiers:Majeurs &amp; Traces:Figures:TOBI.jpg"/>
                    <pic:cNvPicPr>
                      <a:picLocks noChangeAspect="1" noChangeArrowheads="1"/>
                    </pic:cNvPicPr>
                  </pic:nvPicPr>
                  <pic:blipFill rotWithShape="1">
                    <a:blip r:embed="rId10">
                      <a:extLst>
                        <a:ext uri="{28A0092B-C50C-407E-A947-70E740481C1C}">
                          <a14:useLocalDpi xmlns:a14="http://schemas.microsoft.com/office/drawing/2010/main" val="0"/>
                        </a:ext>
                      </a:extLst>
                    </a:blip>
                    <a:srcRect t="25842"/>
                    <a:stretch/>
                  </pic:blipFill>
                  <pic:spPr bwMode="auto">
                    <a:xfrm>
                      <a:off x="0" y="0"/>
                      <a:ext cx="5933440" cy="2011680"/>
                    </a:xfrm>
                    <a:prstGeom prst="rect">
                      <a:avLst/>
                    </a:prstGeom>
                    <a:noFill/>
                    <a:ln>
                      <a:noFill/>
                    </a:ln>
                    <a:extLst>
                      <a:ext uri="{53640926-AAD7-44D8-BBD7-CCE9431645EC}">
                        <a14:shadowObscured xmlns:a14="http://schemas.microsoft.com/office/drawing/2010/main"/>
                      </a:ext>
                    </a:extLst>
                  </pic:spPr>
                </pic:pic>
              </a:graphicData>
            </a:graphic>
          </wp:inline>
        </w:drawing>
      </w:r>
    </w:p>
    <w:p w14:paraId="158CEDCB" w14:textId="01278FE2" w:rsidR="007A154E" w:rsidRDefault="007A154E" w:rsidP="007A154E">
      <w:pPr>
        <w:pStyle w:val="FigureorTableCaption"/>
        <w:jc w:val="both"/>
      </w:pPr>
      <w:proofErr w:type="gramStart"/>
      <w:r w:rsidRPr="00974A1C">
        <w:rPr>
          <w:b/>
        </w:rPr>
        <w:t xml:space="preserve">Figure </w:t>
      </w:r>
      <w:r w:rsidR="00754846">
        <w:rPr>
          <w:b/>
        </w:rPr>
        <w:t>2</w:t>
      </w:r>
      <w:r w:rsidRPr="00974A1C">
        <w:t>.</w:t>
      </w:r>
      <w:proofErr w:type="gramEnd"/>
      <w:r w:rsidRPr="00974A1C">
        <w:t xml:space="preserve"> </w:t>
      </w:r>
      <w:r w:rsidR="00886E6F" w:rsidRPr="006901EC">
        <w:t xml:space="preserve">Perspective view of the reflectivity of the axial valley seafloor at 64°E on the Southwest Indian Ridge (side-scan sonar imagery acquired with the Towed Ocean Bottom Instrument, TOBI; </w:t>
      </w:r>
      <w:r w:rsidR="00886E6F" w:rsidRPr="00CC5328">
        <w:rPr>
          <w:i/>
        </w:rPr>
        <w:t>Sauter et al.</w:t>
      </w:r>
      <w:r w:rsidR="00886E6F" w:rsidRPr="006901EC">
        <w:t xml:space="preserve">, </w:t>
      </w:r>
      <w:r w:rsidR="00CC5328">
        <w:t>[</w:t>
      </w:r>
      <w:r w:rsidR="00886E6F" w:rsidRPr="006901EC">
        <w:t>2013</w:t>
      </w:r>
      <w:r w:rsidR="00CC5328">
        <w:t>]</w:t>
      </w:r>
      <w:r w:rsidR="00886E6F" w:rsidRPr="006901EC">
        <w:t>). The track line for dredge SMS28 is shown in red. The smooth grey areas correspond to outcrops of tectonically exhumed serpentinized peridotites, and the more reflective hummocky areas are basalts directly erupted on these serpentinized peridotites (“ultramafic seafloor basalts”).</w:t>
      </w:r>
    </w:p>
    <w:p w14:paraId="5A19F0B5" w14:textId="77777777" w:rsidR="00886E6F" w:rsidRPr="00022B05" w:rsidRDefault="00886E6F" w:rsidP="004113BA">
      <w:pPr>
        <w:widowControl w:val="0"/>
        <w:autoSpaceDE w:val="0"/>
        <w:autoSpaceDN w:val="0"/>
        <w:adjustRightInd w:val="0"/>
        <w:spacing w:after="120"/>
        <w:jc w:val="both"/>
        <w:rPr>
          <w:sz w:val="24"/>
        </w:rPr>
      </w:pPr>
    </w:p>
    <w:p w14:paraId="0C377E10" w14:textId="36ABFB53" w:rsidR="004113BA" w:rsidRPr="00022B05" w:rsidRDefault="004113BA" w:rsidP="004113BA">
      <w:pPr>
        <w:widowControl w:val="0"/>
        <w:autoSpaceDE w:val="0"/>
        <w:autoSpaceDN w:val="0"/>
        <w:adjustRightInd w:val="0"/>
        <w:spacing w:after="120"/>
        <w:jc w:val="both"/>
        <w:rPr>
          <w:sz w:val="24"/>
        </w:rPr>
      </w:pPr>
      <w:r w:rsidRPr="00022B05">
        <w:rPr>
          <w:sz w:val="24"/>
        </w:rPr>
        <w:tab/>
        <w:t xml:space="preserve">Basalt major element compositions </w:t>
      </w:r>
      <w:r w:rsidR="00E21E6C" w:rsidRPr="00022B05">
        <w:rPr>
          <w:sz w:val="24"/>
        </w:rPr>
        <w:t>[</w:t>
      </w:r>
      <w:r w:rsidR="00E21E6C" w:rsidRPr="00022B05">
        <w:rPr>
          <w:i/>
          <w:sz w:val="24"/>
        </w:rPr>
        <w:t>Meyzen et al.</w:t>
      </w:r>
      <w:r w:rsidR="00E21E6C" w:rsidRPr="00022B05">
        <w:rPr>
          <w:sz w:val="24"/>
        </w:rPr>
        <w:t xml:space="preserve">, 2003; </w:t>
      </w:r>
      <w:r w:rsidR="00E21E6C" w:rsidRPr="00022B05">
        <w:rPr>
          <w:i/>
          <w:sz w:val="24"/>
        </w:rPr>
        <w:t>Cannat et al.</w:t>
      </w:r>
      <w:r w:rsidR="00E21E6C" w:rsidRPr="00022B05">
        <w:rPr>
          <w:sz w:val="24"/>
        </w:rPr>
        <w:t>, 2008]</w:t>
      </w:r>
      <w:r w:rsidR="00E21E6C">
        <w:rPr>
          <w:sz w:val="24"/>
        </w:rPr>
        <w:t xml:space="preserve"> </w:t>
      </w:r>
      <w:r w:rsidRPr="00022B05">
        <w:rPr>
          <w:sz w:val="24"/>
        </w:rPr>
        <w:t>also supports a very low degree of melting of the mantle in the 61°-67°E region of the SWIR. Basalt samples included in these earlier studies come from volcanic seafloor domains. They plot at the lowest CaO/Al</w:t>
      </w:r>
      <w:r w:rsidRPr="00022B05">
        <w:rPr>
          <w:sz w:val="24"/>
          <w:vertAlign w:val="subscript"/>
        </w:rPr>
        <w:t>2</w:t>
      </w:r>
      <w:r w:rsidRPr="00022B05">
        <w:rPr>
          <w:sz w:val="24"/>
        </w:rPr>
        <w:t>O</w:t>
      </w:r>
      <w:r w:rsidRPr="00022B05">
        <w:rPr>
          <w:sz w:val="24"/>
          <w:vertAlign w:val="subscript"/>
        </w:rPr>
        <w:t>3</w:t>
      </w:r>
      <w:r w:rsidRPr="00022B05">
        <w:rPr>
          <w:sz w:val="24"/>
        </w:rPr>
        <w:t xml:space="preserve"> end of the global MORB trend (which can be interpreted in terms of the degree of partial melting; </w:t>
      </w:r>
      <w:r w:rsidR="000C2C83" w:rsidRPr="00022B05">
        <w:rPr>
          <w:sz w:val="24"/>
        </w:rPr>
        <w:t>[</w:t>
      </w:r>
      <w:r w:rsidRPr="00022B05">
        <w:rPr>
          <w:i/>
          <w:sz w:val="24"/>
        </w:rPr>
        <w:t>Klein and Langmuir</w:t>
      </w:r>
      <w:r w:rsidR="000C2C83" w:rsidRPr="00022B05">
        <w:rPr>
          <w:sz w:val="24"/>
        </w:rPr>
        <w:t>, 1987])</w:t>
      </w:r>
      <w:r w:rsidRPr="00022B05">
        <w:rPr>
          <w:sz w:val="24"/>
        </w:rPr>
        <w:t xml:space="preserve">. They also have low </w:t>
      </w:r>
      <w:r w:rsidR="002047A3">
        <w:rPr>
          <w:sz w:val="24"/>
        </w:rPr>
        <w:t>FeO</w:t>
      </w:r>
      <w:r w:rsidR="002047A3" w:rsidRPr="00022B05">
        <w:rPr>
          <w:sz w:val="24"/>
        </w:rPr>
        <w:t xml:space="preserve"> </w:t>
      </w:r>
      <w:r w:rsidRPr="00022B05">
        <w:rPr>
          <w:sz w:val="24"/>
        </w:rPr>
        <w:t xml:space="preserve">contents at a given MgO, and are enriched in most incompatible elements, including </w:t>
      </w:r>
      <w:r w:rsidR="002047A3">
        <w:rPr>
          <w:sz w:val="24"/>
        </w:rPr>
        <w:t>Na</w:t>
      </w:r>
      <w:r w:rsidR="002047A3" w:rsidRPr="002047A3">
        <w:rPr>
          <w:sz w:val="24"/>
          <w:vertAlign w:val="subscript"/>
        </w:rPr>
        <w:t>2</w:t>
      </w:r>
      <w:r w:rsidR="002047A3">
        <w:rPr>
          <w:sz w:val="24"/>
        </w:rPr>
        <w:t>O</w:t>
      </w:r>
      <w:r w:rsidRPr="00022B05">
        <w:rPr>
          <w:sz w:val="24"/>
        </w:rPr>
        <w:t xml:space="preserve">. </w:t>
      </w:r>
      <w:r w:rsidR="002047A3">
        <w:rPr>
          <w:sz w:val="24"/>
        </w:rPr>
        <w:t>However, t</w:t>
      </w:r>
      <w:r w:rsidRPr="00022B05">
        <w:rPr>
          <w:sz w:val="24"/>
        </w:rPr>
        <w:t xml:space="preserve">hese basalts differ from the global MORB trend in that they contain significantly less </w:t>
      </w:r>
      <w:r w:rsidR="002047A3">
        <w:rPr>
          <w:sz w:val="24"/>
        </w:rPr>
        <w:t>TiO</w:t>
      </w:r>
      <w:r w:rsidR="002047A3" w:rsidRPr="002047A3">
        <w:rPr>
          <w:sz w:val="24"/>
          <w:vertAlign w:val="subscript"/>
        </w:rPr>
        <w:t>2</w:t>
      </w:r>
      <w:r w:rsidR="002047A3" w:rsidRPr="00022B05" w:rsidDel="002047A3">
        <w:rPr>
          <w:sz w:val="24"/>
        </w:rPr>
        <w:t xml:space="preserve"> </w:t>
      </w:r>
      <w:r w:rsidRPr="00022B05">
        <w:rPr>
          <w:sz w:val="24"/>
        </w:rPr>
        <w:t>at a given MgO content, and have peculiar Rare Ear</w:t>
      </w:r>
      <w:r w:rsidR="000C2C83" w:rsidRPr="00022B05">
        <w:rPr>
          <w:sz w:val="24"/>
        </w:rPr>
        <w:t>th Elements (REE) compositions [</w:t>
      </w:r>
      <w:r w:rsidRPr="00022B05">
        <w:rPr>
          <w:i/>
          <w:sz w:val="24"/>
        </w:rPr>
        <w:t>M</w:t>
      </w:r>
      <w:r w:rsidR="000C2C83" w:rsidRPr="00022B05">
        <w:rPr>
          <w:i/>
          <w:sz w:val="24"/>
        </w:rPr>
        <w:t>eyzen et al.</w:t>
      </w:r>
      <w:r w:rsidR="000C2C83" w:rsidRPr="00022B05">
        <w:rPr>
          <w:sz w:val="24"/>
        </w:rPr>
        <w:t>, 2003]</w:t>
      </w:r>
      <w:r w:rsidRPr="00022B05">
        <w:rPr>
          <w:sz w:val="24"/>
        </w:rPr>
        <w:t xml:space="preserve">. These characteristics have been interpreted by </w:t>
      </w:r>
      <w:r w:rsidRPr="00022B05">
        <w:rPr>
          <w:i/>
          <w:sz w:val="24"/>
        </w:rPr>
        <w:t>Meyzen et al.</w:t>
      </w:r>
      <w:r w:rsidR="000C2C83" w:rsidRPr="00022B05">
        <w:rPr>
          <w:sz w:val="24"/>
        </w:rPr>
        <w:t xml:space="preserve"> [2003]</w:t>
      </w:r>
      <w:r w:rsidRPr="00022B05">
        <w:rPr>
          <w:sz w:val="24"/>
        </w:rPr>
        <w:t xml:space="preserve"> as due to melting of a refertilized depleted mantle. It is worth noting that these </w:t>
      </w:r>
      <w:proofErr w:type="gramStart"/>
      <w:r w:rsidRPr="00022B05">
        <w:rPr>
          <w:sz w:val="24"/>
        </w:rPr>
        <w:t>east</w:t>
      </w:r>
      <w:proofErr w:type="gramEnd"/>
      <w:r w:rsidRPr="00022B05">
        <w:rPr>
          <w:sz w:val="24"/>
        </w:rPr>
        <w:t xml:space="preserve"> of Melville, volcanic seafloor basalts are similar in major element composition to the so-called low K/Ti basalts sampled in the most oblique section </w:t>
      </w:r>
      <w:r w:rsidR="000C2C83" w:rsidRPr="00022B05">
        <w:rPr>
          <w:sz w:val="24"/>
        </w:rPr>
        <w:t>of the SWIR between 9 and 16°E [</w:t>
      </w:r>
      <w:r w:rsidR="000C2C83" w:rsidRPr="00022B05">
        <w:rPr>
          <w:i/>
          <w:sz w:val="24"/>
        </w:rPr>
        <w:t>Standish et al.</w:t>
      </w:r>
      <w:r w:rsidR="000C2C83" w:rsidRPr="00022B05">
        <w:rPr>
          <w:sz w:val="24"/>
        </w:rPr>
        <w:t>, 2008]</w:t>
      </w:r>
      <w:r w:rsidRPr="00022B05">
        <w:rPr>
          <w:sz w:val="24"/>
        </w:rPr>
        <w:t xml:space="preserve">. The composition of residual peridotites sampled in the 61°-67°E region also points to complexities in the melting </w:t>
      </w:r>
      <w:r w:rsidRPr="00022B05">
        <w:rPr>
          <w:sz w:val="24"/>
        </w:rPr>
        <w:lastRenderedPageBreak/>
        <w:t>and metasomatic h</w:t>
      </w:r>
      <w:r w:rsidR="000C2C83" w:rsidRPr="00022B05">
        <w:rPr>
          <w:sz w:val="24"/>
        </w:rPr>
        <w:t>istory of the sub-axial mantle [</w:t>
      </w:r>
      <w:r w:rsidR="000C2C83" w:rsidRPr="00022B05">
        <w:rPr>
          <w:i/>
          <w:sz w:val="24"/>
        </w:rPr>
        <w:t>Seyler et al.</w:t>
      </w:r>
      <w:r w:rsidR="000C2C83" w:rsidRPr="00022B05">
        <w:rPr>
          <w:sz w:val="24"/>
        </w:rPr>
        <w:t>, 2003, 2011]</w:t>
      </w:r>
      <w:r w:rsidRPr="00022B05">
        <w:rPr>
          <w:sz w:val="24"/>
        </w:rPr>
        <w:t>, suggesting that low degrees of decompression melting in this region was accompanied by pervasive percolation of enriched liquid</w:t>
      </w:r>
      <w:r w:rsidR="000C2C83" w:rsidRPr="00022B05">
        <w:rPr>
          <w:sz w:val="24"/>
        </w:rPr>
        <w:t>s produced in the garnet field [</w:t>
      </w:r>
      <w:r w:rsidR="000C2C83" w:rsidRPr="00022B05">
        <w:rPr>
          <w:i/>
          <w:sz w:val="24"/>
        </w:rPr>
        <w:t>Brunelli et al.</w:t>
      </w:r>
      <w:r w:rsidR="000C2C83" w:rsidRPr="00022B05">
        <w:rPr>
          <w:sz w:val="24"/>
        </w:rPr>
        <w:t>, 2014]</w:t>
      </w:r>
      <w:r w:rsidRPr="00022B05">
        <w:rPr>
          <w:sz w:val="24"/>
        </w:rPr>
        <w:t>.</w:t>
      </w:r>
    </w:p>
    <w:p w14:paraId="6194014C" w14:textId="47BBC32B" w:rsidR="00D76A65" w:rsidRPr="00022B05" w:rsidRDefault="00D76A65" w:rsidP="009D0333">
      <w:pPr>
        <w:widowControl w:val="0"/>
        <w:autoSpaceDE w:val="0"/>
        <w:autoSpaceDN w:val="0"/>
        <w:adjustRightInd w:val="0"/>
        <w:spacing w:after="120"/>
        <w:jc w:val="both"/>
        <w:rPr>
          <w:sz w:val="24"/>
        </w:rPr>
      </w:pPr>
    </w:p>
    <w:p w14:paraId="0C414E79" w14:textId="406C30CA" w:rsidR="001F2164" w:rsidRPr="00022B05" w:rsidRDefault="00E21E6C" w:rsidP="00E21E6C">
      <w:pPr>
        <w:pStyle w:val="Heading-Main"/>
        <w:rPr>
          <w:rStyle w:val="Strong"/>
          <w:b/>
        </w:rPr>
      </w:pPr>
      <w:r>
        <w:t>3</w:t>
      </w:r>
      <w:r w:rsidRPr="00022B05">
        <w:t xml:space="preserve"> </w:t>
      </w:r>
      <w:r>
        <w:rPr>
          <w:rStyle w:val="Strong"/>
          <w:b/>
        </w:rPr>
        <w:t>Analytical methods</w:t>
      </w:r>
    </w:p>
    <w:p w14:paraId="6AE347E3" w14:textId="20E7B76F" w:rsidR="001F2164" w:rsidRDefault="001F2164" w:rsidP="00406D52">
      <w:pPr>
        <w:widowControl w:val="0"/>
        <w:autoSpaceDE w:val="0"/>
        <w:autoSpaceDN w:val="0"/>
        <w:adjustRightInd w:val="0"/>
        <w:spacing w:after="120"/>
        <w:jc w:val="both"/>
      </w:pPr>
      <w:r>
        <w:rPr>
          <w:sz w:val="24"/>
        </w:rPr>
        <w:tab/>
      </w:r>
      <w:r w:rsidRPr="001F2164">
        <w:rPr>
          <w:sz w:val="24"/>
        </w:rPr>
        <w:t>In</w:t>
      </w:r>
      <w:r w:rsidRPr="00406D52">
        <w:rPr>
          <w:sz w:val="24"/>
        </w:rPr>
        <w:t xml:space="preserve"> situ major element concentrations in basaltic fresh glasses and in olivine, plagioclase, clinopyroxene, orthopyroxene and spinel from the gabbroic and plagioclase-bearing ultramafic rocks</w:t>
      </w:r>
      <w:r>
        <w:rPr>
          <w:sz w:val="24"/>
        </w:rPr>
        <w:t xml:space="preserve"> were measured</w:t>
      </w:r>
      <w:r w:rsidRPr="00406D52">
        <w:rPr>
          <w:sz w:val="24"/>
        </w:rPr>
        <w:t xml:space="preserve"> using the Cameca SX-100 electron microprobe (CAMPARIS service, Paris).</w:t>
      </w:r>
    </w:p>
    <w:p w14:paraId="0A8E46AD" w14:textId="77777777" w:rsidR="001F2164" w:rsidRDefault="001F2164" w:rsidP="00406D52">
      <w:pPr>
        <w:widowControl w:val="0"/>
        <w:autoSpaceDE w:val="0"/>
        <w:autoSpaceDN w:val="0"/>
        <w:adjustRightInd w:val="0"/>
        <w:spacing w:after="120"/>
        <w:jc w:val="both"/>
      </w:pPr>
      <w:r>
        <w:rPr>
          <w:sz w:val="24"/>
          <w:szCs w:val="24"/>
        </w:rPr>
        <w:tab/>
      </w:r>
      <w:r w:rsidRPr="001F2164">
        <w:rPr>
          <w:sz w:val="24"/>
          <w:szCs w:val="24"/>
        </w:rPr>
        <w:t>In</w:t>
      </w:r>
      <w:r w:rsidRPr="00406D52">
        <w:rPr>
          <w:sz w:val="24"/>
          <w:szCs w:val="24"/>
        </w:rPr>
        <w:t xml:space="preserve"> situ trace element compositions in basaltic samples were determined at Montpellier 2 University on a ThermoFinnigan Element 2 High Resolution-Inductively Coupled Plasma-Mass Spectrometer (HR-ICP-MS) using a single collector double-focusing sector field Element XR (eXtended Range) coupled with laser ablation (LA) system, a Geolas (Microlas) automated platform housing a 193 nm Compex 102 laser from LambdaPhysik. </w:t>
      </w:r>
    </w:p>
    <w:p w14:paraId="2CABF1E8" w14:textId="083C1AA9" w:rsidR="001F2164" w:rsidRPr="00406D52" w:rsidRDefault="001F2164" w:rsidP="00406D52">
      <w:pPr>
        <w:widowControl w:val="0"/>
        <w:autoSpaceDE w:val="0"/>
        <w:autoSpaceDN w:val="0"/>
        <w:adjustRightInd w:val="0"/>
        <w:spacing w:after="120"/>
        <w:jc w:val="both"/>
        <w:rPr>
          <w:sz w:val="28"/>
        </w:rPr>
      </w:pPr>
      <w:r>
        <w:rPr>
          <w:sz w:val="24"/>
          <w:szCs w:val="24"/>
        </w:rPr>
        <w:tab/>
      </w:r>
      <w:r w:rsidRPr="00406D52">
        <w:rPr>
          <w:sz w:val="24"/>
          <w:szCs w:val="22"/>
        </w:rPr>
        <w:t xml:space="preserve">In situ trace element compositions of clinopyroxene, orthopyroxene and plagioclase in the </w:t>
      </w:r>
      <w:r w:rsidRPr="00406D52">
        <w:rPr>
          <w:rStyle w:val="Strong"/>
          <w:b w:val="0"/>
          <w:sz w:val="24"/>
          <w:szCs w:val="22"/>
        </w:rPr>
        <w:t>impregnated and reacted ultramafic rocks</w:t>
      </w:r>
      <w:r w:rsidRPr="00406D52" w:rsidDel="00E15CB4">
        <w:rPr>
          <w:sz w:val="24"/>
          <w:szCs w:val="22"/>
        </w:rPr>
        <w:t xml:space="preserve"> </w:t>
      </w:r>
      <w:r w:rsidRPr="00406D52">
        <w:rPr>
          <w:sz w:val="24"/>
          <w:szCs w:val="22"/>
        </w:rPr>
        <w:t>were measured at the CIGS (Centro Interdipartimentale Grandi Strumenti) in Modena University on a Thermo Fisher Scientific Quadrupole- Inductively Coupled Plasma-Mass Spectrometer (Q-ICP-MS) XSeries 2 coupled with laser ablation (LA) system UP213.</w:t>
      </w:r>
    </w:p>
    <w:p w14:paraId="5A250A98" w14:textId="77777777" w:rsidR="001F2164" w:rsidRDefault="001F2164" w:rsidP="00406D52">
      <w:pPr>
        <w:widowControl w:val="0"/>
        <w:autoSpaceDE w:val="0"/>
        <w:autoSpaceDN w:val="0"/>
        <w:adjustRightInd w:val="0"/>
        <w:spacing w:after="120"/>
        <w:jc w:val="both"/>
      </w:pPr>
      <w:r>
        <w:rPr>
          <w:sz w:val="24"/>
          <w:szCs w:val="24"/>
        </w:rPr>
        <w:tab/>
      </w:r>
      <w:r w:rsidRPr="00406D52">
        <w:rPr>
          <w:sz w:val="24"/>
        </w:rPr>
        <w:t xml:space="preserve">Nd and Pb </w:t>
      </w:r>
      <w:r w:rsidRPr="00406D52">
        <w:rPr>
          <w:sz w:val="24"/>
          <w:szCs w:val="24"/>
        </w:rPr>
        <w:t>isotopic compositions in basalts were measured at Institut de Physique du Globe de Paris using a Thermo-Scientific Neptu</w:t>
      </w:r>
      <w:r>
        <w:rPr>
          <w:sz w:val="24"/>
          <w:szCs w:val="24"/>
        </w:rPr>
        <w:t>ne.</w:t>
      </w:r>
    </w:p>
    <w:p w14:paraId="2E320CC7" w14:textId="04BDA3BE" w:rsidR="001F2164" w:rsidRDefault="001F2164" w:rsidP="00406D52">
      <w:pPr>
        <w:widowControl w:val="0"/>
        <w:autoSpaceDE w:val="0"/>
        <w:autoSpaceDN w:val="0"/>
        <w:adjustRightInd w:val="0"/>
        <w:spacing w:after="120"/>
        <w:jc w:val="both"/>
      </w:pPr>
      <w:r>
        <w:rPr>
          <w:sz w:val="24"/>
          <w:szCs w:val="24"/>
        </w:rPr>
        <w:tab/>
      </w:r>
      <w:r w:rsidRPr="00406D52">
        <w:rPr>
          <w:sz w:val="24"/>
          <w:szCs w:val="24"/>
        </w:rPr>
        <w:t xml:space="preserve">Details on analytical methods can be found in </w:t>
      </w:r>
      <w:r>
        <w:rPr>
          <w:sz w:val="24"/>
          <w:szCs w:val="24"/>
        </w:rPr>
        <w:t>the Supplementary Materials Text S1.</w:t>
      </w:r>
    </w:p>
    <w:p w14:paraId="7A3F6811" w14:textId="77777777" w:rsidR="001F2164" w:rsidRPr="00217607" w:rsidRDefault="001F2164" w:rsidP="00406D52">
      <w:pPr>
        <w:widowControl w:val="0"/>
        <w:autoSpaceDE w:val="0"/>
        <w:autoSpaceDN w:val="0"/>
        <w:adjustRightInd w:val="0"/>
        <w:spacing w:after="120"/>
        <w:jc w:val="both"/>
      </w:pPr>
    </w:p>
    <w:p w14:paraId="6888E72E" w14:textId="5C7F62AF" w:rsidR="002F3B11" w:rsidRPr="00022B05" w:rsidRDefault="00E21E6C" w:rsidP="00C81368">
      <w:pPr>
        <w:pStyle w:val="Heading-Main"/>
        <w:rPr>
          <w:rStyle w:val="Strong"/>
          <w:b/>
        </w:rPr>
      </w:pPr>
      <w:r>
        <w:t>4</w:t>
      </w:r>
      <w:r w:rsidR="00D76A65" w:rsidRPr="00022B05">
        <w:t xml:space="preserve"> </w:t>
      </w:r>
      <w:r w:rsidR="00216CD7" w:rsidRPr="00022B05">
        <w:rPr>
          <w:rStyle w:val="Strong"/>
          <w:b/>
        </w:rPr>
        <w:t>Composition of basalts from volcanic and nearly amagmatic seafloor</w:t>
      </w:r>
    </w:p>
    <w:p w14:paraId="3F2D7E46" w14:textId="4D0CE11E" w:rsidR="00216CD7" w:rsidRPr="00022B05" w:rsidRDefault="00216CD7" w:rsidP="00216CD7">
      <w:pPr>
        <w:pStyle w:val="ListParagraph"/>
        <w:tabs>
          <w:tab w:val="left" w:pos="426"/>
        </w:tabs>
        <w:spacing w:after="120"/>
        <w:ind w:left="0"/>
        <w:jc w:val="both"/>
        <w:rPr>
          <w:rFonts w:ascii="Times New Roman" w:hAnsi="Times New Roman" w:cs="Times New Roman"/>
          <w:lang w:val="en-US"/>
        </w:rPr>
      </w:pPr>
      <w:r w:rsidRPr="00022B05">
        <w:rPr>
          <w:rFonts w:ascii="Times New Roman" w:hAnsi="Times New Roman" w:cs="Times New Roman"/>
          <w:lang w:val="en-US"/>
        </w:rPr>
        <w:tab/>
        <w:t xml:space="preserve">We consider the whole set of 110 </w:t>
      </w:r>
      <w:r w:rsidR="001F2164">
        <w:rPr>
          <w:rFonts w:ascii="Times New Roman" w:hAnsi="Times New Roman" w:cs="Times New Roman"/>
          <w:lang w:val="en-US"/>
        </w:rPr>
        <w:t xml:space="preserve">available </w:t>
      </w:r>
      <w:r w:rsidRPr="00022B05">
        <w:rPr>
          <w:rFonts w:ascii="Times New Roman" w:hAnsi="Times New Roman" w:cs="Times New Roman"/>
          <w:lang w:val="en-US"/>
        </w:rPr>
        <w:t xml:space="preserve">basaltic glass samples from 20 dredges at locations shown in </w:t>
      </w:r>
      <w:r w:rsidR="00026BB4">
        <w:rPr>
          <w:rFonts w:ascii="Times New Roman" w:hAnsi="Times New Roman" w:cs="Times New Roman"/>
          <w:lang w:val="en-US"/>
        </w:rPr>
        <w:t>F</w:t>
      </w:r>
      <w:r w:rsidR="00026BB4" w:rsidRPr="00022B05">
        <w:rPr>
          <w:rFonts w:ascii="Times New Roman" w:hAnsi="Times New Roman" w:cs="Times New Roman"/>
          <w:lang w:val="en-US"/>
        </w:rPr>
        <w:t xml:space="preserve">igure </w:t>
      </w:r>
      <w:r w:rsidRPr="00022B05">
        <w:rPr>
          <w:rFonts w:ascii="Times New Roman" w:hAnsi="Times New Roman" w:cs="Times New Roman"/>
          <w:lang w:val="en-US"/>
        </w:rPr>
        <w:t xml:space="preserve">1. Most samples are aphyric, with </w:t>
      </w:r>
      <w:r w:rsidR="001A6CAD">
        <w:rPr>
          <w:rFonts w:ascii="Times New Roman" w:hAnsi="Times New Roman" w:cs="Times New Roman"/>
          <w:lang w:val="en-US"/>
        </w:rPr>
        <w:t>variable</w:t>
      </w:r>
      <w:r w:rsidRPr="00022B05">
        <w:rPr>
          <w:rFonts w:ascii="Times New Roman" w:hAnsi="Times New Roman" w:cs="Times New Roman"/>
          <w:lang w:val="en-US"/>
        </w:rPr>
        <w:t xml:space="preserve"> amounts of vesicles. </w:t>
      </w:r>
      <w:r w:rsidR="00F93A29">
        <w:rPr>
          <w:rFonts w:ascii="Times New Roman" w:hAnsi="Times New Roman" w:cs="Times New Roman"/>
          <w:lang w:val="en-US"/>
        </w:rPr>
        <w:t xml:space="preserve">Only </w:t>
      </w:r>
      <w:r w:rsidRPr="00022B05">
        <w:rPr>
          <w:rFonts w:ascii="Times New Roman" w:hAnsi="Times New Roman" w:cs="Times New Roman"/>
          <w:lang w:val="en-US"/>
        </w:rPr>
        <w:t xml:space="preserve">14 of these samples come from six dredges in nearly-amagmatic corridors. The other 96 samples come from 14 dredges in volcanic domains. Of these volcanic seafloor basalt samples, 21 </w:t>
      </w:r>
      <w:r w:rsidR="00F93A29">
        <w:rPr>
          <w:rFonts w:ascii="Times New Roman" w:hAnsi="Times New Roman" w:cs="Times New Roman"/>
          <w:lang w:val="en-US"/>
        </w:rPr>
        <w:t>have</w:t>
      </w:r>
      <w:r w:rsidR="00F93A29" w:rsidRPr="00022B05">
        <w:rPr>
          <w:rFonts w:ascii="Times New Roman" w:hAnsi="Times New Roman" w:cs="Times New Roman"/>
          <w:lang w:val="en-US"/>
        </w:rPr>
        <w:t xml:space="preserve"> </w:t>
      </w:r>
      <w:r w:rsidRPr="00022B05">
        <w:rPr>
          <w:rFonts w:ascii="Times New Roman" w:hAnsi="Times New Roman" w:cs="Times New Roman"/>
          <w:lang w:val="en-US"/>
        </w:rPr>
        <w:t xml:space="preserve">been analyzed as part of the earlier work of </w:t>
      </w:r>
      <w:r w:rsidRPr="00022B05">
        <w:rPr>
          <w:rFonts w:ascii="Times New Roman" w:hAnsi="Times New Roman" w:cs="Times New Roman"/>
          <w:i/>
          <w:lang w:val="en-US"/>
        </w:rPr>
        <w:t>Meyzen et al.</w:t>
      </w:r>
      <w:r w:rsidR="00124DC4" w:rsidRPr="00022B05">
        <w:rPr>
          <w:rFonts w:ascii="Times New Roman" w:hAnsi="Times New Roman" w:cs="Times New Roman"/>
          <w:lang w:val="en-US"/>
        </w:rPr>
        <w:t xml:space="preserve"> [2003, 2005]</w:t>
      </w:r>
      <w:r w:rsidRPr="00022B05">
        <w:rPr>
          <w:rFonts w:ascii="Times New Roman" w:hAnsi="Times New Roman" w:cs="Times New Roman"/>
          <w:lang w:val="en-US"/>
        </w:rPr>
        <w:t xml:space="preserve">. We have acquired major and trace element data for the other </w:t>
      </w:r>
      <w:r w:rsidR="00F93A29">
        <w:rPr>
          <w:rFonts w:ascii="Times New Roman" w:hAnsi="Times New Roman" w:cs="Times New Roman"/>
          <w:lang w:val="en-US"/>
        </w:rPr>
        <w:t xml:space="preserve">EDUL cruise </w:t>
      </w:r>
      <w:r w:rsidRPr="00022B05">
        <w:rPr>
          <w:rFonts w:ascii="Times New Roman" w:hAnsi="Times New Roman" w:cs="Times New Roman"/>
          <w:lang w:val="en-US"/>
        </w:rPr>
        <w:t>samples, as well as for 16 volcanic seafloor and nearly amagmatic seafloor basalt</w:t>
      </w:r>
      <w:r w:rsidR="00613A20">
        <w:rPr>
          <w:rFonts w:ascii="Times New Roman" w:hAnsi="Times New Roman" w:cs="Times New Roman"/>
          <w:lang w:val="en-US"/>
        </w:rPr>
        <w:t xml:space="preserve"> (“ultramafic seafloor basalts</w:t>
      </w:r>
      <w:r w:rsidR="00A11CC4">
        <w:rPr>
          <w:rFonts w:ascii="Times New Roman" w:hAnsi="Times New Roman" w:cs="Times New Roman"/>
          <w:lang w:val="en-US"/>
        </w:rPr>
        <w:t>”</w:t>
      </w:r>
      <w:r w:rsidR="00613A20">
        <w:rPr>
          <w:rFonts w:ascii="Times New Roman" w:hAnsi="Times New Roman" w:cs="Times New Roman"/>
          <w:lang w:val="en-US"/>
        </w:rPr>
        <w:t>)</w:t>
      </w:r>
      <w:r w:rsidRPr="00022B05">
        <w:rPr>
          <w:rFonts w:ascii="Times New Roman" w:hAnsi="Times New Roman" w:cs="Times New Roman"/>
          <w:lang w:val="en-US"/>
        </w:rPr>
        <w:t xml:space="preserve"> samples collected during the Smoothseafloor cruise. We also acquired isotopic data for 27 samples (13 from</w:t>
      </w:r>
      <w:r w:rsidR="00F93A29">
        <w:rPr>
          <w:rFonts w:ascii="Times New Roman" w:hAnsi="Times New Roman" w:cs="Times New Roman"/>
          <w:lang w:val="en-US"/>
        </w:rPr>
        <w:t xml:space="preserve"> the</w:t>
      </w:r>
      <w:r w:rsidRPr="00022B05">
        <w:rPr>
          <w:rFonts w:ascii="Times New Roman" w:hAnsi="Times New Roman" w:cs="Times New Roman"/>
          <w:lang w:val="en-US"/>
        </w:rPr>
        <w:t xml:space="preserve"> EDUL cruise, and 14 from the Smoothseafloor cruise). This new isotopic data complements the data published by </w:t>
      </w:r>
      <w:r w:rsidRPr="00022B05">
        <w:rPr>
          <w:rFonts w:ascii="Times New Roman" w:hAnsi="Times New Roman" w:cs="Times New Roman"/>
          <w:i/>
          <w:lang w:val="en-US"/>
        </w:rPr>
        <w:t>Meyzen et al.</w:t>
      </w:r>
      <w:r w:rsidR="00124DC4" w:rsidRPr="00022B05">
        <w:rPr>
          <w:rFonts w:ascii="Times New Roman" w:hAnsi="Times New Roman" w:cs="Times New Roman"/>
          <w:lang w:val="en-US"/>
        </w:rPr>
        <w:t xml:space="preserve"> [2005]</w:t>
      </w:r>
      <w:r w:rsidRPr="00022B05">
        <w:rPr>
          <w:rFonts w:ascii="Times New Roman" w:hAnsi="Times New Roman" w:cs="Times New Roman"/>
          <w:lang w:val="en-US"/>
        </w:rPr>
        <w:t xml:space="preserve">. Upon publication of this paper, this compiled dataset will be contributed to the Petrological Database </w:t>
      </w:r>
      <w:r w:rsidR="00504409" w:rsidRPr="00022B05">
        <w:rPr>
          <w:rFonts w:ascii="Times New Roman" w:hAnsi="Times New Roman" w:cs="Times New Roman"/>
          <w:lang w:val="en-US"/>
        </w:rPr>
        <w:t>[</w:t>
      </w:r>
      <w:r w:rsidR="00B72615">
        <w:fldChar w:fldCharType="begin"/>
      </w:r>
      <w:r w:rsidR="00B72615" w:rsidRPr="008630DC">
        <w:rPr>
          <w:lang w:val="en-GB"/>
          <w:rPrChange w:id="37" w:author="Daniele" w:date="2016-04-03T18:28:00Z">
            <w:rPr/>
          </w:rPrChange>
        </w:rPr>
        <w:instrText xml:space="preserve"> HYPERLINK "http://www.earthchem.org/petdb" </w:instrText>
      </w:r>
      <w:r w:rsidR="00B72615">
        <w:fldChar w:fldCharType="separate"/>
      </w:r>
      <w:r w:rsidRPr="00022B05">
        <w:rPr>
          <w:rFonts w:ascii="Times New Roman" w:hAnsi="Times New Roman" w:cs="Times New Roman"/>
          <w:lang w:val="en-US"/>
        </w:rPr>
        <w:t>www.earthchem.org/petdb</w:t>
      </w:r>
      <w:r w:rsidR="00B72615">
        <w:rPr>
          <w:rFonts w:ascii="Times New Roman" w:hAnsi="Times New Roman" w:cs="Times New Roman"/>
          <w:lang w:val="en-US"/>
        </w:rPr>
        <w:fldChar w:fldCharType="end"/>
      </w:r>
      <w:r w:rsidR="00504409" w:rsidRPr="00022B05">
        <w:rPr>
          <w:rFonts w:ascii="Times New Roman" w:hAnsi="Times New Roman" w:cs="Times New Roman"/>
          <w:lang w:val="en-US"/>
        </w:rPr>
        <w:t xml:space="preserve">, </w:t>
      </w:r>
      <w:r w:rsidR="00504409" w:rsidRPr="00022B05">
        <w:rPr>
          <w:rFonts w:ascii="Times New Roman" w:hAnsi="Times New Roman" w:cs="Times New Roman"/>
          <w:i/>
          <w:lang w:val="en-US"/>
        </w:rPr>
        <w:t>Lehnert et al.</w:t>
      </w:r>
      <w:r w:rsidR="00504409" w:rsidRPr="00022B05">
        <w:rPr>
          <w:rFonts w:ascii="Times New Roman" w:hAnsi="Times New Roman" w:cs="Times New Roman"/>
          <w:lang w:val="en-US"/>
        </w:rPr>
        <w:t>, 2000]</w:t>
      </w:r>
      <w:r w:rsidRPr="00022B05">
        <w:rPr>
          <w:rFonts w:ascii="Times New Roman" w:hAnsi="Times New Roman" w:cs="Times New Roman"/>
          <w:lang w:val="en-US"/>
        </w:rPr>
        <w:t>. A selection of the most representative basalt compositions is presented in Table 1</w:t>
      </w:r>
      <w:r w:rsidR="009010F1">
        <w:rPr>
          <w:rFonts w:ascii="Times New Roman" w:hAnsi="Times New Roman" w:cs="Times New Roman"/>
          <w:lang w:val="en-US"/>
        </w:rPr>
        <w:t xml:space="preserve"> (see Table S1 for complete dataset</w:t>
      </w:r>
      <w:r w:rsidR="00620E55">
        <w:rPr>
          <w:rFonts w:ascii="Times New Roman" w:hAnsi="Times New Roman" w:cs="Times New Roman"/>
          <w:lang w:val="en-US"/>
        </w:rPr>
        <w:t xml:space="preserve"> in the Supplementary materials</w:t>
      </w:r>
      <w:r w:rsidR="009010F1">
        <w:rPr>
          <w:rFonts w:ascii="Times New Roman" w:hAnsi="Times New Roman" w:cs="Times New Roman"/>
          <w:lang w:val="en-US"/>
        </w:rPr>
        <w:t>)</w:t>
      </w:r>
      <w:r w:rsidRPr="00022B05">
        <w:rPr>
          <w:rFonts w:ascii="Times New Roman" w:hAnsi="Times New Roman" w:cs="Times New Roman"/>
          <w:lang w:val="en-US"/>
        </w:rPr>
        <w:t>.</w:t>
      </w:r>
    </w:p>
    <w:p w14:paraId="3B6BEFEB" w14:textId="3C6DD912" w:rsidR="00B776EA" w:rsidRDefault="00216CD7" w:rsidP="00216CD7">
      <w:pPr>
        <w:pStyle w:val="ListParagraph"/>
        <w:tabs>
          <w:tab w:val="left" w:pos="426"/>
        </w:tabs>
        <w:spacing w:after="120"/>
        <w:ind w:left="0"/>
        <w:jc w:val="both"/>
        <w:rPr>
          <w:rFonts w:ascii="Times New Roman" w:hAnsi="Times New Roman" w:cs="Times New Roman"/>
          <w:lang w:val="en-US"/>
        </w:rPr>
      </w:pPr>
      <w:r w:rsidRPr="00022B05">
        <w:rPr>
          <w:rFonts w:ascii="Times New Roman" w:hAnsi="Times New Roman" w:cs="Times New Roman"/>
          <w:lang w:val="en-US"/>
        </w:rPr>
        <w:tab/>
        <w:t xml:space="preserve">In order to discuss the composition of </w:t>
      </w:r>
      <w:r w:rsidR="00E55178">
        <w:rPr>
          <w:rFonts w:ascii="Times New Roman" w:hAnsi="Times New Roman" w:cs="Times New Roman"/>
          <w:lang w:val="en-US"/>
        </w:rPr>
        <w:t>the</w:t>
      </w:r>
      <w:r w:rsidR="00E55178" w:rsidRPr="00022B05">
        <w:rPr>
          <w:rFonts w:ascii="Times New Roman" w:hAnsi="Times New Roman" w:cs="Times New Roman"/>
          <w:lang w:val="en-US"/>
        </w:rPr>
        <w:t xml:space="preserve"> </w:t>
      </w:r>
      <w:r w:rsidRPr="00022B05">
        <w:rPr>
          <w:rFonts w:ascii="Times New Roman" w:hAnsi="Times New Roman" w:cs="Times New Roman"/>
          <w:lang w:val="en-US"/>
        </w:rPr>
        <w:t xml:space="preserve">eastern SWIR samples relative to global MORB trends, we have also compiled published major and trace element data for basalt glasses from other regions of the SWIR </w:t>
      </w:r>
      <w:r w:rsidR="008B1869" w:rsidRPr="00022B05">
        <w:rPr>
          <w:rFonts w:ascii="Times New Roman" w:hAnsi="Times New Roman" w:cs="Times New Roman"/>
          <w:lang w:val="en-US"/>
        </w:rPr>
        <w:t>[</w:t>
      </w:r>
      <w:r w:rsidRPr="00022B05">
        <w:rPr>
          <w:rFonts w:ascii="Times New Roman" w:hAnsi="Times New Roman" w:cs="Times New Roman"/>
          <w:i/>
          <w:lang w:val="en-US"/>
        </w:rPr>
        <w:t>Meyzen et al.</w:t>
      </w:r>
      <w:r w:rsidRPr="00022B05">
        <w:rPr>
          <w:rFonts w:ascii="Times New Roman" w:hAnsi="Times New Roman" w:cs="Times New Roman"/>
          <w:lang w:val="en-US"/>
        </w:rPr>
        <w:t xml:space="preserve">, 2003; </w:t>
      </w:r>
      <w:r w:rsidRPr="00022B05">
        <w:rPr>
          <w:rFonts w:ascii="Times New Roman" w:hAnsi="Times New Roman" w:cs="Times New Roman"/>
          <w:i/>
          <w:lang w:val="en-US"/>
        </w:rPr>
        <w:t>Standish et al.</w:t>
      </w:r>
      <w:r w:rsidRPr="00022B05">
        <w:rPr>
          <w:rFonts w:ascii="Times New Roman" w:hAnsi="Times New Roman" w:cs="Times New Roman"/>
          <w:lang w:val="en-US"/>
        </w:rPr>
        <w:t>, 2008</w:t>
      </w:r>
      <w:r w:rsidR="008B1869" w:rsidRPr="00022B05">
        <w:rPr>
          <w:rFonts w:ascii="Times New Roman" w:hAnsi="Times New Roman" w:cs="Times New Roman"/>
          <w:lang w:val="en-US"/>
        </w:rPr>
        <w:t>]</w:t>
      </w:r>
      <w:r w:rsidRPr="00022B05">
        <w:rPr>
          <w:rFonts w:ascii="Times New Roman" w:hAnsi="Times New Roman" w:cs="Times New Roman"/>
          <w:lang w:val="en-US"/>
        </w:rPr>
        <w:t>, f</w:t>
      </w:r>
      <w:r w:rsidR="008B1869" w:rsidRPr="00022B05">
        <w:rPr>
          <w:rFonts w:ascii="Times New Roman" w:hAnsi="Times New Roman" w:cs="Times New Roman"/>
          <w:lang w:val="en-US"/>
        </w:rPr>
        <w:t>rom the ultraslow Gakkel Ridge [</w:t>
      </w:r>
      <w:r w:rsidRPr="00022B05">
        <w:rPr>
          <w:rFonts w:ascii="Times New Roman" w:hAnsi="Times New Roman" w:cs="Times New Roman"/>
          <w:i/>
          <w:lang w:val="en-US"/>
        </w:rPr>
        <w:t>Gale et al.</w:t>
      </w:r>
      <w:r w:rsidR="008B1869" w:rsidRPr="00022B05">
        <w:rPr>
          <w:rFonts w:ascii="Times New Roman" w:hAnsi="Times New Roman" w:cs="Times New Roman"/>
          <w:lang w:val="en-US"/>
        </w:rPr>
        <w:t>, 2014]</w:t>
      </w:r>
      <w:r w:rsidRPr="00022B05">
        <w:rPr>
          <w:rFonts w:ascii="Times New Roman" w:hAnsi="Times New Roman" w:cs="Times New Roman"/>
          <w:lang w:val="en-US"/>
        </w:rPr>
        <w:t xml:space="preserve">, from Cayman Trough, from the Mid-Atlantic Ridge </w:t>
      </w:r>
      <w:r w:rsidR="008B1869" w:rsidRPr="00022B05">
        <w:rPr>
          <w:rFonts w:ascii="Times New Roman" w:hAnsi="Times New Roman" w:cs="Times New Roman"/>
          <w:lang w:val="en-US"/>
        </w:rPr>
        <w:t xml:space="preserve">and from </w:t>
      </w:r>
      <w:r w:rsidR="008B1869" w:rsidRPr="00022B05">
        <w:rPr>
          <w:rFonts w:ascii="Times New Roman" w:hAnsi="Times New Roman" w:cs="Times New Roman"/>
          <w:lang w:val="en-US"/>
        </w:rPr>
        <w:lastRenderedPageBreak/>
        <w:t>the East Pacific Rise [</w:t>
      </w:r>
      <w:r w:rsidRPr="00022B05">
        <w:rPr>
          <w:rFonts w:ascii="Times New Roman" w:hAnsi="Times New Roman" w:cs="Times New Roman"/>
          <w:lang w:val="en-US"/>
        </w:rPr>
        <w:t>Petrological</w:t>
      </w:r>
      <w:r w:rsidR="008B1869" w:rsidRPr="00022B05">
        <w:rPr>
          <w:rFonts w:ascii="Times New Roman" w:hAnsi="Times New Roman" w:cs="Times New Roman"/>
          <w:lang w:val="en-US"/>
        </w:rPr>
        <w:t xml:space="preserve"> Database, </w:t>
      </w:r>
      <w:r w:rsidR="008B1869" w:rsidRPr="00022B05">
        <w:rPr>
          <w:rFonts w:ascii="Times New Roman" w:hAnsi="Times New Roman" w:cs="Times New Roman"/>
          <w:i/>
          <w:lang w:val="en-US"/>
        </w:rPr>
        <w:t>Lehnert et al.</w:t>
      </w:r>
      <w:r w:rsidR="008B1869" w:rsidRPr="00022B05">
        <w:rPr>
          <w:rFonts w:ascii="Times New Roman" w:hAnsi="Times New Roman" w:cs="Times New Roman"/>
          <w:lang w:val="en-US"/>
        </w:rPr>
        <w:t>, 2000]</w:t>
      </w:r>
      <w:r w:rsidRPr="00022B05">
        <w:rPr>
          <w:rFonts w:ascii="Times New Roman" w:hAnsi="Times New Roman" w:cs="Times New Roman"/>
          <w:lang w:val="en-US"/>
        </w:rPr>
        <w:t xml:space="preserve">. </w:t>
      </w:r>
      <w:r w:rsidR="00F93A29">
        <w:rPr>
          <w:rFonts w:ascii="Times New Roman" w:hAnsi="Times New Roman" w:cs="Times New Roman"/>
          <w:lang w:val="en-US"/>
        </w:rPr>
        <w:t>Further d</w:t>
      </w:r>
      <w:r w:rsidRPr="00022B05">
        <w:rPr>
          <w:rFonts w:ascii="Times New Roman" w:hAnsi="Times New Roman" w:cs="Times New Roman"/>
          <w:lang w:val="en-US"/>
        </w:rPr>
        <w:t xml:space="preserve">etails on </w:t>
      </w:r>
      <w:r w:rsidR="00E55178">
        <w:rPr>
          <w:rFonts w:ascii="Times New Roman" w:hAnsi="Times New Roman" w:cs="Times New Roman"/>
          <w:lang w:val="en-US"/>
        </w:rPr>
        <w:t>the</w:t>
      </w:r>
      <w:r w:rsidR="00E55178" w:rsidRPr="00022B05">
        <w:rPr>
          <w:rFonts w:ascii="Times New Roman" w:hAnsi="Times New Roman" w:cs="Times New Roman"/>
          <w:lang w:val="en-US"/>
        </w:rPr>
        <w:t xml:space="preserve"> </w:t>
      </w:r>
      <w:r w:rsidRPr="00022B05">
        <w:rPr>
          <w:rFonts w:ascii="Times New Roman" w:hAnsi="Times New Roman" w:cs="Times New Roman"/>
          <w:lang w:val="en-US"/>
        </w:rPr>
        <w:t>selection of these samples and complete references may be found in the Supplementary material</w:t>
      </w:r>
      <w:r w:rsidR="000B00BA">
        <w:rPr>
          <w:rFonts w:ascii="Times New Roman" w:hAnsi="Times New Roman" w:cs="Times New Roman"/>
          <w:lang w:val="en-US"/>
        </w:rPr>
        <w:t xml:space="preserve"> (Text S</w:t>
      </w:r>
      <w:r w:rsidR="00620E55">
        <w:rPr>
          <w:rFonts w:ascii="Times New Roman" w:hAnsi="Times New Roman" w:cs="Times New Roman"/>
          <w:lang w:val="en-US"/>
        </w:rPr>
        <w:t>2</w:t>
      </w:r>
      <w:r w:rsidR="000B00BA">
        <w:rPr>
          <w:rFonts w:ascii="Times New Roman" w:hAnsi="Times New Roman" w:cs="Times New Roman"/>
          <w:lang w:val="en-US"/>
        </w:rPr>
        <w:t>)</w:t>
      </w:r>
      <w:r w:rsidRPr="00022B05">
        <w:rPr>
          <w:rFonts w:ascii="Times New Roman" w:hAnsi="Times New Roman" w:cs="Times New Roman"/>
          <w:lang w:val="en-US"/>
        </w:rPr>
        <w:t>.</w:t>
      </w:r>
    </w:p>
    <w:p w14:paraId="31EBA7FD" w14:textId="77777777" w:rsidR="00B776EA" w:rsidRDefault="00B776EA" w:rsidP="00216CD7">
      <w:pPr>
        <w:pStyle w:val="ListParagraph"/>
        <w:tabs>
          <w:tab w:val="left" w:pos="426"/>
        </w:tabs>
        <w:spacing w:after="120"/>
        <w:ind w:left="0"/>
        <w:jc w:val="both"/>
        <w:rPr>
          <w:rFonts w:ascii="Times New Roman" w:hAnsi="Times New Roman" w:cs="Times New Roman"/>
          <w:lang w:val="en-US"/>
        </w:rPr>
      </w:pPr>
    </w:p>
    <w:p w14:paraId="410DCEF3" w14:textId="77777777" w:rsidR="002F1034" w:rsidRPr="00022B05" w:rsidRDefault="002F1034" w:rsidP="002F1034">
      <w:pPr>
        <w:pStyle w:val="Heading-Secondary"/>
      </w:pPr>
      <w:r>
        <w:t>4</w:t>
      </w:r>
      <w:r w:rsidRPr="00022B05">
        <w:t>.1 Major elements</w:t>
      </w:r>
    </w:p>
    <w:p w14:paraId="49C9085C" w14:textId="77777777" w:rsidR="002F1034" w:rsidRPr="00022B05" w:rsidRDefault="002F1034" w:rsidP="002F1034">
      <w:pPr>
        <w:widowControl w:val="0"/>
        <w:autoSpaceDE w:val="0"/>
        <w:autoSpaceDN w:val="0"/>
        <w:adjustRightInd w:val="0"/>
        <w:spacing w:after="120"/>
        <w:jc w:val="both"/>
        <w:rPr>
          <w:sz w:val="24"/>
        </w:rPr>
      </w:pPr>
      <w:r w:rsidRPr="00022B05">
        <w:rPr>
          <w:sz w:val="24"/>
        </w:rPr>
        <w:tab/>
        <w:t xml:space="preserve">Compared to the global MORB trend, volcanic and </w:t>
      </w:r>
      <w:r>
        <w:rPr>
          <w:sz w:val="24"/>
        </w:rPr>
        <w:t>ultramafic</w:t>
      </w:r>
      <w:r w:rsidRPr="00022B05">
        <w:rPr>
          <w:sz w:val="24"/>
        </w:rPr>
        <w:t xml:space="preserve"> seafloor basalts from the 61°-67°E region plot in the highest Na</w:t>
      </w:r>
      <w:r w:rsidRPr="00022B05">
        <w:rPr>
          <w:sz w:val="24"/>
          <w:vertAlign w:val="subscript"/>
        </w:rPr>
        <w:t>2</w:t>
      </w:r>
      <w:r w:rsidRPr="00022B05">
        <w:rPr>
          <w:sz w:val="24"/>
        </w:rPr>
        <w:t>O and Al</w:t>
      </w:r>
      <w:r w:rsidRPr="00022B05">
        <w:rPr>
          <w:sz w:val="24"/>
          <w:vertAlign w:val="subscript"/>
        </w:rPr>
        <w:t>2</w:t>
      </w:r>
      <w:r w:rsidRPr="00022B05">
        <w:rPr>
          <w:sz w:val="24"/>
        </w:rPr>
        <w:t>O</w:t>
      </w:r>
      <w:r w:rsidRPr="00022B05">
        <w:rPr>
          <w:sz w:val="24"/>
          <w:vertAlign w:val="subscript"/>
        </w:rPr>
        <w:t>3</w:t>
      </w:r>
      <w:r w:rsidRPr="00022B05">
        <w:rPr>
          <w:sz w:val="24"/>
        </w:rPr>
        <w:t xml:space="preserve">, and lowest CaO and FeO ranges (Figure 3). Basalts from most dredges also have maximum MgO contents (up to 8.6%) that are significantly lower than basalts from </w:t>
      </w:r>
      <w:r>
        <w:rPr>
          <w:sz w:val="24"/>
        </w:rPr>
        <w:t>the</w:t>
      </w:r>
      <w:r w:rsidRPr="00022B05">
        <w:rPr>
          <w:sz w:val="24"/>
        </w:rPr>
        <w:t xml:space="preserve"> compilation for the MAR and EPR and for other regions of the SWIR (with the exception of the so-called low K/Ti basalts from the 9°E and 16°E SWIR region [</w:t>
      </w:r>
      <w:r w:rsidRPr="00022B05">
        <w:rPr>
          <w:i/>
          <w:sz w:val="24"/>
        </w:rPr>
        <w:t>Standish et al.</w:t>
      </w:r>
      <w:r w:rsidRPr="00022B05">
        <w:rPr>
          <w:sz w:val="24"/>
        </w:rPr>
        <w:t xml:space="preserve">, 2008]). </w:t>
      </w:r>
      <w:r>
        <w:rPr>
          <w:sz w:val="24"/>
        </w:rPr>
        <w:t>However, b</w:t>
      </w:r>
      <w:r w:rsidRPr="00022B05">
        <w:rPr>
          <w:sz w:val="24"/>
        </w:rPr>
        <w:t>asalts dredged at three locations in volcanic seafloor domains (ED20, ED22, and ED26; Figure 1</w:t>
      </w:r>
      <w:r>
        <w:rPr>
          <w:sz w:val="24"/>
        </w:rPr>
        <w:t>)</w:t>
      </w:r>
      <w:r w:rsidRPr="00022B05">
        <w:rPr>
          <w:sz w:val="24"/>
        </w:rPr>
        <w:t xml:space="preserve"> have higher maximum MgO contents (up to 9.5 wt%; Figure 3). Several samples from these three dredges also have lower CaO and higher FeO at a given MgO content than the other 61°-67°E SWIR basalts. </w:t>
      </w:r>
    </w:p>
    <w:p w14:paraId="1CCF6632" w14:textId="549C3AA3" w:rsidR="008F1DBE" w:rsidRDefault="008F1DBE">
      <w:pPr>
        <w:rPr>
          <w:ins w:id="38" w:author="paquet Paquet" w:date="2016-03-26T22:40:00Z"/>
        </w:rPr>
        <w:sectPr w:rsidR="008F1DBE" w:rsidSect="00C74084">
          <w:headerReference w:type="default" r:id="rId11"/>
          <w:footerReference w:type="default" r:id="rId12"/>
          <w:headerReference w:type="first" r:id="rId13"/>
          <w:pgSz w:w="12240" w:h="15840"/>
          <w:pgMar w:top="1440" w:right="1440" w:bottom="1440" w:left="1440" w:header="432" w:footer="720" w:gutter="0"/>
          <w:cols w:space="720"/>
          <w:docGrid w:linePitch="360"/>
        </w:sectPr>
      </w:pPr>
    </w:p>
    <w:p w14:paraId="3E6D203F" w14:textId="587B49AE" w:rsidR="00967214" w:rsidRDefault="00B776EA" w:rsidP="00967214">
      <w:pPr>
        <w:pStyle w:val="FigureorTableCaption"/>
      </w:pPr>
      <w:proofErr w:type="gramStart"/>
      <w:r w:rsidRPr="00022B05">
        <w:rPr>
          <w:b/>
        </w:rPr>
        <w:lastRenderedPageBreak/>
        <w:t>Table 1.</w:t>
      </w:r>
      <w:proofErr w:type="gramEnd"/>
      <w:r w:rsidRPr="00022B05">
        <w:t xml:space="preserve"> </w:t>
      </w:r>
      <w:r w:rsidRPr="00FB1336">
        <w:rPr>
          <w:color w:val="000000"/>
        </w:rPr>
        <w:t xml:space="preserve">Major </w:t>
      </w:r>
      <w:r>
        <w:rPr>
          <w:color w:val="000000"/>
        </w:rPr>
        <w:t xml:space="preserve">element compositions </w:t>
      </w:r>
      <w:r w:rsidRPr="00FB1336">
        <w:rPr>
          <w:color w:val="000000"/>
        </w:rPr>
        <w:t>(</w:t>
      </w:r>
      <w:proofErr w:type="gramStart"/>
      <w:r w:rsidRPr="00FB1336">
        <w:rPr>
          <w:color w:val="000000"/>
        </w:rPr>
        <w:t>wt%</w:t>
      </w:r>
      <w:proofErr w:type="gramEnd"/>
      <w:r w:rsidRPr="00FB1336">
        <w:rPr>
          <w:color w:val="000000"/>
        </w:rPr>
        <w:t>) of representative ultramafic and volcanic seafloor basalts</w:t>
      </w:r>
      <w:r>
        <w:rPr>
          <w:color w:val="000000"/>
        </w:rPr>
        <w:t>.</w:t>
      </w:r>
      <w:r w:rsidR="00BE5E70">
        <w:rPr>
          <w:color w:val="000000"/>
        </w:rPr>
        <w:t xml:space="preserve"> Error bars: ±1</w:t>
      </w:r>
      <w:r w:rsidR="002F4B63">
        <w:rPr>
          <w:color w:val="000000"/>
        </w:rPr>
        <w:t xml:space="preserve"> </w:t>
      </w:r>
      <w:proofErr w:type="gramStart"/>
      <w:r w:rsidR="00BE5E70">
        <w:rPr>
          <w:color w:val="000000"/>
        </w:rPr>
        <w:t>std</w:t>
      </w:r>
      <w:proofErr w:type="gramEnd"/>
      <w:r w:rsidR="00BE5E70">
        <w:rPr>
          <w:color w:val="000000"/>
        </w:rPr>
        <w:t>.</w:t>
      </w:r>
      <w:r w:rsidR="00967214" w:rsidRPr="00022B05">
        <w:t xml:space="preserve"> </w:t>
      </w:r>
    </w:p>
    <w:p w14:paraId="61378A8B" w14:textId="77777777" w:rsidR="00967214" w:rsidRPr="00967214" w:rsidRDefault="00967214" w:rsidP="00967214">
      <w:pPr>
        <w:pStyle w:val="FigureorTableCaption"/>
        <w:rPr>
          <w:color w:val="000000"/>
        </w:rPr>
      </w:pPr>
    </w:p>
    <w:tbl>
      <w:tblPr>
        <w:tblW w:w="5000" w:type="pct"/>
        <w:tblCellMar>
          <w:left w:w="70" w:type="dxa"/>
          <w:right w:w="70" w:type="dxa"/>
        </w:tblCellMar>
        <w:tblLook w:val="04A0" w:firstRow="1" w:lastRow="0" w:firstColumn="1" w:lastColumn="0" w:noHBand="0" w:noVBand="1"/>
      </w:tblPr>
      <w:tblGrid>
        <w:gridCol w:w="858"/>
        <w:gridCol w:w="535"/>
        <w:gridCol w:w="357"/>
        <w:gridCol w:w="585"/>
        <w:gridCol w:w="357"/>
        <w:gridCol w:w="535"/>
        <w:gridCol w:w="357"/>
        <w:gridCol w:w="535"/>
        <w:gridCol w:w="357"/>
        <w:gridCol w:w="618"/>
        <w:gridCol w:w="236"/>
        <w:gridCol w:w="605"/>
        <w:gridCol w:w="356"/>
        <w:gridCol w:w="605"/>
        <w:gridCol w:w="356"/>
        <w:gridCol w:w="660"/>
        <w:gridCol w:w="383"/>
        <w:gridCol w:w="605"/>
        <w:gridCol w:w="356"/>
        <w:gridCol w:w="605"/>
        <w:gridCol w:w="356"/>
        <w:gridCol w:w="605"/>
        <w:gridCol w:w="356"/>
        <w:gridCol w:w="605"/>
        <w:gridCol w:w="356"/>
        <w:gridCol w:w="605"/>
        <w:gridCol w:w="356"/>
      </w:tblGrid>
      <w:tr w:rsidR="00967214" w:rsidRPr="00967214" w14:paraId="54A70097" w14:textId="77777777" w:rsidTr="00967214">
        <w:trPr>
          <w:trHeight w:val="300"/>
        </w:trPr>
        <w:tc>
          <w:tcPr>
            <w:tcW w:w="327" w:type="pct"/>
            <w:tcBorders>
              <w:top w:val="single" w:sz="4" w:space="0" w:color="auto"/>
              <w:left w:val="nil"/>
              <w:bottom w:val="nil"/>
              <w:right w:val="nil"/>
            </w:tcBorders>
            <w:shd w:val="clear" w:color="auto" w:fill="auto"/>
            <w:vAlign w:val="center"/>
            <w:hideMark/>
          </w:tcPr>
          <w:p w14:paraId="714F942C"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Sample</w:t>
            </w:r>
          </w:p>
        </w:tc>
        <w:tc>
          <w:tcPr>
            <w:tcW w:w="340" w:type="pct"/>
            <w:gridSpan w:val="2"/>
            <w:tcBorders>
              <w:top w:val="single" w:sz="4" w:space="0" w:color="auto"/>
              <w:left w:val="nil"/>
              <w:bottom w:val="nil"/>
              <w:right w:val="nil"/>
            </w:tcBorders>
            <w:shd w:val="clear" w:color="auto" w:fill="auto"/>
            <w:noWrap/>
            <w:vAlign w:val="center"/>
            <w:hideMark/>
          </w:tcPr>
          <w:p w14:paraId="14F457D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ED8-1-2</w:t>
            </w:r>
          </w:p>
        </w:tc>
        <w:tc>
          <w:tcPr>
            <w:tcW w:w="359" w:type="pct"/>
            <w:gridSpan w:val="2"/>
            <w:tcBorders>
              <w:top w:val="single" w:sz="4" w:space="0" w:color="auto"/>
              <w:left w:val="nil"/>
              <w:bottom w:val="nil"/>
              <w:right w:val="nil"/>
            </w:tcBorders>
            <w:shd w:val="clear" w:color="auto" w:fill="auto"/>
            <w:noWrap/>
            <w:vAlign w:val="center"/>
            <w:hideMark/>
          </w:tcPr>
          <w:p w14:paraId="7CDAB6A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ED10-3-16</w:t>
            </w:r>
          </w:p>
        </w:tc>
        <w:tc>
          <w:tcPr>
            <w:tcW w:w="340" w:type="pct"/>
            <w:gridSpan w:val="2"/>
            <w:tcBorders>
              <w:top w:val="single" w:sz="4" w:space="0" w:color="auto"/>
              <w:left w:val="nil"/>
              <w:bottom w:val="nil"/>
              <w:right w:val="nil"/>
            </w:tcBorders>
            <w:shd w:val="clear" w:color="auto" w:fill="auto"/>
            <w:noWrap/>
            <w:vAlign w:val="center"/>
            <w:hideMark/>
          </w:tcPr>
          <w:p w14:paraId="6D9F40C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ED12-2-2</w:t>
            </w:r>
          </w:p>
        </w:tc>
        <w:tc>
          <w:tcPr>
            <w:tcW w:w="340" w:type="pct"/>
            <w:gridSpan w:val="2"/>
            <w:tcBorders>
              <w:top w:val="single" w:sz="4" w:space="0" w:color="auto"/>
              <w:left w:val="nil"/>
              <w:bottom w:val="nil"/>
              <w:right w:val="nil"/>
            </w:tcBorders>
            <w:shd w:val="clear" w:color="auto" w:fill="auto"/>
            <w:noWrap/>
            <w:vAlign w:val="center"/>
            <w:hideMark/>
          </w:tcPr>
          <w:p w14:paraId="1184C6A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ED22-2-1</w:t>
            </w:r>
          </w:p>
        </w:tc>
        <w:tc>
          <w:tcPr>
            <w:tcW w:w="326" w:type="pct"/>
            <w:gridSpan w:val="2"/>
            <w:tcBorders>
              <w:top w:val="single" w:sz="4" w:space="0" w:color="auto"/>
              <w:left w:val="nil"/>
              <w:bottom w:val="nil"/>
              <w:right w:val="nil"/>
            </w:tcBorders>
            <w:shd w:val="clear" w:color="auto" w:fill="auto"/>
            <w:noWrap/>
            <w:vAlign w:val="center"/>
            <w:hideMark/>
          </w:tcPr>
          <w:p w14:paraId="2DC666C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ED26-1-2</w:t>
            </w:r>
          </w:p>
        </w:tc>
        <w:tc>
          <w:tcPr>
            <w:tcW w:w="367" w:type="pct"/>
            <w:gridSpan w:val="2"/>
            <w:tcBorders>
              <w:top w:val="single" w:sz="4" w:space="0" w:color="auto"/>
              <w:left w:val="nil"/>
              <w:bottom w:val="nil"/>
              <w:right w:val="nil"/>
            </w:tcBorders>
            <w:shd w:val="clear" w:color="auto" w:fill="auto"/>
            <w:noWrap/>
            <w:vAlign w:val="center"/>
            <w:hideMark/>
          </w:tcPr>
          <w:p w14:paraId="2F611C1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SMS19-4-4</w:t>
            </w:r>
          </w:p>
        </w:tc>
        <w:tc>
          <w:tcPr>
            <w:tcW w:w="367" w:type="pct"/>
            <w:gridSpan w:val="2"/>
            <w:tcBorders>
              <w:top w:val="single" w:sz="4" w:space="0" w:color="auto"/>
              <w:left w:val="nil"/>
              <w:bottom w:val="nil"/>
              <w:right w:val="nil"/>
            </w:tcBorders>
            <w:shd w:val="clear" w:color="auto" w:fill="auto"/>
            <w:noWrap/>
            <w:vAlign w:val="center"/>
            <w:hideMark/>
          </w:tcPr>
          <w:p w14:paraId="3B802CC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SMS16-3-5</w:t>
            </w:r>
          </w:p>
        </w:tc>
        <w:tc>
          <w:tcPr>
            <w:tcW w:w="398" w:type="pct"/>
            <w:gridSpan w:val="2"/>
            <w:tcBorders>
              <w:top w:val="single" w:sz="4" w:space="0" w:color="auto"/>
              <w:left w:val="nil"/>
              <w:bottom w:val="nil"/>
              <w:right w:val="nil"/>
            </w:tcBorders>
            <w:shd w:val="clear" w:color="auto" w:fill="auto"/>
            <w:noWrap/>
            <w:vAlign w:val="center"/>
            <w:hideMark/>
          </w:tcPr>
          <w:p w14:paraId="3F42702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SMS16-3-14</w:t>
            </w:r>
          </w:p>
        </w:tc>
        <w:tc>
          <w:tcPr>
            <w:tcW w:w="367" w:type="pct"/>
            <w:gridSpan w:val="2"/>
            <w:tcBorders>
              <w:top w:val="single" w:sz="4" w:space="0" w:color="auto"/>
              <w:left w:val="nil"/>
              <w:bottom w:val="nil"/>
              <w:right w:val="nil"/>
            </w:tcBorders>
            <w:shd w:val="clear" w:color="auto" w:fill="auto"/>
            <w:noWrap/>
            <w:vAlign w:val="center"/>
            <w:hideMark/>
          </w:tcPr>
          <w:p w14:paraId="72D5B2A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SMS23-2-2</w:t>
            </w:r>
          </w:p>
        </w:tc>
        <w:tc>
          <w:tcPr>
            <w:tcW w:w="367" w:type="pct"/>
            <w:gridSpan w:val="2"/>
            <w:tcBorders>
              <w:top w:val="single" w:sz="4" w:space="0" w:color="auto"/>
              <w:left w:val="nil"/>
              <w:bottom w:val="nil"/>
              <w:right w:val="nil"/>
            </w:tcBorders>
            <w:shd w:val="clear" w:color="auto" w:fill="auto"/>
            <w:noWrap/>
            <w:vAlign w:val="center"/>
            <w:hideMark/>
          </w:tcPr>
          <w:p w14:paraId="0B32AD3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SMS24-2-3</w:t>
            </w:r>
          </w:p>
        </w:tc>
        <w:tc>
          <w:tcPr>
            <w:tcW w:w="367" w:type="pct"/>
            <w:gridSpan w:val="2"/>
            <w:tcBorders>
              <w:top w:val="single" w:sz="4" w:space="0" w:color="auto"/>
              <w:left w:val="nil"/>
              <w:bottom w:val="nil"/>
              <w:right w:val="nil"/>
            </w:tcBorders>
            <w:shd w:val="clear" w:color="auto" w:fill="auto"/>
            <w:noWrap/>
            <w:vAlign w:val="center"/>
            <w:hideMark/>
          </w:tcPr>
          <w:p w14:paraId="322D0CF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SMS26-3-1</w:t>
            </w:r>
          </w:p>
        </w:tc>
        <w:tc>
          <w:tcPr>
            <w:tcW w:w="367" w:type="pct"/>
            <w:gridSpan w:val="2"/>
            <w:tcBorders>
              <w:top w:val="single" w:sz="4" w:space="0" w:color="auto"/>
              <w:left w:val="nil"/>
              <w:bottom w:val="nil"/>
              <w:right w:val="nil"/>
            </w:tcBorders>
            <w:shd w:val="clear" w:color="auto" w:fill="auto"/>
            <w:noWrap/>
            <w:vAlign w:val="center"/>
            <w:hideMark/>
          </w:tcPr>
          <w:p w14:paraId="05568F9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SMS28-3-3</w:t>
            </w:r>
          </w:p>
        </w:tc>
        <w:tc>
          <w:tcPr>
            <w:tcW w:w="367" w:type="pct"/>
            <w:gridSpan w:val="2"/>
            <w:tcBorders>
              <w:top w:val="single" w:sz="4" w:space="0" w:color="auto"/>
              <w:left w:val="nil"/>
              <w:bottom w:val="nil"/>
              <w:right w:val="nil"/>
            </w:tcBorders>
            <w:shd w:val="clear" w:color="auto" w:fill="auto"/>
            <w:noWrap/>
            <w:vAlign w:val="center"/>
            <w:hideMark/>
          </w:tcPr>
          <w:p w14:paraId="64CE2D2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SMS31-2-4</w:t>
            </w:r>
          </w:p>
        </w:tc>
      </w:tr>
      <w:tr w:rsidR="00967214" w:rsidRPr="00967214" w14:paraId="2613A27D" w14:textId="77777777" w:rsidTr="00967214">
        <w:trPr>
          <w:trHeight w:val="300"/>
        </w:trPr>
        <w:tc>
          <w:tcPr>
            <w:tcW w:w="327" w:type="pct"/>
            <w:tcBorders>
              <w:top w:val="nil"/>
              <w:left w:val="nil"/>
              <w:bottom w:val="nil"/>
              <w:right w:val="nil"/>
            </w:tcBorders>
            <w:shd w:val="clear" w:color="auto" w:fill="auto"/>
            <w:noWrap/>
            <w:vAlign w:val="center"/>
            <w:hideMark/>
          </w:tcPr>
          <w:p w14:paraId="25CE8F60"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Lat. (°)</w:t>
            </w:r>
          </w:p>
        </w:tc>
        <w:tc>
          <w:tcPr>
            <w:tcW w:w="340" w:type="pct"/>
            <w:gridSpan w:val="2"/>
            <w:tcBorders>
              <w:top w:val="nil"/>
              <w:left w:val="nil"/>
              <w:bottom w:val="nil"/>
              <w:right w:val="nil"/>
            </w:tcBorders>
            <w:shd w:val="clear" w:color="auto" w:fill="auto"/>
            <w:noWrap/>
            <w:vAlign w:val="bottom"/>
            <w:hideMark/>
          </w:tcPr>
          <w:p w14:paraId="005F2CA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-27.35</w:t>
            </w:r>
          </w:p>
        </w:tc>
        <w:tc>
          <w:tcPr>
            <w:tcW w:w="359" w:type="pct"/>
            <w:gridSpan w:val="2"/>
            <w:tcBorders>
              <w:top w:val="nil"/>
              <w:left w:val="nil"/>
              <w:bottom w:val="nil"/>
              <w:right w:val="nil"/>
            </w:tcBorders>
            <w:shd w:val="clear" w:color="auto" w:fill="auto"/>
            <w:noWrap/>
            <w:vAlign w:val="bottom"/>
            <w:hideMark/>
          </w:tcPr>
          <w:p w14:paraId="5E40767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-27.57</w:t>
            </w:r>
          </w:p>
        </w:tc>
        <w:tc>
          <w:tcPr>
            <w:tcW w:w="340" w:type="pct"/>
            <w:gridSpan w:val="2"/>
            <w:tcBorders>
              <w:top w:val="nil"/>
              <w:left w:val="nil"/>
              <w:bottom w:val="nil"/>
              <w:right w:val="nil"/>
            </w:tcBorders>
            <w:shd w:val="clear" w:color="auto" w:fill="auto"/>
            <w:noWrap/>
            <w:vAlign w:val="bottom"/>
            <w:hideMark/>
          </w:tcPr>
          <w:p w14:paraId="6A0D290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-27.74</w:t>
            </w:r>
          </w:p>
        </w:tc>
        <w:tc>
          <w:tcPr>
            <w:tcW w:w="340" w:type="pct"/>
            <w:gridSpan w:val="2"/>
            <w:tcBorders>
              <w:top w:val="nil"/>
              <w:left w:val="nil"/>
              <w:bottom w:val="nil"/>
              <w:right w:val="nil"/>
            </w:tcBorders>
            <w:shd w:val="clear" w:color="auto" w:fill="auto"/>
            <w:noWrap/>
            <w:vAlign w:val="bottom"/>
            <w:hideMark/>
          </w:tcPr>
          <w:p w14:paraId="15EC584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-28.11</w:t>
            </w:r>
          </w:p>
        </w:tc>
        <w:tc>
          <w:tcPr>
            <w:tcW w:w="326" w:type="pct"/>
            <w:gridSpan w:val="2"/>
            <w:tcBorders>
              <w:top w:val="nil"/>
              <w:left w:val="nil"/>
              <w:bottom w:val="nil"/>
              <w:right w:val="nil"/>
            </w:tcBorders>
            <w:shd w:val="clear" w:color="auto" w:fill="auto"/>
            <w:noWrap/>
            <w:vAlign w:val="bottom"/>
            <w:hideMark/>
          </w:tcPr>
          <w:p w14:paraId="27024D2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-28.80</w:t>
            </w:r>
          </w:p>
        </w:tc>
        <w:tc>
          <w:tcPr>
            <w:tcW w:w="367" w:type="pct"/>
            <w:gridSpan w:val="2"/>
            <w:tcBorders>
              <w:top w:val="nil"/>
              <w:left w:val="nil"/>
              <w:bottom w:val="nil"/>
              <w:right w:val="nil"/>
            </w:tcBorders>
            <w:shd w:val="clear" w:color="auto" w:fill="auto"/>
            <w:noWrap/>
            <w:vAlign w:val="bottom"/>
            <w:hideMark/>
          </w:tcPr>
          <w:p w14:paraId="1E56394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-27.51</w:t>
            </w:r>
          </w:p>
        </w:tc>
        <w:tc>
          <w:tcPr>
            <w:tcW w:w="367" w:type="pct"/>
            <w:gridSpan w:val="2"/>
            <w:tcBorders>
              <w:top w:val="nil"/>
              <w:left w:val="nil"/>
              <w:bottom w:val="nil"/>
              <w:right w:val="nil"/>
            </w:tcBorders>
            <w:shd w:val="clear" w:color="auto" w:fill="auto"/>
            <w:noWrap/>
            <w:vAlign w:val="bottom"/>
            <w:hideMark/>
          </w:tcPr>
          <w:p w14:paraId="6CDFC1B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-28.54</w:t>
            </w:r>
          </w:p>
        </w:tc>
        <w:tc>
          <w:tcPr>
            <w:tcW w:w="398" w:type="pct"/>
            <w:gridSpan w:val="2"/>
            <w:tcBorders>
              <w:top w:val="nil"/>
              <w:left w:val="nil"/>
              <w:bottom w:val="nil"/>
              <w:right w:val="nil"/>
            </w:tcBorders>
            <w:shd w:val="clear" w:color="auto" w:fill="auto"/>
            <w:noWrap/>
            <w:vAlign w:val="bottom"/>
            <w:hideMark/>
          </w:tcPr>
          <w:p w14:paraId="5F17656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-28.54</w:t>
            </w:r>
          </w:p>
        </w:tc>
        <w:tc>
          <w:tcPr>
            <w:tcW w:w="367" w:type="pct"/>
            <w:gridSpan w:val="2"/>
            <w:tcBorders>
              <w:top w:val="nil"/>
              <w:left w:val="nil"/>
              <w:bottom w:val="nil"/>
              <w:right w:val="nil"/>
            </w:tcBorders>
            <w:shd w:val="clear" w:color="auto" w:fill="auto"/>
            <w:noWrap/>
            <w:vAlign w:val="bottom"/>
            <w:hideMark/>
          </w:tcPr>
          <w:p w14:paraId="1F9A8EE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-28.23</w:t>
            </w:r>
          </w:p>
        </w:tc>
        <w:tc>
          <w:tcPr>
            <w:tcW w:w="367" w:type="pct"/>
            <w:gridSpan w:val="2"/>
            <w:tcBorders>
              <w:top w:val="nil"/>
              <w:left w:val="nil"/>
              <w:bottom w:val="nil"/>
              <w:right w:val="nil"/>
            </w:tcBorders>
            <w:shd w:val="clear" w:color="auto" w:fill="auto"/>
            <w:noWrap/>
            <w:vAlign w:val="bottom"/>
            <w:hideMark/>
          </w:tcPr>
          <w:p w14:paraId="0769871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-28.19</w:t>
            </w:r>
          </w:p>
        </w:tc>
        <w:tc>
          <w:tcPr>
            <w:tcW w:w="367" w:type="pct"/>
            <w:gridSpan w:val="2"/>
            <w:tcBorders>
              <w:top w:val="nil"/>
              <w:left w:val="nil"/>
              <w:bottom w:val="nil"/>
              <w:right w:val="nil"/>
            </w:tcBorders>
            <w:shd w:val="clear" w:color="auto" w:fill="auto"/>
            <w:noWrap/>
            <w:vAlign w:val="bottom"/>
            <w:hideMark/>
          </w:tcPr>
          <w:p w14:paraId="766F6BC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-28.15</w:t>
            </w:r>
          </w:p>
        </w:tc>
        <w:tc>
          <w:tcPr>
            <w:tcW w:w="367" w:type="pct"/>
            <w:gridSpan w:val="2"/>
            <w:tcBorders>
              <w:top w:val="nil"/>
              <w:left w:val="nil"/>
              <w:bottom w:val="nil"/>
              <w:right w:val="nil"/>
            </w:tcBorders>
            <w:shd w:val="clear" w:color="auto" w:fill="auto"/>
            <w:noWrap/>
            <w:vAlign w:val="bottom"/>
            <w:hideMark/>
          </w:tcPr>
          <w:p w14:paraId="2B86412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-27.96</w:t>
            </w:r>
          </w:p>
        </w:tc>
        <w:tc>
          <w:tcPr>
            <w:tcW w:w="367" w:type="pct"/>
            <w:gridSpan w:val="2"/>
            <w:tcBorders>
              <w:top w:val="nil"/>
              <w:left w:val="nil"/>
              <w:bottom w:val="nil"/>
              <w:right w:val="nil"/>
            </w:tcBorders>
            <w:shd w:val="clear" w:color="auto" w:fill="auto"/>
            <w:noWrap/>
            <w:vAlign w:val="bottom"/>
            <w:hideMark/>
          </w:tcPr>
          <w:p w14:paraId="587F48A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-27.38</w:t>
            </w:r>
          </w:p>
        </w:tc>
      </w:tr>
      <w:tr w:rsidR="00967214" w:rsidRPr="00967214" w14:paraId="1BE8A728" w14:textId="77777777" w:rsidTr="00967214">
        <w:trPr>
          <w:trHeight w:val="300"/>
        </w:trPr>
        <w:tc>
          <w:tcPr>
            <w:tcW w:w="327" w:type="pct"/>
            <w:tcBorders>
              <w:top w:val="nil"/>
              <w:left w:val="nil"/>
              <w:bottom w:val="nil"/>
              <w:right w:val="nil"/>
            </w:tcBorders>
            <w:shd w:val="clear" w:color="auto" w:fill="auto"/>
            <w:noWrap/>
            <w:vAlign w:val="center"/>
            <w:hideMark/>
          </w:tcPr>
          <w:p w14:paraId="5A4D4B22"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Long. (°)</w:t>
            </w:r>
          </w:p>
        </w:tc>
        <w:tc>
          <w:tcPr>
            <w:tcW w:w="340" w:type="pct"/>
            <w:gridSpan w:val="2"/>
            <w:tcBorders>
              <w:top w:val="nil"/>
              <w:left w:val="nil"/>
              <w:bottom w:val="nil"/>
              <w:right w:val="nil"/>
            </w:tcBorders>
            <w:shd w:val="clear" w:color="auto" w:fill="auto"/>
            <w:noWrap/>
            <w:vAlign w:val="bottom"/>
            <w:hideMark/>
          </w:tcPr>
          <w:p w14:paraId="62483A4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66.34</w:t>
            </w:r>
          </w:p>
        </w:tc>
        <w:tc>
          <w:tcPr>
            <w:tcW w:w="359" w:type="pct"/>
            <w:gridSpan w:val="2"/>
            <w:tcBorders>
              <w:top w:val="nil"/>
              <w:left w:val="nil"/>
              <w:bottom w:val="nil"/>
              <w:right w:val="nil"/>
            </w:tcBorders>
            <w:shd w:val="clear" w:color="auto" w:fill="auto"/>
            <w:noWrap/>
            <w:vAlign w:val="bottom"/>
            <w:hideMark/>
          </w:tcPr>
          <w:p w14:paraId="07EFC6D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65.98</w:t>
            </w:r>
          </w:p>
        </w:tc>
        <w:tc>
          <w:tcPr>
            <w:tcW w:w="340" w:type="pct"/>
            <w:gridSpan w:val="2"/>
            <w:tcBorders>
              <w:top w:val="nil"/>
              <w:left w:val="nil"/>
              <w:bottom w:val="nil"/>
              <w:right w:val="nil"/>
            </w:tcBorders>
            <w:shd w:val="clear" w:color="auto" w:fill="auto"/>
            <w:noWrap/>
            <w:vAlign w:val="bottom"/>
            <w:hideMark/>
          </w:tcPr>
          <w:p w14:paraId="14AB661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65.35</w:t>
            </w:r>
          </w:p>
        </w:tc>
        <w:tc>
          <w:tcPr>
            <w:tcW w:w="340" w:type="pct"/>
            <w:gridSpan w:val="2"/>
            <w:tcBorders>
              <w:top w:val="nil"/>
              <w:left w:val="nil"/>
              <w:bottom w:val="nil"/>
              <w:right w:val="nil"/>
            </w:tcBorders>
            <w:shd w:val="clear" w:color="auto" w:fill="auto"/>
            <w:noWrap/>
            <w:vAlign w:val="bottom"/>
            <w:hideMark/>
          </w:tcPr>
          <w:p w14:paraId="0E79621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63.36</w:t>
            </w:r>
          </w:p>
        </w:tc>
        <w:tc>
          <w:tcPr>
            <w:tcW w:w="326" w:type="pct"/>
            <w:gridSpan w:val="2"/>
            <w:tcBorders>
              <w:top w:val="nil"/>
              <w:left w:val="nil"/>
              <w:bottom w:val="nil"/>
              <w:right w:val="nil"/>
            </w:tcBorders>
            <w:shd w:val="clear" w:color="auto" w:fill="auto"/>
            <w:noWrap/>
            <w:vAlign w:val="bottom"/>
            <w:hideMark/>
          </w:tcPr>
          <w:p w14:paraId="61B4FA5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61.93</w:t>
            </w:r>
          </w:p>
        </w:tc>
        <w:tc>
          <w:tcPr>
            <w:tcW w:w="367" w:type="pct"/>
            <w:gridSpan w:val="2"/>
            <w:tcBorders>
              <w:top w:val="nil"/>
              <w:left w:val="nil"/>
              <w:bottom w:val="nil"/>
              <w:right w:val="nil"/>
            </w:tcBorders>
            <w:shd w:val="clear" w:color="auto" w:fill="auto"/>
            <w:noWrap/>
            <w:vAlign w:val="bottom"/>
            <w:hideMark/>
          </w:tcPr>
          <w:p w14:paraId="76F51B0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64.06</w:t>
            </w:r>
          </w:p>
        </w:tc>
        <w:tc>
          <w:tcPr>
            <w:tcW w:w="367" w:type="pct"/>
            <w:gridSpan w:val="2"/>
            <w:tcBorders>
              <w:top w:val="nil"/>
              <w:left w:val="nil"/>
              <w:bottom w:val="nil"/>
              <w:right w:val="nil"/>
            </w:tcBorders>
            <w:shd w:val="clear" w:color="auto" w:fill="auto"/>
            <w:noWrap/>
            <w:vAlign w:val="bottom"/>
            <w:hideMark/>
          </w:tcPr>
          <w:p w14:paraId="341B78B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62.36</w:t>
            </w:r>
          </w:p>
        </w:tc>
        <w:tc>
          <w:tcPr>
            <w:tcW w:w="398" w:type="pct"/>
            <w:gridSpan w:val="2"/>
            <w:tcBorders>
              <w:top w:val="nil"/>
              <w:left w:val="nil"/>
              <w:bottom w:val="nil"/>
              <w:right w:val="nil"/>
            </w:tcBorders>
            <w:shd w:val="clear" w:color="auto" w:fill="auto"/>
            <w:noWrap/>
            <w:vAlign w:val="bottom"/>
            <w:hideMark/>
          </w:tcPr>
          <w:p w14:paraId="1CF3114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62.36</w:t>
            </w:r>
          </w:p>
        </w:tc>
        <w:tc>
          <w:tcPr>
            <w:tcW w:w="367" w:type="pct"/>
            <w:gridSpan w:val="2"/>
            <w:tcBorders>
              <w:top w:val="nil"/>
              <w:left w:val="nil"/>
              <w:bottom w:val="nil"/>
              <w:right w:val="nil"/>
            </w:tcBorders>
            <w:shd w:val="clear" w:color="auto" w:fill="auto"/>
            <w:noWrap/>
            <w:vAlign w:val="bottom"/>
            <w:hideMark/>
          </w:tcPr>
          <w:p w14:paraId="33EA698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64.63</w:t>
            </w:r>
          </w:p>
        </w:tc>
        <w:tc>
          <w:tcPr>
            <w:tcW w:w="367" w:type="pct"/>
            <w:gridSpan w:val="2"/>
            <w:tcBorders>
              <w:top w:val="nil"/>
              <w:left w:val="nil"/>
              <w:bottom w:val="nil"/>
              <w:right w:val="nil"/>
            </w:tcBorders>
            <w:shd w:val="clear" w:color="auto" w:fill="auto"/>
            <w:noWrap/>
            <w:vAlign w:val="bottom"/>
            <w:hideMark/>
          </w:tcPr>
          <w:p w14:paraId="42DEEAE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64.54</w:t>
            </w:r>
          </w:p>
        </w:tc>
        <w:tc>
          <w:tcPr>
            <w:tcW w:w="367" w:type="pct"/>
            <w:gridSpan w:val="2"/>
            <w:tcBorders>
              <w:top w:val="nil"/>
              <w:left w:val="nil"/>
              <w:bottom w:val="nil"/>
              <w:right w:val="nil"/>
            </w:tcBorders>
            <w:shd w:val="clear" w:color="auto" w:fill="auto"/>
            <w:noWrap/>
            <w:vAlign w:val="bottom"/>
            <w:hideMark/>
          </w:tcPr>
          <w:p w14:paraId="7CE6AD1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64.65</w:t>
            </w:r>
          </w:p>
        </w:tc>
        <w:tc>
          <w:tcPr>
            <w:tcW w:w="367" w:type="pct"/>
            <w:gridSpan w:val="2"/>
            <w:tcBorders>
              <w:top w:val="nil"/>
              <w:left w:val="nil"/>
              <w:bottom w:val="nil"/>
              <w:right w:val="nil"/>
            </w:tcBorders>
            <w:shd w:val="clear" w:color="auto" w:fill="auto"/>
            <w:noWrap/>
            <w:vAlign w:val="bottom"/>
            <w:hideMark/>
          </w:tcPr>
          <w:p w14:paraId="388AE09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64.63</w:t>
            </w:r>
          </w:p>
        </w:tc>
        <w:tc>
          <w:tcPr>
            <w:tcW w:w="367" w:type="pct"/>
            <w:gridSpan w:val="2"/>
            <w:tcBorders>
              <w:top w:val="nil"/>
              <w:left w:val="nil"/>
              <w:bottom w:val="nil"/>
              <w:right w:val="nil"/>
            </w:tcBorders>
            <w:shd w:val="clear" w:color="auto" w:fill="auto"/>
            <w:noWrap/>
            <w:vAlign w:val="bottom"/>
            <w:hideMark/>
          </w:tcPr>
          <w:p w14:paraId="42D5B76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64.55</w:t>
            </w:r>
          </w:p>
        </w:tc>
      </w:tr>
      <w:tr w:rsidR="00967214" w:rsidRPr="00967214" w14:paraId="346555A0" w14:textId="77777777" w:rsidTr="00967214">
        <w:trPr>
          <w:trHeight w:val="300"/>
        </w:trPr>
        <w:tc>
          <w:tcPr>
            <w:tcW w:w="327" w:type="pct"/>
            <w:tcBorders>
              <w:top w:val="nil"/>
              <w:left w:val="nil"/>
              <w:bottom w:val="nil"/>
              <w:right w:val="nil"/>
            </w:tcBorders>
            <w:shd w:val="clear" w:color="auto" w:fill="auto"/>
            <w:noWrap/>
            <w:vAlign w:val="center"/>
            <w:hideMark/>
          </w:tcPr>
          <w:p w14:paraId="476175BC"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Depth (m)</w:t>
            </w:r>
          </w:p>
        </w:tc>
        <w:tc>
          <w:tcPr>
            <w:tcW w:w="340" w:type="pct"/>
            <w:gridSpan w:val="2"/>
            <w:tcBorders>
              <w:top w:val="nil"/>
              <w:left w:val="nil"/>
              <w:bottom w:val="nil"/>
              <w:right w:val="nil"/>
            </w:tcBorders>
            <w:shd w:val="clear" w:color="auto" w:fill="auto"/>
            <w:noWrap/>
            <w:vAlign w:val="bottom"/>
            <w:hideMark/>
          </w:tcPr>
          <w:p w14:paraId="00EE7C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4550</w:t>
            </w:r>
          </w:p>
        </w:tc>
        <w:tc>
          <w:tcPr>
            <w:tcW w:w="359" w:type="pct"/>
            <w:gridSpan w:val="2"/>
            <w:tcBorders>
              <w:top w:val="nil"/>
              <w:left w:val="nil"/>
              <w:bottom w:val="nil"/>
              <w:right w:val="nil"/>
            </w:tcBorders>
            <w:shd w:val="clear" w:color="auto" w:fill="auto"/>
            <w:noWrap/>
            <w:vAlign w:val="bottom"/>
            <w:hideMark/>
          </w:tcPr>
          <w:p w14:paraId="58338D5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4320</w:t>
            </w:r>
          </w:p>
        </w:tc>
        <w:tc>
          <w:tcPr>
            <w:tcW w:w="340" w:type="pct"/>
            <w:gridSpan w:val="2"/>
            <w:tcBorders>
              <w:top w:val="nil"/>
              <w:left w:val="nil"/>
              <w:bottom w:val="nil"/>
              <w:right w:val="nil"/>
            </w:tcBorders>
            <w:shd w:val="clear" w:color="auto" w:fill="auto"/>
            <w:noWrap/>
            <w:vAlign w:val="bottom"/>
            <w:hideMark/>
          </w:tcPr>
          <w:p w14:paraId="4CC2FF8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5550</w:t>
            </w:r>
          </w:p>
        </w:tc>
        <w:tc>
          <w:tcPr>
            <w:tcW w:w="340" w:type="pct"/>
            <w:gridSpan w:val="2"/>
            <w:tcBorders>
              <w:top w:val="nil"/>
              <w:left w:val="nil"/>
              <w:bottom w:val="nil"/>
              <w:right w:val="nil"/>
            </w:tcBorders>
            <w:shd w:val="clear" w:color="auto" w:fill="auto"/>
            <w:noWrap/>
            <w:vAlign w:val="bottom"/>
            <w:hideMark/>
          </w:tcPr>
          <w:p w14:paraId="6FD2B69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4950</w:t>
            </w:r>
          </w:p>
        </w:tc>
        <w:tc>
          <w:tcPr>
            <w:tcW w:w="326" w:type="pct"/>
            <w:gridSpan w:val="2"/>
            <w:tcBorders>
              <w:top w:val="nil"/>
              <w:left w:val="nil"/>
              <w:bottom w:val="nil"/>
              <w:right w:val="nil"/>
            </w:tcBorders>
            <w:shd w:val="clear" w:color="auto" w:fill="auto"/>
            <w:noWrap/>
            <w:vAlign w:val="bottom"/>
            <w:hideMark/>
          </w:tcPr>
          <w:p w14:paraId="01B2933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4600</w:t>
            </w:r>
          </w:p>
        </w:tc>
        <w:tc>
          <w:tcPr>
            <w:tcW w:w="367" w:type="pct"/>
            <w:gridSpan w:val="2"/>
            <w:tcBorders>
              <w:top w:val="nil"/>
              <w:left w:val="nil"/>
              <w:bottom w:val="nil"/>
              <w:right w:val="nil"/>
            </w:tcBorders>
            <w:shd w:val="clear" w:color="auto" w:fill="auto"/>
            <w:noWrap/>
            <w:vAlign w:val="bottom"/>
            <w:hideMark/>
          </w:tcPr>
          <w:p w14:paraId="3AC5B9C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2650</w:t>
            </w:r>
          </w:p>
        </w:tc>
        <w:tc>
          <w:tcPr>
            <w:tcW w:w="367" w:type="pct"/>
            <w:gridSpan w:val="2"/>
            <w:tcBorders>
              <w:top w:val="nil"/>
              <w:left w:val="nil"/>
              <w:bottom w:val="nil"/>
              <w:right w:val="nil"/>
            </w:tcBorders>
            <w:shd w:val="clear" w:color="auto" w:fill="auto"/>
            <w:noWrap/>
            <w:vAlign w:val="bottom"/>
            <w:hideMark/>
          </w:tcPr>
          <w:p w14:paraId="4E74241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3850</w:t>
            </w:r>
          </w:p>
        </w:tc>
        <w:tc>
          <w:tcPr>
            <w:tcW w:w="398" w:type="pct"/>
            <w:gridSpan w:val="2"/>
            <w:tcBorders>
              <w:top w:val="nil"/>
              <w:left w:val="nil"/>
              <w:bottom w:val="nil"/>
              <w:right w:val="nil"/>
            </w:tcBorders>
            <w:shd w:val="clear" w:color="auto" w:fill="auto"/>
            <w:noWrap/>
            <w:vAlign w:val="bottom"/>
            <w:hideMark/>
          </w:tcPr>
          <w:p w14:paraId="5899645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3850</w:t>
            </w:r>
          </w:p>
        </w:tc>
        <w:tc>
          <w:tcPr>
            <w:tcW w:w="367" w:type="pct"/>
            <w:gridSpan w:val="2"/>
            <w:tcBorders>
              <w:top w:val="nil"/>
              <w:left w:val="nil"/>
              <w:bottom w:val="nil"/>
              <w:right w:val="nil"/>
            </w:tcBorders>
            <w:shd w:val="clear" w:color="auto" w:fill="auto"/>
            <w:noWrap/>
            <w:vAlign w:val="bottom"/>
            <w:hideMark/>
          </w:tcPr>
          <w:p w14:paraId="0FAA48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3870</w:t>
            </w:r>
          </w:p>
        </w:tc>
        <w:tc>
          <w:tcPr>
            <w:tcW w:w="367" w:type="pct"/>
            <w:gridSpan w:val="2"/>
            <w:tcBorders>
              <w:top w:val="nil"/>
              <w:left w:val="nil"/>
              <w:bottom w:val="nil"/>
              <w:right w:val="nil"/>
            </w:tcBorders>
            <w:shd w:val="clear" w:color="auto" w:fill="auto"/>
            <w:noWrap/>
            <w:vAlign w:val="bottom"/>
            <w:hideMark/>
          </w:tcPr>
          <w:p w14:paraId="12B4BE1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3830</w:t>
            </w:r>
          </w:p>
        </w:tc>
        <w:tc>
          <w:tcPr>
            <w:tcW w:w="367" w:type="pct"/>
            <w:gridSpan w:val="2"/>
            <w:tcBorders>
              <w:top w:val="nil"/>
              <w:left w:val="nil"/>
              <w:bottom w:val="nil"/>
              <w:right w:val="nil"/>
            </w:tcBorders>
            <w:shd w:val="clear" w:color="auto" w:fill="auto"/>
            <w:noWrap/>
            <w:vAlign w:val="bottom"/>
            <w:hideMark/>
          </w:tcPr>
          <w:p w14:paraId="3AEE67B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3960</w:t>
            </w:r>
          </w:p>
        </w:tc>
        <w:tc>
          <w:tcPr>
            <w:tcW w:w="367" w:type="pct"/>
            <w:gridSpan w:val="2"/>
            <w:tcBorders>
              <w:top w:val="nil"/>
              <w:left w:val="nil"/>
              <w:bottom w:val="nil"/>
              <w:right w:val="nil"/>
            </w:tcBorders>
            <w:shd w:val="clear" w:color="auto" w:fill="auto"/>
            <w:noWrap/>
            <w:vAlign w:val="bottom"/>
            <w:hideMark/>
          </w:tcPr>
          <w:p w14:paraId="670E3AD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4550</w:t>
            </w:r>
          </w:p>
        </w:tc>
        <w:tc>
          <w:tcPr>
            <w:tcW w:w="367" w:type="pct"/>
            <w:gridSpan w:val="2"/>
            <w:tcBorders>
              <w:top w:val="nil"/>
              <w:left w:val="nil"/>
              <w:bottom w:val="nil"/>
              <w:right w:val="nil"/>
            </w:tcBorders>
            <w:shd w:val="clear" w:color="auto" w:fill="auto"/>
            <w:noWrap/>
            <w:vAlign w:val="bottom"/>
            <w:hideMark/>
          </w:tcPr>
          <w:p w14:paraId="27F31B2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3200</w:t>
            </w:r>
          </w:p>
        </w:tc>
      </w:tr>
      <w:tr w:rsidR="00967214" w:rsidRPr="00967214" w14:paraId="3F9A44F9" w14:textId="77777777" w:rsidTr="00967214">
        <w:trPr>
          <w:trHeight w:val="300"/>
        </w:trPr>
        <w:tc>
          <w:tcPr>
            <w:tcW w:w="327" w:type="pct"/>
            <w:tcBorders>
              <w:top w:val="nil"/>
              <w:left w:val="nil"/>
              <w:bottom w:val="nil"/>
              <w:right w:val="nil"/>
            </w:tcBorders>
            <w:shd w:val="clear" w:color="auto" w:fill="auto"/>
            <w:noWrap/>
            <w:vAlign w:val="center"/>
            <w:hideMark/>
          </w:tcPr>
          <w:p w14:paraId="2E92A648"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Age (My)</w:t>
            </w:r>
          </w:p>
        </w:tc>
        <w:tc>
          <w:tcPr>
            <w:tcW w:w="340" w:type="pct"/>
            <w:gridSpan w:val="2"/>
            <w:tcBorders>
              <w:top w:val="nil"/>
              <w:left w:val="nil"/>
              <w:bottom w:val="nil"/>
              <w:right w:val="nil"/>
            </w:tcBorders>
            <w:shd w:val="clear" w:color="auto" w:fill="auto"/>
            <w:noWrap/>
            <w:vAlign w:val="bottom"/>
            <w:hideMark/>
          </w:tcPr>
          <w:p w14:paraId="4B01D2C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59" w:type="pct"/>
            <w:gridSpan w:val="2"/>
            <w:tcBorders>
              <w:top w:val="nil"/>
              <w:left w:val="nil"/>
              <w:bottom w:val="nil"/>
              <w:right w:val="nil"/>
            </w:tcBorders>
            <w:shd w:val="clear" w:color="auto" w:fill="auto"/>
            <w:noWrap/>
            <w:vAlign w:val="bottom"/>
            <w:hideMark/>
          </w:tcPr>
          <w:p w14:paraId="1FFEEB3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40" w:type="pct"/>
            <w:gridSpan w:val="2"/>
            <w:tcBorders>
              <w:top w:val="nil"/>
              <w:left w:val="nil"/>
              <w:bottom w:val="nil"/>
              <w:right w:val="nil"/>
            </w:tcBorders>
            <w:shd w:val="clear" w:color="auto" w:fill="auto"/>
            <w:noWrap/>
            <w:vAlign w:val="bottom"/>
            <w:hideMark/>
          </w:tcPr>
          <w:p w14:paraId="119354A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40" w:type="pct"/>
            <w:gridSpan w:val="2"/>
            <w:tcBorders>
              <w:top w:val="nil"/>
              <w:left w:val="nil"/>
              <w:bottom w:val="nil"/>
              <w:right w:val="nil"/>
            </w:tcBorders>
            <w:shd w:val="clear" w:color="auto" w:fill="auto"/>
            <w:noWrap/>
            <w:vAlign w:val="bottom"/>
            <w:hideMark/>
          </w:tcPr>
          <w:p w14:paraId="5C24890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26" w:type="pct"/>
            <w:gridSpan w:val="2"/>
            <w:tcBorders>
              <w:top w:val="nil"/>
              <w:left w:val="nil"/>
              <w:bottom w:val="nil"/>
              <w:right w:val="nil"/>
            </w:tcBorders>
            <w:shd w:val="clear" w:color="auto" w:fill="auto"/>
            <w:noWrap/>
            <w:vAlign w:val="bottom"/>
            <w:hideMark/>
          </w:tcPr>
          <w:p w14:paraId="00A9A80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67" w:type="pct"/>
            <w:gridSpan w:val="2"/>
            <w:tcBorders>
              <w:top w:val="nil"/>
              <w:left w:val="nil"/>
              <w:bottom w:val="nil"/>
              <w:right w:val="nil"/>
            </w:tcBorders>
            <w:shd w:val="clear" w:color="auto" w:fill="auto"/>
            <w:noWrap/>
            <w:vAlign w:val="bottom"/>
            <w:hideMark/>
          </w:tcPr>
          <w:p w14:paraId="079F461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5.30</w:t>
            </w:r>
          </w:p>
        </w:tc>
        <w:tc>
          <w:tcPr>
            <w:tcW w:w="367" w:type="pct"/>
            <w:gridSpan w:val="2"/>
            <w:tcBorders>
              <w:top w:val="nil"/>
              <w:left w:val="nil"/>
              <w:bottom w:val="nil"/>
              <w:right w:val="nil"/>
            </w:tcBorders>
            <w:shd w:val="clear" w:color="auto" w:fill="auto"/>
            <w:noWrap/>
            <w:vAlign w:val="bottom"/>
            <w:hideMark/>
          </w:tcPr>
          <w:p w14:paraId="0450D9B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98" w:type="pct"/>
            <w:gridSpan w:val="2"/>
            <w:tcBorders>
              <w:top w:val="nil"/>
              <w:left w:val="nil"/>
              <w:bottom w:val="nil"/>
              <w:right w:val="nil"/>
            </w:tcBorders>
            <w:shd w:val="clear" w:color="auto" w:fill="auto"/>
            <w:noWrap/>
            <w:vAlign w:val="bottom"/>
            <w:hideMark/>
          </w:tcPr>
          <w:p w14:paraId="2CBE16E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67" w:type="pct"/>
            <w:gridSpan w:val="2"/>
            <w:tcBorders>
              <w:top w:val="nil"/>
              <w:left w:val="nil"/>
              <w:bottom w:val="nil"/>
              <w:right w:val="nil"/>
            </w:tcBorders>
            <w:shd w:val="clear" w:color="auto" w:fill="auto"/>
            <w:noWrap/>
            <w:vAlign w:val="bottom"/>
            <w:hideMark/>
          </w:tcPr>
          <w:p w14:paraId="1381084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4.9</w:t>
            </w:r>
          </w:p>
        </w:tc>
        <w:tc>
          <w:tcPr>
            <w:tcW w:w="367" w:type="pct"/>
            <w:gridSpan w:val="2"/>
            <w:tcBorders>
              <w:top w:val="nil"/>
              <w:left w:val="nil"/>
              <w:bottom w:val="nil"/>
              <w:right w:val="nil"/>
            </w:tcBorders>
            <w:shd w:val="clear" w:color="auto" w:fill="auto"/>
            <w:noWrap/>
            <w:vAlign w:val="bottom"/>
            <w:hideMark/>
          </w:tcPr>
          <w:p w14:paraId="5826522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3.8</w:t>
            </w:r>
          </w:p>
        </w:tc>
        <w:tc>
          <w:tcPr>
            <w:tcW w:w="367" w:type="pct"/>
            <w:gridSpan w:val="2"/>
            <w:tcBorders>
              <w:top w:val="nil"/>
              <w:left w:val="nil"/>
              <w:bottom w:val="nil"/>
              <w:right w:val="nil"/>
            </w:tcBorders>
            <w:shd w:val="clear" w:color="auto" w:fill="auto"/>
            <w:noWrap/>
            <w:vAlign w:val="bottom"/>
            <w:hideMark/>
          </w:tcPr>
          <w:p w14:paraId="512AB4F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2.6</w:t>
            </w:r>
          </w:p>
        </w:tc>
        <w:tc>
          <w:tcPr>
            <w:tcW w:w="367" w:type="pct"/>
            <w:gridSpan w:val="2"/>
            <w:tcBorders>
              <w:top w:val="nil"/>
              <w:left w:val="nil"/>
              <w:bottom w:val="nil"/>
              <w:right w:val="nil"/>
            </w:tcBorders>
            <w:shd w:val="clear" w:color="auto" w:fill="auto"/>
            <w:noWrap/>
            <w:vAlign w:val="bottom"/>
            <w:hideMark/>
          </w:tcPr>
          <w:p w14:paraId="6E6E380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&lt;0.78</w:t>
            </w:r>
          </w:p>
        </w:tc>
        <w:tc>
          <w:tcPr>
            <w:tcW w:w="367" w:type="pct"/>
            <w:gridSpan w:val="2"/>
            <w:tcBorders>
              <w:top w:val="nil"/>
              <w:left w:val="nil"/>
              <w:bottom w:val="nil"/>
              <w:right w:val="nil"/>
            </w:tcBorders>
            <w:shd w:val="clear" w:color="auto" w:fill="auto"/>
            <w:noWrap/>
            <w:vAlign w:val="bottom"/>
            <w:hideMark/>
          </w:tcPr>
          <w:p w14:paraId="1567865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8.8</w:t>
            </w:r>
          </w:p>
        </w:tc>
      </w:tr>
      <w:tr w:rsidR="00967214" w:rsidRPr="00967214" w14:paraId="1A022248" w14:textId="77777777" w:rsidTr="00967214">
        <w:trPr>
          <w:trHeight w:val="300"/>
        </w:trPr>
        <w:tc>
          <w:tcPr>
            <w:tcW w:w="327" w:type="pct"/>
            <w:tcBorders>
              <w:top w:val="nil"/>
              <w:left w:val="nil"/>
              <w:bottom w:val="single" w:sz="4" w:space="0" w:color="auto"/>
              <w:right w:val="nil"/>
            </w:tcBorders>
            <w:shd w:val="clear" w:color="auto" w:fill="auto"/>
            <w:noWrap/>
            <w:vAlign w:val="center"/>
            <w:hideMark/>
          </w:tcPr>
          <w:p w14:paraId="1C54DE39"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 </w:t>
            </w:r>
          </w:p>
        </w:tc>
        <w:tc>
          <w:tcPr>
            <w:tcW w:w="204" w:type="pct"/>
            <w:tcBorders>
              <w:top w:val="nil"/>
              <w:left w:val="nil"/>
              <w:bottom w:val="single" w:sz="4" w:space="0" w:color="auto"/>
              <w:right w:val="nil"/>
            </w:tcBorders>
            <w:shd w:val="clear" w:color="auto" w:fill="auto"/>
            <w:noWrap/>
            <w:vAlign w:val="bottom"/>
            <w:hideMark/>
          </w:tcPr>
          <w:p w14:paraId="7EDDFB6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2502C8A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23" w:type="pct"/>
            <w:tcBorders>
              <w:top w:val="nil"/>
              <w:left w:val="nil"/>
              <w:bottom w:val="single" w:sz="4" w:space="0" w:color="auto"/>
              <w:right w:val="nil"/>
            </w:tcBorders>
            <w:shd w:val="clear" w:color="auto" w:fill="auto"/>
            <w:noWrap/>
            <w:vAlign w:val="bottom"/>
            <w:hideMark/>
          </w:tcPr>
          <w:p w14:paraId="76D8A2E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6FED876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04" w:type="pct"/>
            <w:tcBorders>
              <w:top w:val="nil"/>
              <w:left w:val="nil"/>
              <w:bottom w:val="single" w:sz="4" w:space="0" w:color="auto"/>
              <w:right w:val="nil"/>
            </w:tcBorders>
            <w:shd w:val="clear" w:color="auto" w:fill="auto"/>
            <w:noWrap/>
            <w:vAlign w:val="bottom"/>
            <w:hideMark/>
          </w:tcPr>
          <w:p w14:paraId="066F4E9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77277D5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04" w:type="pct"/>
            <w:tcBorders>
              <w:top w:val="nil"/>
              <w:left w:val="nil"/>
              <w:bottom w:val="single" w:sz="4" w:space="0" w:color="auto"/>
              <w:right w:val="nil"/>
            </w:tcBorders>
            <w:shd w:val="clear" w:color="auto" w:fill="auto"/>
            <w:noWrap/>
            <w:vAlign w:val="bottom"/>
            <w:hideMark/>
          </w:tcPr>
          <w:p w14:paraId="40FFE45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33E8D6D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6" w:type="pct"/>
            <w:tcBorders>
              <w:top w:val="nil"/>
              <w:left w:val="nil"/>
              <w:bottom w:val="single" w:sz="4" w:space="0" w:color="auto"/>
              <w:right w:val="nil"/>
            </w:tcBorders>
            <w:shd w:val="clear" w:color="auto" w:fill="auto"/>
            <w:noWrap/>
            <w:vAlign w:val="bottom"/>
            <w:hideMark/>
          </w:tcPr>
          <w:p w14:paraId="0687F1F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90" w:type="pct"/>
            <w:tcBorders>
              <w:top w:val="nil"/>
              <w:left w:val="nil"/>
              <w:bottom w:val="single" w:sz="4" w:space="0" w:color="auto"/>
              <w:right w:val="nil"/>
            </w:tcBorders>
            <w:shd w:val="clear" w:color="auto" w:fill="auto"/>
            <w:noWrap/>
            <w:vAlign w:val="bottom"/>
            <w:hideMark/>
          </w:tcPr>
          <w:p w14:paraId="285B73F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577CAAA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64AB1C3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13670EA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73A9E2D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52" w:type="pct"/>
            <w:tcBorders>
              <w:top w:val="nil"/>
              <w:left w:val="nil"/>
              <w:bottom w:val="single" w:sz="4" w:space="0" w:color="auto"/>
              <w:right w:val="nil"/>
            </w:tcBorders>
            <w:shd w:val="clear" w:color="auto" w:fill="auto"/>
            <w:noWrap/>
            <w:vAlign w:val="bottom"/>
            <w:hideMark/>
          </w:tcPr>
          <w:p w14:paraId="57718CC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46" w:type="pct"/>
            <w:tcBorders>
              <w:top w:val="nil"/>
              <w:left w:val="nil"/>
              <w:bottom w:val="single" w:sz="4" w:space="0" w:color="auto"/>
              <w:right w:val="nil"/>
            </w:tcBorders>
            <w:shd w:val="clear" w:color="auto" w:fill="auto"/>
            <w:noWrap/>
            <w:vAlign w:val="bottom"/>
            <w:hideMark/>
          </w:tcPr>
          <w:p w14:paraId="3A32B39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4620870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68E8722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387029D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4203127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0AE88A3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160B4D2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4A9B9D9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4EF9B48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5C90410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Mean</w:t>
            </w:r>
          </w:p>
        </w:tc>
        <w:tc>
          <w:tcPr>
            <w:tcW w:w="136" w:type="pct"/>
            <w:tcBorders>
              <w:top w:val="nil"/>
              <w:left w:val="nil"/>
              <w:bottom w:val="single" w:sz="4" w:space="0" w:color="auto"/>
              <w:right w:val="nil"/>
            </w:tcBorders>
            <w:shd w:val="clear" w:color="auto" w:fill="auto"/>
            <w:noWrap/>
            <w:vAlign w:val="bottom"/>
            <w:hideMark/>
          </w:tcPr>
          <w:p w14:paraId="251B0E5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r>
      <w:tr w:rsidR="00967214" w:rsidRPr="00967214" w14:paraId="5E74BB1C" w14:textId="77777777" w:rsidTr="00967214">
        <w:trPr>
          <w:trHeight w:val="300"/>
        </w:trPr>
        <w:tc>
          <w:tcPr>
            <w:tcW w:w="327" w:type="pct"/>
            <w:tcBorders>
              <w:top w:val="nil"/>
              <w:left w:val="nil"/>
              <w:bottom w:val="nil"/>
              <w:right w:val="nil"/>
            </w:tcBorders>
            <w:shd w:val="clear" w:color="auto" w:fill="auto"/>
            <w:noWrap/>
            <w:vAlign w:val="center"/>
            <w:hideMark/>
          </w:tcPr>
          <w:p w14:paraId="5EE9F59A"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SiO</w:t>
            </w:r>
            <w:r w:rsidRPr="00967214">
              <w:rPr>
                <w:rFonts w:eastAsia="Times New Roman"/>
                <w:sz w:val="16"/>
                <w:szCs w:val="16"/>
                <w:vertAlign w:val="subscript"/>
                <w:lang w:val="fr-FR" w:eastAsia="fr-FR"/>
              </w:rPr>
              <w:t>2</w:t>
            </w:r>
          </w:p>
        </w:tc>
        <w:tc>
          <w:tcPr>
            <w:tcW w:w="204" w:type="pct"/>
            <w:tcBorders>
              <w:top w:val="nil"/>
              <w:left w:val="nil"/>
              <w:bottom w:val="nil"/>
              <w:right w:val="nil"/>
            </w:tcBorders>
            <w:shd w:val="clear" w:color="auto" w:fill="auto"/>
            <w:noWrap/>
            <w:vAlign w:val="bottom"/>
            <w:hideMark/>
          </w:tcPr>
          <w:p w14:paraId="507FFFC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50.8</w:t>
            </w:r>
          </w:p>
        </w:tc>
        <w:tc>
          <w:tcPr>
            <w:tcW w:w="136" w:type="pct"/>
            <w:tcBorders>
              <w:top w:val="nil"/>
              <w:left w:val="nil"/>
              <w:bottom w:val="nil"/>
              <w:right w:val="nil"/>
            </w:tcBorders>
            <w:shd w:val="clear" w:color="auto" w:fill="auto"/>
            <w:noWrap/>
            <w:vAlign w:val="bottom"/>
            <w:hideMark/>
          </w:tcPr>
          <w:p w14:paraId="5984E95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0.8</w:t>
            </w:r>
          </w:p>
        </w:tc>
        <w:tc>
          <w:tcPr>
            <w:tcW w:w="223" w:type="pct"/>
            <w:tcBorders>
              <w:top w:val="nil"/>
              <w:left w:val="nil"/>
              <w:bottom w:val="nil"/>
              <w:right w:val="nil"/>
            </w:tcBorders>
            <w:shd w:val="clear" w:color="auto" w:fill="auto"/>
            <w:noWrap/>
            <w:vAlign w:val="bottom"/>
            <w:hideMark/>
          </w:tcPr>
          <w:p w14:paraId="5AF852D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50.6</w:t>
            </w:r>
          </w:p>
        </w:tc>
        <w:tc>
          <w:tcPr>
            <w:tcW w:w="136" w:type="pct"/>
            <w:tcBorders>
              <w:top w:val="nil"/>
              <w:left w:val="nil"/>
              <w:bottom w:val="nil"/>
              <w:right w:val="nil"/>
            </w:tcBorders>
            <w:shd w:val="clear" w:color="auto" w:fill="auto"/>
            <w:noWrap/>
            <w:vAlign w:val="bottom"/>
            <w:hideMark/>
          </w:tcPr>
          <w:p w14:paraId="03900B8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0.5</w:t>
            </w:r>
          </w:p>
        </w:tc>
        <w:tc>
          <w:tcPr>
            <w:tcW w:w="204" w:type="pct"/>
            <w:tcBorders>
              <w:top w:val="nil"/>
              <w:left w:val="nil"/>
              <w:bottom w:val="nil"/>
              <w:right w:val="nil"/>
            </w:tcBorders>
            <w:shd w:val="clear" w:color="auto" w:fill="auto"/>
            <w:noWrap/>
            <w:vAlign w:val="bottom"/>
            <w:hideMark/>
          </w:tcPr>
          <w:p w14:paraId="4818188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50.3</w:t>
            </w:r>
          </w:p>
        </w:tc>
        <w:tc>
          <w:tcPr>
            <w:tcW w:w="136" w:type="pct"/>
            <w:tcBorders>
              <w:top w:val="nil"/>
              <w:left w:val="nil"/>
              <w:bottom w:val="nil"/>
              <w:right w:val="nil"/>
            </w:tcBorders>
            <w:shd w:val="clear" w:color="auto" w:fill="auto"/>
            <w:noWrap/>
            <w:vAlign w:val="bottom"/>
            <w:hideMark/>
          </w:tcPr>
          <w:p w14:paraId="5F72F4D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0.5</w:t>
            </w:r>
          </w:p>
        </w:tc>
        <w:tc>
          <w:tcPr>
            <w:tcW w:w="204" w:type="pct"/>
            <w:tcBorders>
              <w:top w:val="nil"/>
              <w:left w:val="nil"/>
              <w:bottom w:val="nil"/>
              <w:right w:val="nil"/>
            </w:tcBorders>
            <w:shd w:val="clear" w:color="auto" w:fill="auto"/>
            <w:noWrap/>
            <w:vAlign w:val="bottom"/>
            <w:hideMark/>
          </w:tcPr>
          <w:p w14:paraId="58280CE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49.0</w:t>
            </w:r>
          </w:p>
        </w:tc>
        <w:tc>
          <w:tcPr>
            <w:tcW w:w="136" w:type="pct"/>
            <w:tcBorders>
              <w:top w:val="nil"/>
              <w:left w:val="nil"/>
              <w:bottom w:val="nil"/>
              <w:right w:val="nil"/>
            </w:tcBorders>
            <w:shd w:val="clear" w:color="auto" w:fill="auto"/>
            <w:noWrap/>
            <w:vAlign w:val="bottom"/>
            <w:hideMark/>
          </w:tcPr>
          <w:p w14:paraId="1385207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0.3</w:t>
            </w:r>
          </w:p>
        </w:tc>
        <w:tc>
          <w:tcPr>
            <w:tcW w:w="236" w:type="pct"/>
            <w:tcBorders>
              <w:top w:val="nil"/>
              <w:left w:val="nil"/>
              <w:bottom w:val="nil"/>
              <w:right w:val="nil"/>
            </w:tcBorders>
            <w:shd w:val="clear" w:color="auto" w:fill="auto"/>
            <w:noWrap/>
            <w:vAlign w:val="center"/>
            <w:hideMark/>
          </w:tcPr>
          <w:p w14:paraId="753A4CF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48.7</w:t>
            </w:r>
          </w:p>
        </w:tc>
        <w:tc>
          <w:tcPr>
            <w:tcW w:w="90" w:type="pct"/>
            <w:tcBorders>
              <w:top w:val="nil"/>
              <w:left w:val="nil"/>
              <w:bottom w:val="nil"/>
              <w:right w:val="nil"/>
            </w:tcBorders>
            <w:shd w:val="clear" w:color="auto" w:fill="auto"/>
            <w:noWrap/>
            <w:vAlign w:val="center"/>
            <w:hideMark/>
          </w:tcPr>
          <w:p w14:paraId="58A694B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09A4F2C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51.1</w:t>
            </w:r>
          </w:p>
        </w:tc>
        <w:tc>
          <w:tcPr>
            <w:tcW w:w="136" w:type="pct"/>
            <w:tcBorders>
              <w:top w:val="nil"/>
              <w:left w:val="nil"/>
              <w:bottom w:val="nil"/>
              <w:right w:val="nil"/>
            </w:tcBorders>
            <w:shd w:val="clear" w:color="auto" w:fill="auto"/>
            <w:noWrap/>
            <w:vAlign w:val="bottom"/>
            <w:hideMark/>
          </w:tcPr>
          <w:p w14:paraId="18016C4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0.3</w:t>
            </w:r>
          </w:p>
        </w:tc>
        <w:tc>
          <w:tcPr>
            <w:tcW w:w="231" w:type="pct"/>
            <w:tcBorders>
              <w:top w:val="nil"/>
              <w:left w:val="nil"/>
              <w:bottom w:val="nil"/>
              <w:right w:val="nil"/>
            </w:tcBorders>
            <w:shd w:val="clear" w:color="auto" w:fill="auto"/>
            <w:noWrap/>
            <w:vAlign w:val="bottom"/>
            <w:hideMark/>
          </w:tcPr>
          <w:p w14:paraId="09A44A1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50.4</w:t>
            </w:r>
          </w:p>
        </w:tc>
        <w:tc>
          <w:tcPr>
            <w:tcW w:w="136" w:type="pct"/>
            <w:tcBorders>
              <w:top w:val="nil"/>
              <w:left w:val="nil"/>
              <w:bottom w:val="nil"/>
              <w:right w:val="nil"/>
            </w:tcBorders>
            <w:shd w:val="clear" w:color="auto" w:fill="auto"/>
            <w:noWrap/>
            <w:vAlign w:val="bottom"/>
            <w:hideMark/>
          </w:tcPr>
          <w:p w14:paraId="7EBB542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0.4</w:t>
            </w:r>
          </w:p>
        </w:tc>
        <w:tc>
          <w:tcPr>
            <w:tcW w:w="252" w:type="pct"/>
            <w:tcBorders>
              <w:top w:val="nil"/>
              <w:left w:val="nil"/>
              <w:bottom w:val="nil"/>
              <w:right w:val="nil"/>
            </w:tcBorders>
            <w:shd w:val="clear" w:color="auto" w:fill="auto"/>
            <w:noWrap/>
            <w:vAlign w:val="bottom"/>
            <w:hideMark/>
          </w:tcPr>
          <w:p w14:paraId="7399644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50.7</w:t>
            </w:r>
          </w:p>
        </w:tc>
        <w:tc>
          <w:tcPr>
            <w:tcW w:w="146" w:type="pct"/>
            <w:tcBorders>
              <w:top w:val="nil"/>
              <w:left w:val="nil"/>
              <w:bottom w:val="nil"/>
              <w:right w:val="nil"/>
            </w:tcBorders>
            <w:shd w:val="clear" w:color="auto" w:fill="auto"/>
            <w:noWrap/>
            <w:vAlign w:val="bottom"/>
            <w:hideMark/>
          </w:tcPr>
          <w:p w14:paraId="5EA872C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0.3</w:t>
            </w:r>
          </w:p>
        </w:tc>
        <w:tc>
          <w:tcPr>
            <w:tcW w:w="231" w:type="pct"/>
            <w:tcBorders>
              <w:top w:val="nil"/>
              <w:left w:val="nil"/>
              <w:bottom w:val="nil"/>
              <w:right w:val="nil"/>
            </w:tcBorders>
            <w:shd w:val="clear" w:color="auto" w:fill="auto"/>
            <w:noWrap/>
            <w:vAlign w:val="bottom"/>
            <w:hideMark/>
          </w:tcPr>
          <w:p w14:paraId="7F47E95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50.5</w:t>
            </w:r>
          </w:p>
        </w:tc>
        <w:tc>
          <w:tcPr>
            <w:tcW w:w="136" w:type="pct"/>
            <w:tcBorders>
              <w:top w:val="nil"/>
              <w:left w:val="nil"/>
              <w:bottom w:val="nil"/>
              <w:right w:val="nil"/>
            </w:tcBorders>
            <w:shd w:val="clear" w:color="auto" w:fill="auto"/>
            <w:noWrap/>
            <w:vAlign w:val="bottom"/>
            <w:hideMark/>
          </w:tcPr>
          <w:p w14:paraId="04CEF55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12A7ACF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50.4</w:t>
            </w:r>
          </w:p>
        </w:tc>
        <w:tc>
          <w:tcPr>
            <w:tcW w:w="136" w:type="pct"/>
            <w:tcBorders>
              <w:top w:val="nil"/>
              <w:left w:val="nil"/>
              <w:bottom w:val="nil"/>
              <w:right w:val="nil"/>
            </w:tcBorders>
            <w:shd w:val="clear" w:color="auto" w:fill="auto"/>
            <w:noWrap/>
            <w:vAlign w:val="bottom"/>
            <w:hideMark/>
          </w:tcPr>
          <w:p w14:paraId="45A2E10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149EF7C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50.7</w:t>
            </w:r>
          </w:p>
        </w:tc>
        <w:tc>
          <w:tcPr>
            <w:tcW w:w="136" w:type="pct"/>
            <w:tcBorders>
              <w:top w:val="nil"/>
              <w:left w:val="nil"/>
              <w:bottom w:val="nil"/>
              <w:right w:val="nil"/>
            </w:tcBorders>
            <w:shd w:val="clear" w:color="auto" w:fill="auto"/>
            <w:noWrap/>
            <w:vAlign w:val="bottom"/>
            <w:hideMark/>
          </w:tcPr>
          <w:p w14:paraId="3195206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4109F53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50.5</w:t>
            </w:r>
          </w:p>
        </w:tc>
        <w:tc>
          <w:tcPr>
            <w:tcW w:w="136" w:type="pct"/>
            <w:tcBorders>
              <w:top w:val="nil"/>
              <w:left w:val="nil"/>
              <w:bottom w:val="nil"/>
              <w:right w:val="nil"/>
            </w:tcBorders>
            <w:shd w:val="clear" w:color="auto" w:fill="auto"/>
            <w:noWrap/>
            <w:vAlign w:val="bottom"/>
            <w:hideMark/>
          </w:tcPr>
          <w:p w14:paraId="36108C2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33DE94B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51.4</w:t>
            </w:r>
          </w:p>
        </w:tc>
        <w:tc>
          <w:tcPr>
            <w:tcW w:w="136" w:type="pct"/>
            <w:tcBorders>
              <w:top w:val="nil"/>
              <w:left w:val="nil"/>
              <w:bottom w:val="nil"/>
              <w:right w:val="nil"/>
            </w:tcBorders>
            <w:shd w:val="clear" w:color="auto" w:fill="auto"/>
            <w:noWrap/>
            <w:vAlign w:val="bottom"/>
            <w:hideMark/>
          </w:tcPr>
          <w:p w14:paraId="7CFBAEF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r>
      <w:tr w:rsidR="00967214" w:rsidRPr="00967214" w14:paraId="7EF48544" w14:textId="77777777" w:rsidTr="00967214">
        <w:trPr>
          <w:trHeight w:val="300"/>
        </w:trPr>
        <w:tc>
          <w:tcPr>
            <w:tcW w:w="327" w:type="pct"/>
            <w:tcBorders>
              <w:top w:val="nil"/>
              <w:left w:val="nil"/>
              <w:bottom w:val="nil"/>
              <w:right w:val="nil"/>
            </w:tcBorders>
            <w:shd w:val="clear" w:color="auto" w:fill="auto"/>
            <w:noWrap/>
            <w:vAlign w:val="center"/>
            <w:hideMark/>
          </w:tcPr>
          <w:p w14:paraId="3F3AF89D"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TiO</w:t>
            </w:r>
            <w:r w:rsidRPr="00967214">
              <w:rPr>
                <w:rFonts w:eastAsia="Times New Roman"/>
                <w:sz w:val="16"/>
                <w:szCs w:val="16"/>
                <w:vertAlign w:val="subscript"/>
                <w:lang w:val="fr-FR" w:eastAsia="fr-FR"/>
              </w:rPr>
              <w:t>2</w:t>
            </w:r>
          </w:p>
        </w:tc>
        <w:tc>
          <w:tcPr>
            <w:tcW w:w="204" w:type="pct"/>
            <w:tcBorders>
              <w:top w:val="nil"/>
              <w:left w:val="nil"/>
              <w:bottom w:val="nil"/>
              <w:right w:val="nil"/>
            </w:tcBorders>
            <w:shd w:val="clear" w:color="auto" w:fill="auto"/>
            <w:noWrap/>
            <w:vAlign w:val="bottom"/>
            <w:hideMark/>
          </w:tcPr>
          <w:p w14:paraId="546077E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1.5</w:t>
            </w:r>
          </w:p>
        </w:tc>
        <w:tc>
          <w:tcPr>
            <w:tcW w:w="136" w:type="pct"/>
            <w:tcBorders>
              <w:top w:val="nil"/>
              <w:left w:val="nil"/>
              <w:bottom w:val="nil"/>
              <w:right w:val="nil"/>
            </w:tcBorders>
            <w:shd w:val="clear" w:color="auto" w:fill="auto"/>
            <w:noWrap/>
            <w:vAlign w:val="bottom"/>
            <w:hideMark/>
          </w:tcPr>
          <w:p w14:paraId="13E49CB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23" w:type="pct"/>
            <w:tcBorders>
              <w:top w:val="nil"/>
              <w:left w:val="nil"/>
              <w:bottom w:val="nil"/>
              <w:right w:val="nil"/>
            </w:tcBorders>
            <w:shd w:val="clear" w:color="auto" w:fill="auto"/>
            <w:noWrap/>
            <w:vAlign w:val="bottom"/>
            <w:hideMark/>
          </w:tcPr>
          <w:p w14:paraId="445D742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1.3</w:t>
            </w:r>
          </w:p>
        </w:tc>
        <w:tc>
          <w:tcPr>
            <w:tcW w:w="136" w:type="pct"/>
            <w:tcBorders>
              <w:top w:val="nil"/>
              <w:left w:val="nil"/>
              <w:bottom w:val="nil"/>
              <w:right w:val="nil"/>
            </w:tcBorders>
            <w:shd w:val="clear" w:color="auto" w:fill="auto"/>
            <w:noWrap/>
            <w:vAlign w:val="bottom"/>
            <w:hideMark/>
          </w:tcPr>
          <w:p w14:paraId="503E855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098E2DC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1.2</w:t>
            </w:r>
          </w:p>
        </w:tc>
        <w:tc>
          <w:tcPr>
            <w:tcW w:w="136" w:type="pct"/>
            <w:tcBorders>
              <w:top w:val="nil"/>
              <w:left w:val="nil"/>
              <w:bottom w:val="nil"/>
              <w:right w:val="nil"/>
            </w:tcBorders>
            <w:shd w:val="clear" w:color="auto" w:fill="auto"/>
            <w:noWrap/>
            <w:vAlign w:val="bottom"/>
            <w:hideMark/>
          </w:tcPr>
          <w:p w14:paraId="2E7EF69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57C7141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w:t>
            </w:r>
          </w:p>
        </w:tc>
        <w:tc>
          <w:tcPr>
            <w:tcW w:w="136" w:type="pct"/>
            <w:tcBorders>
              <w:top w:val="nil"/>
              <w:left w:val="nil"/>
              <w:bottom w:val="nil"/>
              <w:right w:val="nil"/>
            </w:tcBorders>
            <w:shd w:val="clear" w:color="auto" w:fill="auto"/>
            <w:noWrap/>
            <w:vAlign w:val="bottom"/>
            <w:hideMark/>
          </w:tcPr>
          <w:p w14:paraId="0B5B6FC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6" w:type="pct"/>
            <w:tcBorders>
              <w:top w:val="nil"/>
              <w:left w:val="nil"/>
              <w:bottom w:val="nil"/>
              <w:right w:val="nil"/>
            </w:tcBorders>
            <w:shd w:val="clear" w:color="auto" w:fill="auto"/>
            <w:noWrap/>
            <w:vAlign w:val="center"/>
            <w:hideMark/>
          </w:tcPr>
          <w:p w14:paraId="4DDC1DE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0.9</w:t>
            </w:r>
          </w:p>
        </w:tc>
        <w:tc>
          <w:tcPr>
            <w:tcW w:w="90" w:type="pct"/>
            <w:tcBorders>
              <w:top w:val="nil"/>
              <w:left w:val="nil"/>
              <w:bottom w:val="nil"/>
              <w:right w:val="nil"/>
            </w:tcBorders>
            <w:shd w:val="clear" w:color="auto" w:fill="auto"/>
            <w:noWrap/>
            <w:vAlign w:val="center"/>
            <w:hideMark/>
          </w:tcPr>
          <w:p w14:paraId="1074F7E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7255F9A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1.3</w:t>
            </w:r>
          </w:p>
        </w:tc>
        <w:tc>
          <w:tcPr>
            <w:tcW w:w="136" w:type="pct"/>
            <w:tcBorders>
              <w:top w:val="nil"/>
              <w:left w:val="nil"/>
              <w:bottom w:val="nil"/>
              <w:right w:val="nil"/>
            </w:tcBorders>
            <w:shd w:val="clear" w:color="auto" w:fill="auto"/>
            <w:noWrap/>
            <w:vAlign w:val="bottom"/>
            <w:hideMark/>
          </w:tcPr>
          <w:p w14:paraId="67568A9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7E100C2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1.3</w:t>
            </w:r>
          </w:p>
        </w:tc>
        <w:tc>
          <w:tcPr>
            <w:tcW w:w="136" w:type="pct"/>
            <w:tcBorders>
              <w:top w:val="nil"/>
              <w:left w:val="nil"/>
              <w:bottom w:val="nil"/>
              <w:right w:val="nil"/>
            </w:tcBorders>
            <w:shd w:val="clear" w:color="auto" w:fill="auto"/>
            <w:noWrap/>
            <w:vAlign w:val="bottom"/>
            <w:hideMark/>
          </w:tcPr>
          <w:p w14:paraId="48B069E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52" w:type="pct"/>
            <w:tcBorders>
              <w:top w:val="nil"/>
              <w:left w:val="nil"/>
              <w:bottom w:val="nil"/>
              <w:right w:val="nil"/>
            </w:tcBorders>
            <w:shd w:val="clear" w:color="auto" w:fill="auto"/>
            <w:noWrap/>
            <w:vAlign w:val="bottom"/>
            <w:hideMark/>
          </w:tcPr>
          <w:p w14:paraId="32DB7C1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1.4</w:t>
            </w:r>
          </w:p>
        </w:tc>
        <w:tc>
          <w:tcPr>
            <w:tcW w:w="146" w:type="pct"/>
            <w:tcBorders>
              <w:top w:val="nil"/>
              <w:left w:val="nil"/>
              <w:bottom w:val="nil"/>
              <w:right w:val="nil"/>
            </w:tcBorders>
            <w:shd w:val="clear" w:color="auto" w:fill="auto"/>
            <w:noWrap/>
            <w:vAlign w:val="bottom"/>
            <w:hideMark/>
          </w:tcPr>
          <w:p w14:paraId="2934488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55CF82D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1.3</w:t>
            </w:r>
          </w:p>
        </w:tc>
        <w:tc>
          <w:tcPr>
            <w:tcW w:w="136" w:type="pct"/>
            <w:tcBorders>
              <w:top w:val="nil"/>
              <w:left w:val="nil"/>
              <w:bottom w:val="nil"/>
              <w:right w:val="nil"/>
            </w:tcBorders>
            <w:shd w:val="clear" w:color="auto" w:fill="auto"/>
            <w:noWrap/>
            <w:vAlign w:val="bottom"/>
            <w:hideMark/>
          </w:tcPr>
          <w:p w14:paraId="14DC42F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61028A3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1.6</w:t>
            </w:r>
          </w:p>
        </w:tc>
        <w:tc>
          <w:tcPr>
            <w:tcW w:w="136" w:type="pct"/>
            <w:tcBorders>
              <w:top w:val="nil"/>
              <w:left w:val="nil"/>
              <w:bottom w:val="nil"/>
              <w:right w:val="nil"/>
            </w:tcBorders>
            <w:shd w:val="clear" w:color="auto" w:fill="auto"/>
            <w:noWrap/>
            <w:vAlign w:val="bottom"/>
            <w:hideMark/>
          </w:tcPr>
          <w:p w14:paraId="397C996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7C15B3D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w:t>
            </w:r>
          </w:p>
        </w:tc>
        <w:tc>
          <w:tcPr>
            <w:tcW w:w="136" w:type="pct"/>
            <w:tcBorders>
              <w:top w:val="nil"/>
              <w:left w:val="nil"/>
              <w:bottom w:val="nil"/>
              <w:right w:val="nil"/>
            </w:tcBorders>
            <w:shd w:val="clear" w:color="auto" w:fill="auto"/>
            <w:noWrap/>
            <w:vAlign w:val="bottom"/>
            <w:hideMark/>
          </w:tcPr>
          <w:p w14:paraId="67A164D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35A6AA9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1.3</w:t>
            </w:r>
          </w:p>
        </w:tc>
        <w:tc>
          <w:tcPr>
            <w:tcW w:w="136" w:type="pct"/>
            <w:tcBorders>
              <w:top w:val="nil"/>
              <w:left w:val="nil"/>
              <w:bottom w:val="nil"/>
              <w:right w:val="nil"/>
            </w:tcBorders>
            <w:shd w:val="clear" w:color="auto" w:fill="auto"/>
            <w:noWrap/>
            <w:vAlign w:val="bottom"/>
            <w:hideMark/>
          </w:tcPr>
          <w:p w14:paraId="55EAD01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2C3F25B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2.0</w:t>
            </w:r>
          </w:p>
        </w:tc>
        <w:tc>
          <w:tcPr>
            <w:tcW w:w="136" w:type="pct"/>
            <w:tcBorders>
              <w:top w:val="nil"/>
              <w:left w:val="nil"/>
              <w:bottom w:val="nil"/>
              <w:right w:val="nil"/>
            </w:tcBorders>
            <w:shd w:val="clear" w:color="auto" w:fill="auto"/>
            <w:noWrap/>
            <w:vAlign w:val="bottom"/>
            <w:hideMark/>
          </w:tcPr>
          <w:p w14:paraId="0D97431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r>
      <w:tr w:rsidR="00967214" w:rsidRPr="00967214" w14:paraId="45FA1FDA" w14:textId="77777777" w:rsidTr="00967214">
        <w:trPr>
          <w:trHeight w:val="300"/>
        </w:trPr>
        <w:tc>
          <w:tcPr>
            <w:tcW w:w="327" w:type="pct"/>
            <w:tcBorders>
              <w:top w:val="nil"/>
              <w:left w:val="nil"/>
              <w:bottom w:val="nil"/>
              <w:right w:val="nil"/>
            </w:tcBorders>
            <w:shd w:val="clear" w:color="auto" w:fill="auto"/>
            <w:noWrap/>
            <w:vAlign w:val="center"/>
            <w:hideMark/>
          </w:tcPr>
          <w:p w14:paraId="05A97459"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Al</w:t>
            </w:r>
            <w:r w:rsidRPr="00967214">
              <w:rPr>
                <w:rFonts w:eastAsia="Times New Roman"/>
                <w:sz w:val="16"/>
                <w:szCs w:val="16"/>
                <w:vertAlign w:val="subscript"/>
                <w:lang w:val="fr-FR" w:eastAsia="fr-FR"/>
              </w:rPr>
              <w:t>2</w:t>
            </w:r>
            <w:r w:rsidRPr="00967214">
              <w:rPr>
                <w:rFonts w:eastAsia="Times New Roman"/>
                <w:sz w:val="16"/>
                <w:szCs w:val="16"/>
                <w:lang w:val="fr-FR" w:eastAsia="fr-FR"/>
              </w:rPr>
              <w:t>O</w:t>
            </w:r>
            <w:r w:rsidRPr="00967214">
              <w:rPr>
                <w:rFonts w:eastAsia="Times New Roman"/>
                <w:sz w:val="16"/>
                <w:szCs w:val="16"/>
                <w:vertAlign w:val="subscript"/>
                <w:lang w:val="fr-FR" w:eastAsia="fr-FR"/>
              </w:rPr>
              <w:t>3</w:t>
            </w:r>
          </w:p>
        </w:tc>
        <w:tc>
          <w:tcPr>
            <w:tcW w:w="204" w:type="pct"/>
            <w:tcBorders>
              <w:top w:val="nil"/>
              <w:left w:val="nil"/>
              <w:bottom w:val="nil"/>
              <w:right w:val="nil"/>
            </w:tcBorders>
            <w:shd w:val="clear" w:color="auto" w:fill="auto"/>
            <w:noWrap/>
            <w:vAlign w:val="bottom"/>
            <w:hideMark/>
          </w:tcPr>
          <w:p w14:paraId="50E12A8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16.8</w:t>
            </w:r>
          </w:p>
        </w:tc>
        <w:tc>
          <w:tcPr>
            <w:tcW w:w="136" w:type="pct"/>
            <w:tcBorders>
              <w:top w:val="nil"/>
              <w:left w:val="nil"/>
              <w:bottom w:val="nil"/>
              <w:right w:val="nil"/>
            </w:tcBorders>
            <w:shd w:val="clear" w:color="auto" w:fill="auto"/>
            <w:noWrap/>
            <w:vAlign w:val="bottom"/>
            <w:hideMark/>
          </w:tcPr>
          <w:p w14:paraId="6928B58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23" w:type="pct"/>
            <w:tcBorders>
              <w:top w:val="nil"/>
              <w:left w:val="nil"/>
              <w:bottom w:val="nil"/>
              <w:right w:val="nil"/>
            </w:tcBorders>
            <w:shd w:val="clear" w:color="auto" w:fill="auto"/>
            <w:noWrap/>
            <w:vAlign w:val="bottom"/>
            <w:hideMark/>
          </w:tcPr>
          <w:p w14:paraId="59CA243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17.4</w:t>
            </w:r>
          </w:p>
        </w:tc>
        <w:tc>
          <w:tcPr>
            <w:tcW w:w="136" w:type="pct"/>
            <w:tcBorders>
              <w:top w:val="nil"/>
              <w:left w:val="nil"/>
              <w:bottom w:val="nil"/>
              <w:right w:val="nil"/>
            </w:tcBorders>
            <w:shd w:val="clear" w:color="auto" w:fill="auto"/>
            <w:noWrap/>
            <w:vAlign w:val="bottom"/>
            <w:hideMark/>
          </w:tcPr>
          <w:p w14:paraId="3ADC0FB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2753F97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17.3</w:t>
            </w:r>
          </w:p>
        </w:tc>
        <w:tc>
          <w:tcPr>
            <w:tcW w:w="136" w:type="pct"/>
            <w:tcBorders>
              <w:top w:val="nil"/>
              <w:left w:val="nil"/>
              <w:bottom w:val="nil"/>
              <w:right w:val="nil"/>
            </w:tcBorders>
            <w:shd w:val="clear" w:color="auto" w:fill="auto"/>
            <w:noWrap/>
            <w:vAlign w:val="bottom"/>
            <w:hideMark/>
          </w:tcPr>
          <w:p w14:paraId="5B95E1C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2002AAA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17.8</w:t>
            </w:r>
          </w:p>
        </w:tc>
        <w:tc>
          <w:tcPr>
            <w:tcW w:w="136" w:type="pct"/>
            <w:tcBorders>
              <w:top w:val="nil"/>
              <w:left w:val="nil"/>
              <w:bottom w:val="nil"/>
              <w:right w:val="nil"/>
            </w:tcBorders>
            <w:shd w:val="clear" w:color="auto" w:fill="auto"/>
            <w:noWrap/>
            <w:vAlign w:val="bottom"/>
            <w:hideMark/>
          </w:tcPr>
          <w:p w14:paraId="215A17C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6" w:type="pct"/>
            <w:tcBorders>
              <w:top w:val="nil"/>
              <w:left w:val="nil"/>
              <w:bottom w:val="nil"/>
              <w:right w:val="nil"/>
            </w:tcBorders>
            <w:shd w:val="clear" w:color="auto" w:fill="auto"/>
            <w:noWrap/>
            <w:vAlign w:val="center"/>
            <w:hideMark/>
          </w:tcPr>
          <w:p w14:paraId="184EBC8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17.5</w:t>
            </w:r>
          </w:p>
        </w:tc>
        <w:tc>
          <w:tcPr>
            <w:tcW w:w="90" w:type="pct"/>
            <w:tcBorders>
              <w:top w:val="nil"/>
              <w:left w:val="nil"/>
              <w:bottom w:val="nil"/>
              <w:right w:val="nil"/>
            </w:tcBorders>
            <w:shd w:val="clear" w:color="auto" w:fill="auto"/>
            <w:noWrap/>
            <w:vAlign w:val="center"/>
            <w:hideMark/>
          </w:tcPr>
          <w:p w14:paraId="1FA275D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368F457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17.1</w:t>
            </w:r>
          </w:p>
        </w:tc>
        <w:tc>
          <w:tcPr>
            <w:tcW w:w="136" w:type="pct"/>
            <w:tcBorders>
              <w:top w:val="nil"/>
              <w:left w:val="nil"/>
              <w:bottom w:val="nil"/>
              <w:right w:val="nil"/>
            </w:tcBorders>
            <w:shd w:val="clear" w:color="auto" w:fill="auto"/>
            <w:noWrap/>
            <w:vAlign w:val="bottom"/>
            <w:hideMark/>
          </w:tcPr>
          <w:p w14:paraId="3168E54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2031E3F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17.2</w:t>
            </w:r>
          </w:p>
        </w:tc>
        <w:tc>
          <w:tcPr>
            <w:tcW w:w="136" w:type="pct"/>
            <w:tcBorders>
              <w:top w:val="nil"/>
              <w:left w:val="nil"/>
              <w:bottom w:val="nil"/>
              <w:right w:val="nil"/>
            </w:tcBorders>
            <w:shd w:val="clear" w:color="auto" w:fill="auto"/>
            <w:noWrap/>
            <w:vAlign w:val="bottom"/>
            <w:hideMark/>
          </w:tcPr>
          <w:p w14:paraId="350238A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52" w:type="pct"/>
            <w:tcBorders>
              <w:top w:val="nil"/>
              <w:left w:val="nil"/>
              <w:bottom w:val="nil"/>
              <w:right w:val="nil"/>
            </w:tcBorders>
            <w:shd w:val="clear" w:color="auto" w:fill="auto"/>
            <w:noWrap/>
            <w:vAlign w:val="bottom"/>
            <w:hideMark/>
          </w:tcPr>
          <w:p w14:paraId="3144C0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17.6</w:t>
            </w:r>
          </w:p>
        </w:tc>
        <w:tc>
          <w:tcPr>
            <w:tcW w:w="146" w:type="pct"/>
            <w:tcBorders>
              <w:top w:val="nil"/>
              <w:left w:val="nil"/>
              <w:bottom w:val="nil"/>
              <w:right w:val="nil"/>
            </w:tcBorders>
            <w:shd w:val="clear" w:color="auto" w:fill="auto"/>
            <w:noWrap/>
            <w:vAlign w:val="bottom"/>
            <w:hideMark/>
          </w:tcPr>
          <w:p w14:paraId="35A279C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3526E22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16.9</w:t>
            </w:r>
          </w:p>
        </w:tc>
        <w:tc>
          <w:tcPr>
            <w:tcW w:w="136" w:type="pct"/>
            <w:tcBorders>
              <w:top w:val="nil"/>
              <w:left w:val="nil"/>
              <w:bottom w:val="nil"/>
              <w:right w:val="nil"/>
            </w:tcBorders>
            <w:shd w:val="clear" w:color="auto" w:fill="auto"/>
            <w:noWrap/>
            <w:vAlign w:val="bottom"/>
            <w:hideMark/>
          </w:tcPr>
          <w:p w14:paraId="2FBF76C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5F3C33A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16.2</w:t>
            </w:r>
          </w:p>
        </w:tc>
        <w:tc>
          <w:tcPr>
            <w:tcW w:w="136" w:type="pct"/>
            <w:tcBorders>
              <w:top w:val="nil"/>
              <w:left w:val="nil"/>
              <w:bottom w:val="nil"/>
              <w:right w:val="nil"/>
            </w:tcBorders>
            <w:shd w:val="clear" w:color="auto" w:fill="auto"/>
            <w:noWrap/>
            <w:vAlign w:val="bottom"/>
            <w:hideMark/>
          </w:tcPr>
          <w:p w14:paraId="2396E14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6E4CC5B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16.1</w:t>
            </w:r>
          </w:p>
        </w:tc>
        <w:tc>
          <w:tcPr>
            <w:tcW w:w="136" w:type="pct"/>
            <w:tcBorders>
              <w:top w:val="nil"/>
              <w:left w:val="nil"/>
              <w:bottom w:val="nil"/>
              <w:right w:val="nil"/>
            </w:tcBorders>
            <w:shd w:val="clear" w:color="auto" w:fill="auto"/>
            <w:noWrap/>
            <w:vAlign w:val="bottom"/>
            <w:hideMark/>
          </w:tcPr>
          <w:p w14:paraId="124AF44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6089EAC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17.1</w:t>
            </w:r>
          </w:p>
        </w:tc>
        <w:tc>
          <w:tcPr>
            <w:tcW w:w="136" w:type="pct"/>
            <w:tcBorders>
              <w:top w:val="nil"/>
              <w:left w:val="nil"/>
              <w:bottom w:val="nil"/>
              <w:right w:val="nil"/>
            </w:tcBorders>
            <w:shd w:val="clear" w:color="auto" w:fill="auto"/>
            <w:noWrap/>
            <w:vAlign w:val="bottom"/>
            <w:hideMark/>
          </w:tcPr>
          <w:p w14:paraId="2600F43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0DA4C71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15.1</w:t>
            </w:r>
          </w:p>
        </w:tc>
        <w:tc>
          <w:tcPr>
            <w:tcW w:w="136" w:type="pct"/>
            <w:tcBorders>
              <w:top w:val="nil"/>
              <w:left w:val="nil"/>
              <w:bottom w:val="nil"/>
              <w:right w:val="nil"/>
            </w:tcBorders>
            <w:shd w:val="clear" w:color="auto" w:fill="auto"/>
            <w:noWrap/>
            <w:vAlign w:val="bottom"/>
            <w:hideMark/>
          </w:tcPr>
          <w:p w14:paraId="05771F5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r>
      <w:tr w:rsidR="00967214" w:rsidRPr="00967214" w14:paraId="595A69D4" w14:textId="77777777" w:rsidTr="00967214">
        <w:trPr>
          <w:trHeight w:val="300"/>
        </w:trPr>
        <w:tc>
          <w:tcPr>
            <w:tcW w:w="327" w:type="pct"/>
            <w:tcBorders>
              <w:top w:val="nil"/>
              <w:left w:val="nil"/>
              <w:bottom w:val="nil"/>
              <w:right w:val="nil"/>
            </w:tcBorders>
            <w:shd w:val="clear" w:color="auto" w:fill="auto"/>
            <w:noWrap/>
            <w:vAlign w:val="center"/>
            <w:hideMark/>
          </w:tcPr>
          <w:p w14:paraId="27A4C078"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MnO</w:t>
            </w:r>
          </w:p>
        </w:tc>
        <w:tc>
          <w:tcPr>
            <w:tcW w:w="204" w:type="pct"/>
            <w:tcBorders>
              <w:top w:val="nil"/>
              <w:left w:val="nil"/>
              <w:bottom w:val="nil"/>
              <w:right w:val="nil"/>
            </w:tcBorders>
            <w:shd w:val="clear" w:color="auto" w:fill="auto"/>
            <w:noWrap/>
            <w:vAlign w:val="bottom"/>
            <w:hideMark/>
          </w:tcPr>
          <w:p w14:paraId="7678800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136" w:type="pct"/>
            <w:tcBorders>
              <w:top w:val="nil"/>
              <w:left w:val="nil"/>
              <w:bottom w:val="nil"/>
              <w:right w:val="nil"/>
            </w:tcBorders>
            <w:shd w:val="clear" w:color="auto" w:fill="auto"/>
            <w:noWrap/>
            <w:vAlign w:val="bottom"/>
            <w:hideMark/>
          </w:tcPr>
          <w:p w14:paraId="07D379F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23" w:type="pct"/>
            <w:tcBorders>
              <w:top w:val="nil"/>
              <w:left w:val="nil"/>
              <w:bottom w:val="nil"/>
              <w:right w:val="nil"/>
            </w:tcBorders>
            <w:shd w:val="clear" w:color="auto" w:fill="auto"/>
            <w:noWrap/>
            <w:vAlign w:val="bottom"/>
            <w:hideMark/>
          </w:tcPr>
          <w:p w14:paraId="56FB874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136" w:type="pct"/>
            <w:tcBorders>
              <w:top w:val="nil"/>
              <w:left w:val="nil"/>
              <w:bottom w:val="nil"/>
              <w:right w:val="nil"/>
            </w:tcBorders>
            <w:shd w:val="clear" w:color="auto" w:fill="auto"/>
            <w:noWrap/>
            <w:vAlign w:val="bottom"/>
            <w:hideMark/>
          </w:tcPr>
          <w:p w14:paraId="0A8244C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42955BC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76EF118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4C8023E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6AEE809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6" w:type="pct"/>
            <w:tcBorders>
              <w:top w:val="nil"/>
              <w:left w:val="nil"/>
              <w:bottom w:val="nil"/>
              <w:right w:val="nil"/>
            </w:tcBorders>
            <w:shd w:val="clear" w:color="auto" w:fill="auto"/>
            <w:noWrap/>
            <w:vAlign w:val="center"/>
            <w:hideMark/>
          </w:tcPr>
          <w:p w14:paraId="5AC78CE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90" w:type="pct"/>
            <w:tcBorders>
              <w:top w:val="nil"/>
              <w:left w:val="nil"/>
              <w:bottom w:val="nil"/>
              <w:right w:val="nil"/>
            </w:tcBorders>
            <w:shd w:val="clear" w:color="auto" w:fill="auto"/>
            <w:noWrap/>
            <w:vAlign w:val="center"/>
            <w:hideMark/>
          </w:tcPr>
          <w:p w14:paraId="34762DF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34CD928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4D7C0BC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2ADDBCD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136" w:type="pct"/>
            <w:tcBorders>
              <w:top w:val="nil"/>
              <w:left w:val="nil"/>
              <w:bottom w:val="nil"/>
              <w:right w:val="nil"/>
            </w:tcBorders>
            <w:shd w:val="clear" w:color="auto" w:fill="auto"/>
            <w:noWrap/>
            <w:vAlign w:val="center"/>
            <w:hideMark/>
          </w:tcPr>
          <w:p w14:paraId="17A2909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52" w:type="pct"/>
            <w:tcBorders>
              <w:top w:val="nil"/>
              <w:left w:val="nil"/>
              <w:bottom w:val="nil"/>
              <w:right w:val="nil"/>
            </w:tcBorders>
            <w:shd w:val="clear" w:color="auto" w:fill="auto"/>
            <w:noWrap/>
            <w:vAlign w:val="bottom"/>
            <w:hideMark/>
          </w:tcPr>
          <w:p w14:paraId="5292072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146" w:type="pct"/>
            <w:tcBorders>
              <w:top w:val="nil"/>
              <w:left w:val="nil"/>
              <w:bottom w:val="nil"/>
              <w:right w:val="nil"/>
            </w:tcBorders>
            <w:shd w:val="clear" w:color="auto" w:fill="auto"/>
            <w:noWrap/>
            <w:vAlign w:val="center"/>
            <w:hideMark/>
          </w:tcPr>
          <w:p w14:paraId="472997F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21B7EA6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center"/>
            <w:hideMark/>
          </w:tcPr>
          <w:p w14:paraId="27A814B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762F52C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10883D4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55A4305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16DFB8D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1FC23F1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center"/>
            <w:hideMark/>
          </w:tcPr>
          <w:p w14:paraId="79FBE17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4F04CF2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068C8F1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r>
      <w:tr w:rsidR="00967214" w:rsidRPr="00967214" w14:paraId="7E3D9E0A" w14:textId="77777777" w:rsidTr="00967214">
        <w:trPr>
          <w:trHeight w:val="300"/>
        </w:trPr>
        <w:tc>
          <w:tcPr>
            <w:tcW w:w="327" w:type="pct"/>
            <w:tcBorders>
              <w:top w:val="nil"/>
              <w:left w:val="nil"/>
              <w:bottom w:val="nil"/>
              <w:right w:val="nil"/>
            </w:tcBorders>
            <w:shd w:val="clear" w:color="auto" w:fill="auto"/>
            <w:noWrap/>
            <w:vAlign w:val="center"/>
            <w:hideMark/>
          </w:tcPr>
          <w:p w14:paraId="7C9AC93F"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FeO</w:t>
            </w:r>
          </w:p>
        </w:tc>
        <w:tc>
          <w:tcPr>
            <w:tcW w:w="204" w:type="pct"/>
            <w:tcBorders>
              <w:top w:val="nil"/>
              <w:left w:val="nil"/>
              <w:bottom w:val="nil"/>
              <w:right w:val="nil"/>
            </w:tcBorders>
            <w:shd w:val="clear" w:color="auto" w:fill="auto"/>
            <w:noWrap/>
            <w:vAlign w:val="bottom"/>
            <w:hideMark/>
          </w:tcPr>
          <w:p w14:paraId="592770E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7.9</w:t>
            </w:r>
          </w:p>
        </w:tc>
        <w:tc>
          <w:tcPr>
            <w:tcW w:w="136" w:type="pct"/>
            <w:tcBorders>
              <w:top w:val="nil"/>
              <w:left w:val="nil"/>
              <w:bottom w:val="nil"/>
              <w:right w:val="nil"/>
            </w:tcBorders>
            <w:shd w:val="clear" w:color="auto" w:fill="auto"/>
            <w:noWrap/>
            <w:vAlign w:val="bottom"/>
            <w:hideMark/>
          </w:tcPr>
          <w:p w14:paraId="5923CB1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23" w:type="pct"/>
            <w:tcBorders>
              <w:top w:val="nil"/>
              <w:left w:val="nil"/>
              <w:bottom w:val="nil"/>
              <w:right w:val="nil"/>
            </w:tcBorders>
            <w:shd w:val="clear" w:color="auto" w:fill="auto"/>
            <w:noWrap/>
            <w:vAlign w:val="bottom"/>
            <w:hideMark/>
          </w:tcPr>
          <w:p w14:paraId="4D33753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7.8</w:t>
            </w:r>
          </w:p>
        </w:tc>
        <w:tc>
          <w:tcPr>
            <w:tcW w:w="136" w:type="pct"/>
            <w:tcBorders>
              <w:top w:val="nil"/>
              <w:left w:val="nil"/>
              <w:bottom w:val="nil"/>
              <w:right w:val="nil"/>
            </w:tcBorders>
            <w:shd w:val="clear" w:color="auto" w:fill="auto"/>
            <w:noWrap/>
            <w:vAlign w:val="bottom"/>
            <w:hideMark/>
          </w:tcPr>
          <w:p w14:paraId="4A24B7D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7DAD8C6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8.8</w:t>
            </w:r>
          </w:p>
        </w:tc>
        <w:tc>
          <w:tcPr>
            <w:tcW w:w="136" w:type="pct"/>
            <w:tcBorders>
              <w:top w:val="nil"/>
              <w:left w:val="nil"/>
              <w:bottom w:val="nil"/>
              <w:right w:val="nil"/>
            </w:tcBorders>
            <w:shd w:val="clear" w:color="auto" w:fill="auto"/>
            <w:noWrap/>
            <w:vAlign w:val="bottom"/>
            <w:hideMark/>
          </w:tcPr>
          <w:p w14:paraId="05F0D27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02C7FB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w:t>
            </w:r>
          </w:p>
        </w:tc>
        <w:tc>
          <w:tcPr>
            <w:tcW w:w="136" w:type="pct"/>
            <w:tcBorders>
              <w:top w:val="nil"/>
              <w:left w:val="nil"/>
              <w:bottom w:val="nil"/>
              <w:right w:val="nil"/>
            </w:tcBorders>
            <w:shd w:val="clear" w:color="auto" w:fill="auto"/>
            <w:noWrap/>
            <w:vAlign w:val="bottom"/>
            <w:hideMark/>
          </w:tcPr>
          <w:p w14:paraId="4D10BAC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36" w:type="pct"/>
            <w:tcBorders>
              <w:top w:val="nil"/>
              <w:left w:val="nil"/>
              <w:bottom w:val="nil"/>
              <w:right w:val="nil"/>
            </w:tcBorders>
            <w:shd w:val="clear" w:color="auto" w:fill="auto"/>
            <w:noWrap/>
            <w:vAlign w:val="center"/>
            <w:hideMark/>
          </w:tcPr>
          <w:p w14:paraId="15DA449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8.6</w:t>
            </w:r>
          </w:p>
        </w:tc>
        <w:tc>
          <w:tcPr>
            <w:tcW w:w="90" w:type="pct"/>
            <w:tcBorders>
              <w:top w:val="nil"/>
              <w:left w:val="nil"/>
              <w:bottom w:val="nil"/>
              <w:right w:val="nil"/>
            </w:tcBorders>
            <w:shd w:val="clear" w:color="auto" w:fill="auto"/>
            <w:noWrap/>
            <w:vAlign w:val="center"/>
            <w:hideMark/>
          </w:tcPr>
          <w:p w14:paraId="7185BBE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32867A7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7.7</w:t>
            </w:r>
          </w:p>
        </w:tc>
        <w:tc>
          <w:tcPr>
            <w:tcW w:w="136" w:type="pct"/>
            <w:tcBorders>
              <w:top w:val="nil"/>
              <w:left w:val="nil"/>
              <w:bottom w:val="nil"/>
              <w:right w:val="nil"/>
            </w:tcBorders>
            <w:shd w:val="clear" w:color="auto" w:fill="auto"/>
            <w:noWrap/>
            <w:vAlign w:val="bottom"/>
            <w:hideMark/>
          </w:tcPr>
          <w:p w14:paraId="6C14F04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7A52FE2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7.6</w:t>
            </w:r>
          </w:p>
        </w:tc>
        <w:tc>
          <w:tcPr>
            <w:tcW w:w="136" w:type="pct"/>
            <w:tcBorders>
              <w:top w:val="nil"/>
              <w:left w:val="nil"/>
              <w:bottom w:val="nil"/>
              <w:right w:val="nil"/>
            </w:tcBorders>
            <w:shd w:val="clear" w:color="auto" w:fill="auto"/>
            <w:noWrap/>
            <w:vAlign w:val="bottom"/>
            <w:hideMark/>
          </w:tcPr>
          <w:p w14:paraId="5CEE06A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52" w:type="pct"/>
            <w:tcBorders>
              <w:top w:val="nil"/>
              <w:left w:val="nil"/>
              <w:bottom w:val="nil"/>
              <w:right w:val="nil"/>
            </w:tcBorders>
            <w:shd w:val="clear" w:color="auto" w:fill="auto"/>
            <w:noWrap/>
            <w:vAlign w:val="bottom"/>
            <w:hideMark/>
          </w:tcPr>
          <w:p w14:paraId="3281E35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7.5</w:t>
            </w:r>
          </w:p>
        </w:tc>
        <w:tc>
          <w:tcPr>
            <w:tcW w:w="146" w:type="pct"/>
            <w:tcBorders>
              <w:top w:val="nil"/>
              <w:left w:val="nil"/>
              <w:bottom w:val="nil"/>
              <w:right w:val="nil"/>
            </w:tcBorders>
            <w:shd w:val="clear" w:color="auto" w:fill="auto"/>
            <w:noWrap/>
            <w:vAlign w:val="bottom"/>
            <w:hideMark/>
          </w:tcPr>
          <w:p w14:paraId="3BFBAD6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4137A9E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7.9</w:t>
            </w:r>
          </w:p>
        </w:tc>
        <w:tc>
          <w:tcPr>
            <w:tcW w:w="136" w:type="pct"/>
            <w:tcBorders>
              <w:top w:val="nil"/>
              <w:left w:val="nil"/>
              <w:bottom w:val="nil"/>
              <w:right w:val="nil"/>
            </w:tcBorders>
            <w:shd w:val="clear" w:color="auto" w:fill="auto"/>
            <w:noWrap/>
            <w:vAlign w:val="bottom"/>
            <w:hideMark/>
          </w:tcPr>
          <w:p w14:paraId="0F7E9F5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07B3E04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9.0</w:t>
            </w:r>
          </w:p>
        </w:tc>
        <w:tc>
          <w:tcPr>
            <w:tcW w:w="136" w:type="pct"/>
            <w:tcBorders>
              <w:top w:val="nil"/>
              <w:left w:val="nil"/>
              <w:bottom w:val="nil"/>
              <w:right w:val="nil"/>
            </w:tcBorders>
            <w:shd w:val="clear" w:color="auto" w:fill="auto"/>
            <w:noWrap/>
            <w:vAlign w:val="bottom"/>
            <w:hideMark/>
          </w:tcPr>
          <w:p w14:paraId="1AB0514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7929B9F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9.0</w:t>
            </w:r>
          </w:p>
        </w:tc>
        <w:tc>
          <w:tcPr>
            <w:tcW w:w="136" w:type="pct"/>
            <w:tcBorders>
              <w:top w:val="nil"/>
              <w:left w:val="nil"/>
              <w:bottom w:val="nil"/>
              <w:right w:val="nil"/>
            </w:tcBorders>
            <w:shd w:val="clear" w:color="auto" w:fill="auto"/>
            <w:noWrap/>
            <w:vAlign w:val="bottom"/>
            <w:hideMark/>
          </w:tcPr>
          <w:p w14:paraId="50D0685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664088A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8.0</w:t>
            </w:r>
          </w:p>
        </w:tc>
        <w:tc>
          <w:tcPr>
            <w:tcW w:w="136" w:type="pct"/>
            <w:tcBorders>
              <w:top w:val="nil"/>
              <w:left w:val="nil"/>
              <w:bottom w:val="nil"/>
              <w:right w:val="nil"/>
            </w:tcBorders>
            <w:shd w:val="clear" w:color="auto" w:fill="auto"/>
            <w:noWrap/>
            <w:vAlign w:val="bottom"/>
            <w:hideMark/>
          </w:tcPr>
          <w:p w14:paraId="54C6885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5F68609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10.1</w:t>
            </w:r>
          </w:p>
        </w:tc>
        <w:tc>
          <w:tcPr>
            <w:tcW w:w="136" w:type="pct"/>
            <w:tcBorders>
              <w:top w:val="nil"/>
              <w:left w:val="nil"/>
              <w:bottom w:val="nil"/>
              <w:right w:val="nil"/>
            </w:tcBorders>
            <w:shd w:val="clear" w:color="auto" w:fill="auto"/>
            <w:noWrap/>
            <w:vAlign w:val="bottom"/>
            <w:hideMark/>
          </w:tcPr>
          <w:p w14:paraId="424F7B6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r>
      <w:tr w:rsidR="00967214" w:rsidRPr="00967214" w14:paraId="5A61648C" w14:textId="77777777" w:rsidTr="00967214">
        <w:trPr>
          <w:trHeight w:val="300"/>
        </w:trPr>
        <w:tc>
          <w:tcPr>
            <w:tcW w:w="327" w:type="pct"/>
            <w:tcBorders>
              <w:top w:val="nil"/>
              <w:left w:val="nil"/>
              <w:bottom w:val="nil"/>
              <w:right w:val="nil"/>
            </w:tcBorders>
            <w:shd w:val="clear" w:color="auto" w:fill="auto"/>
            <w:noWrap/>
            <w:vAlign w:val="center"/>
            <w:hideMark/>
          </w:tcPr>
          <w:p w14:paraId="1CE4E95C"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MgO</w:t>
            </w:r>
          </w:p>
        </w:tc>
        <w:tc>
          <w:tcPr>
            <w:tcW w:w="204" w:type="pct"/>
            <w:tcBorders>
              <w:top w:val="nil"/>
              <w:left w:val="nil"/>
              <w:bottom w:val="nil"/>
              <w:right w:val="nil"/>
            </w:tcBorders>
            <w:shd w:val="clear" w:color="auto" w:fill="auto"/>
            <w:noWrap/>
            <w:vAlign w:val="bottom"/>
            <w:hideMark/>
          </w:tcPr>
          <w:p w14:paraId="14D92E7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8.1</w:t>
            </w:r>
          </w:p>
        </w:tc>
        <w:tc>
          <w:tcPr>
            <w:tcW w:w="136" w:type="pct"/>
            <w:tcBorders>
              <w:top w:val="nil"/>
              <w:left w:val="nil"/>
              <w:bottom w:val="nil"/>
              <w:right w:val="nil"/>
            </w:tcBorders>
            <w:shd w:val="clear" w:color="auto" w:fill="auto"/>
            <w:noWrap/>
            <w:vAlign w:val="bottom"/>
            <w:hideMark/>
          </w:tcPr>
          <w:p w14:paraId="6AD9307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23" w:type="pct"/>
            <w:tcBorders>
              <w:top w:val="nil"/>
              <w:left w:val="nil"/>
              <w:bottom w:val="nil"/>
              <w:right w:val="nil"/>
            </w:tcBorders>
            <w:shd w:val="clear" w:color="auto" w:fill="auto"/>
            <w:noWrap/>
            <w:vAlign w:val="bottom"/>
            <w:hideMark/>
          </w:tcPr>
          <w:p w14:paraId="2926761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8.1</w:t>
            </w:r>
          </w:p>
        </w:tc>
        <w:tc>
          <w:tcPr>
            <w:tcW w:w="136" w:type="pct"/>
            <w:tcBorders>
              <w:top w:val="nil"/>
              <w:left w:val="nil"/>
              <w:bottom w:val="nil"/>
              <w:right w:val="nil"/>
            </w:tcBorders>
            <w:shd w:val="clear" w:color="auto" w:fill="auto"/>
            <w:noWrap/>
            <w:vAlign w:val="bottom"/>
            <w:hideMark/>
          </w:tcPr>
          <w:p w14:paraId="438D373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04" w:type="pct"/>
            <w:tcBorders>
              <w:top w:val="nil"/>
              <w:left w:val="nil"/>
              <w:bottom w:val="nil"/>
              <w:right w:val="nil"/>
            </w:tcBorders>
            <w:shd w:val="clear" w:color="auto" w:fill="auto"/>
            <w:noWrap/>
            <w:vAlign w:val="bottom"/>
            <w:hideMark/>
          </w:tcPr>
          <w:p w14:paraId="1B8CBB5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8.1</w:t>
            </w:r>
          </w:p>
        </w:tc>
        <w:tc>
          <w:tcPr>
            <w:tcW w:w="136" w:type="pct"/>
            <w:tcBorders>
              <w:top w:val="nil"/>
              <w:left w:val="nil"/>
              <w:bottom w:val="nil"/>
              <w:right w:val="nil"/>
            </w:tcBorders>
            <w:shd w:val="clear" w:color="auto" w:fill="auto"/>
            <w:noWrap/>
            <w:vAlign w:val="bottom"/>
            <w:hideMark/>
          </w:tcPr>
          <w:p w14:paraId="00FB911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4DFAA1D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8.3</w:t>
            </w:r>
          </w:p>
        </w:tc>
        <w:tc>
          <w:tcPr>
            <w:tcW w:w="136" w:type="pct"/>
            <w:tcBorders>
              <w:top w:val="nil"/>
              <w:left w:val="nil"/>
              <w:bottom w:val="nil"/>
              <w:right w:val="nil"/>
            </w:tcBorders>
            <w:shd w:val="clear" w:color="auto" w:fill="auto"/>
            <w:noWrap/>
            <w:vAlign w:val="bottom"/>
            <w:hideMark/>
          </w:tcPr>
          <w:p w14:paraId="232041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6" w:type="pct"/>
            <w:tcBorders>
              <w:top w:val="nil"/>
              <w:left w:val="nil"/>
              <w:bottom w:val="nil"/>
              <w:right w:val="nil"/>
            </w:tcBorders>
            <w:shd w:val="clear" w:color="auto" w:fill="auto"/>
            <w:noWrap/>
            <w:vAlign w:val="center"/>
            <w:hideMark/>
          </w:tcPr>
          <w:p w14:paraId="2786427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9.5</w:t>
            </w:r>
          </w:p>
        </w:tc>
        <w:tc>
          <w:tcPr>
            <w:tcW w:w="90" w:type="pct"/>
            <w:tcBorders>
              <w:top w:val="nil"/>
              <w:left w:val="nil"/>
              <w:bottom w:val="nil"/>
              <w:right w:val="nil"/>
            </w:tcBorders>
            <w:shd w:val="clear" w:color="auto" w:fill="auto"/>
            <w:noWrap/>
            <w:vAlign w:val="center"/>
            <w:hideMark/>
          </w:tcPr>
          <w:p w14:paraId="64B12E3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7C46E36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7.9</w:t>
            </w:r>
          </w:p>
        </w:tc>
        <w:tc>
          <w:tcPr>
            <w:tcW w:w="136" w:type="pct"/>
            <w:tcBorders>
              <w:top w:val="nil"/>
              <w:left w:val="nil"/>
              <w:bottom w:val="nil"/>
              <w:right w:val="nil"/>
            </w:tcBorders>
            <w:shd w:val="clear" w:color="auto" w:fill="auto"/>
            <w:noWrap/>
            <w:vAlign w:val="bottom"/>
            <w:hideMark/>
          </w:tcPr>
          <w:p w14:paraId="468E9DB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6845516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8.6</w:t>
            </w:r>
          </w:p>
        </w:tc>
        <w:tc>
          <w:tcPr>
            <w:tcW w:w="136" w:type="pct"/>
            <w:tcBorders>
              <w:top w:val="nil"/>
              <w:left w:val="nil"/>
              <w:bottom w:val="nil"/>
              <w:right w:val="nil"/>
            </w:tcBorders>
            <w:shd w:val="clear" w:color="auto" w:fill="auto"/>
            <w:noWrap/>
            <w:vAlign w:val="bottom"/>
            <w:hideMark/>
          </w:tcPr>
          <w:p w14:paraId="46514AD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52" w:type="pct"/>
            <w:tcBorders>
              <w:top w:val="nil"/>
              <w:left w:val="nil"/>
              <w:bottom w:val="nil"/>
              <w:right w:val="nil"/>
            </w:tcBorders>
            <w:shd w:val="clear" w:color="auto" w:fill="auto"/>
            <w:noWrap/>
            <w:vAlign w:val="bottom"/>
            <w:hideMark/>
          </w:tcPr>
          <w:p w14:paraId="37B0F33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7.6</w:t>
            </w:r>
          </w:p>
        </w:tc>
        <w:tc>
          <w:tcPr>
            <w:tcW w:w="146" w:type="pct"/>
            <w:tcBorders>
              <w:top w:val="nil"/>
              <w:left w:val="nil"/>
              <w:bottom w:val="nil"/>
              <w:right w:val="nil"/>
            </w:tcBorders>
            <w:shd w:val="clear" w:color="auto" w:fill="auto"/>
            <w:noWrap/>
            <w:vAlign w:val="bottom"/>
            <w:hideMark/>
          </w:tcPr>
          <w:p w14:paraId="1A6E9DE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31" w:type="pct"/>
            <w:tcBorders>
              <w:top w:val="nil"/>
              <w:left w:val="nil"/>
              <w:bottom w:val="nil"/>
              <w:right w:val="nil"/>
            </w:tcBorders>
            <w:shd w:val="clear" w:color="auto" w:fill="auto"/>
            <w:noWrap/>
            <w:vAlign w:val="bottom"/>
            <w:hideMark/>
          </w:tcPr>
          <w:p w14:paraId="20AB9CF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8.2</w:t>
            </w:r>
          </w:p>
        </w:tc>
        <w:tc>
          <w:tcPr>
            <w:tcW w:w="136" w:type="pct"/>
            <w:tcBorders>
              <w:top w:val="nil"/>
              <w:left w:val="nil"/>
              <w:bottom w:val="nil"/>
              <w:right w:val="nil"/>
            </w:tcBorders>
            <w:shd w:val="clear" w:color="auto" w:fill="auto"/>
            <w:noWrap/>
            <w:vAlign w:val="bottom"/>
            <w:hideMark/>
          </w:tcPr>
          <w:p w14:paraId="72B1ED4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2EE96B9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7.9</w:t>
            </w:r>
          </w:p>
        </w:tc>
        <w:tc>
          <w:tcPr>
            <w:tcW w:w="136" w:type="pct"/>
            <w:tcBorders>
              <w:top w:val="nil"/>
              <w:left w:val="nil"/>
              <w:bottom w:val="nil"/>
              <w:right w:val="nil"/>
            </w:tcBorders>
            <w:shd w:val="clear" w:color="auto" w:fill="auto"/>
            <w:noWrap/>
            <w:vAlign w:val="bottom"/>
            <w:hideMark/>
          </w:tcPr>
          <w:p w14:paraId="4BD0E70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283CD93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7.6</w:t>
            </w:r>
          </w:p>
        </w:tc>
        <w:tc>
          <w:tcPr>
            <w:tcW w:w="136" w:type="pct"/>
            <w:tcBorders>
              <w:top w:val="nil"/>
              <w:left w:val="nil"/>
              <w:bottom w:val="nil"/>
              <w:right w:val="nil"/>
            </w:tcBorders>
            <w:shd w:val="clear" w:color="auto" w:fill="auto"/>
            <w:noWrap/>
            <w:vAlign w:val="bottom"/>
            <w:hideMark/>
          </w:tcPr>
          <w:p w14:paraId="416586E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6EF5B5D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8.4</w:t>
            </w:r>
          </w:p>
        </w:tc>
        <w:tc>
          <w:tcPr>
            <w:tcW w:w="136" w:type="pct"/>
            <w:tcBorders>
              <w:top w:val="nil"/>
              <w:left w:val="nil"/>
              <w:bottom w:val="nil"/>
              <w:right w:val="nil"/>
            </w:tcBorders>
            <w:shd w:val="clear" w:color="auto" w:fill="auto"/>
            <w:noWrap/>
            <w:vAlign w:val="bottom"/>
            <w:hideMark/>
          </w:tcPr>
          <w:p w14:paraId="634DFC7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31" w:type="pct"/>
            <w:tcBorders>
              <w:top w:val="nil"/>
              <w:left w:val="nil"/>
              <w:bottom w:val="nil"/>
              <w:right w:val="nil"/>
            </w:tcBorders>
            <w:shd w:val="clear" w:color="auto" w:fill="auto"/>
            <w:noWrap/>
            <w:vAlign w:val="bottom"/>
            <w:hideMark/>
          </w:tcPr>
          <w:p w14:paraId="41DAD80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6.5</w:t>
            </w:r>
          </w:p>
        </w:tc>
        <w:tc>
          <w:tcPr>
            <w:tcW w:w="136" w:type="pct"/>
            <w:tcBorders>
              <w:top w:val="nil"/>
              <w:left w:val="nil"/>
              <w:bottom w:val="nil"/>
              <w:right w:val="nil"/>
            </w:tcBorders>
            <w:shd w:val="clear" w:color="auto" w:fill="auto"/>
            <w:noWrap/>
            <w:vAlign w:val="bottom"/>
            <w:hideMark/>
          </w:tcPr>
          <w:p w14:paraId="039DDE2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r>
      <w:tr w:rsidR="00967214" w:rsidRPr="00967214" w14:paraId="27FE5C19" w14:textId="77777777" w:rsidTr="00967214">
        <w:trPr>
          <w:trHeight w:val="300"/>
        </w:trPr>
        <w:tc>
          <w:tcPr>
            <w:tcW w:w="327" w:type="pct"/>
            <w:tcBorders>
              <w:top w:val="nil"/>
              <w:left w:val="nil"/>
              <w:bottom w:val="nil"/>
              <w:right w:val="nil"/>
            </w:tcBorders>
            <w:shd w:val="clear" w:color="auto" w:fill="auto"/>
            <w:noWrap/>
            <w:vAlign w:val="center"/>
            <w:hideMark/>
          </w:tcPr>
          <w:p w14:paraId="655B46E4"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CaO</w:t>
            </w:r>
          </w:p>
        </w:tc>
        <w:tc>
          <w:tcPr>
            <w:tcW w:w="204" w:type="pct"/>
            <w:tcBorders>
              <w:top w:val="nil"/>
              <w:left w:val="nil"/>
              <w:bottom w:val="nil"/>
              <w:right w:val="nil"/>
            </w:tcBorders>
            <w:shd w:val="clear" w:color="auto" w:fill="auto"/>
            <w:noWrap/>
            <w:vAlign w:val="bottom"/>
            <w:hideMark/>
          </w:tcPr>
          <w:p w14:paraId="79BB989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10.2</w:t>
            </w:r>
          </w:p>
        </w:tc>
        <w:tc>
          <w:tcPr>
            <w:tcW w:w="136" w:type="pct"/>
            <w:tcBorders>
              <w:top w:val="nil"/>
              <w:left w:val="nil"/>
              <w:bottom w:val="nil"/>
              <w:right w:val="nil"/>
            </w:tcBorders>
            <w:shd w:val="clear" w:color="auto" w:fill="auto"/>
            <w:noWrap/>
            <w:vAlign w:val="bottom"/>
            <w:hideMark/>
          </w:tcPr>
          <w:p w14:paraId="2CD95A5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23" w:type="pct"/>
            <w:tcBorders>
              <w:top w:val="nil"/>
              <w:left w:val="nil"/>
              <w:bottom w:val="nil"/>
              <w:right w:val="nil"/>
            </w:tcBorders>
            <w:shd w:val="clear" w:color="auto" w:fill="auto"/>
            <w:noWrap/>
            <w:vAlign w:val="bottom"/>
            <w:hideMark/>
          </w:tcPr>
          <w:p w14:paraId="296C20D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10.4</w:t>
            </w:r>
          </w:p>
        </w:tc>
        <w:tc>
          <w:tcPr>
            <w:tcW w:w="136" w:type="pct"/>
            <w:tcBorders>
              <w:top w:val="nil"/>
              <w:left w:val="nil"/>
              <w:bottom w:val="nil"/>
              <w:right w:val="nil"/>
            </w:tcBorders>
            <w:shd w:val="clear" w:color="auto" w:fill="auto"/>
            <w:noWrap/>
            <w:vAlign w:val="bottom"/>
            <w:hideMark/>
          </w:tcPr>
          <w:p w14:paraId="3433978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3A496A0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10.4</w:t>
            </w:r>
          </w:p>
        </w:tc>
        <w:tc>
          <w:tcPr>
            <w:tcW w:w="136" w:type="pct"/>
            <w:tcBorders>
              <w:top w:val="nil"/>
              <w:left w:val="nil"/>
              <w:bottom w:val="nil"/>
              <w:right w:val="nil"/>
            </w:tcBorders>
            <w:shd w:val="clear" w:color="auto" w:fill="auto"/>
            <w:noWrap/>
            <w:vAlign w:val="bottom"/>
            <w:hideMark/>
          </w:tcPr>
          <w:p w14:paraId="2D74EFF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04" w:type="pct"/>
            <w:tcBorders>
              <w:top w:val="nil"/>
              <w:left w:val="nil"/>
              <w:bottom w:val="nil"/>
              <w:right w:val="nil"/>
            </w:tcBorders>
            <w:shd w:val="clear" w:color="auto" w:fill="auto"/>
            <w:noWrap/>
            <w:vAlign w:val="bottom"/>
            <w:hideMark/>
          </w:tcPr>
          <w:p w14:paraId="7A26F91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10.4</w:t>
            </w:r>
          </w:p>
        </w:tc>
        <w:tc>
          <w:tcPr>
            <w:tcW w:w="136" w:type="pct"/>
            <w:tcBorders>
              <w:top w:val="nil"/>
              <w:left w:val="nil"/>
              <w:bottom w:val="nil"/>
              <w:right w:val="nil"/>
            </w:tcBorders>
            <w:shd w:val="clear" w:color="auto" w:fill="auto"/>
            <w:noWrap/>
            <w:vAlign w:val="bottom"/>
            <w:hideMark/>
          </w:tcPr>
          <w:p w14:paraId="442F258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6" w:type="pct"/>
            <w:tcBorders>
              <w:top w:val="nil"/>
              <w:left w:val="nil"/>
              <w:bottom w:val="nil"/>
              <w:right w:val="nil"/>
            </w:tcBorders>
            <w:shd w:val="clear" w:color="auto" w:fill="auto"/>
            <w:noWrap/>
            <w:vAlign w:val="center"/>
            <w:hideMark/>
          </w:tcPr>
          <w:p w14:paraId="5FBF5FD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10.4</w:t>
            </w:r>
          </w:p>
        </w:tc>
        <w:tc>
          <w:tcPr>
            <w:tcW w:w="90" w:type="pct"/>
            <w:tcBorders>
              <w:top w:val="nil"/>
              <w:left w:val="nil"/>
              <w:bottom w:val="nil"/>
              <w:right w:val="nil"/>
            </w:tcBorders>
            <w:shd w:val="clear" w:color="auto" w:fill="auto"/>
            <w:noWrap/>
            <w:vAlign w:val="center"/>
            <w:hideMark/>
          </w:tcPr>
          <w:p w14:paraId="4BCBC27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62F064D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10.3</w:t>
            </w:r>
          </w:p>
        </w:tc>
        <w:tc>
          <w:tcPr>
            <w:tcW w:w="136" w:type="pct"/>
            <w:tcBorders>
              <w:top w:val="nil"/>
              <w:left w:val="nil"/>
              <w:bottom w:val="nil"/>
              <w:right w:val="nil"/>
            </w:tcBorders>
            <w:shd w:val="clear" w:color="auto" w:fill="auto"/>
            <w:noWrap/>
            <w:vAlign w:val="bottom"/>
            <w:hideMark/>
          </w:tcPr>
          <w:p w14:paraId="3B5A420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10A32AC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9.8</w:t>
            </w:r>
          </w:p>
        </w:tc>
        <w:tc>
          <w:tcPr>
            <w:tcW w:w="136" w:type="pct"/>
            <w:tcBorders>
              <w:top w:val="nil"/>
              <w:left w:val="nil"/>
              <w:bottom w:val="nil"/>
              <w:right w:val="nil"/>
            </w:tcBorders>
            <w:shd w:val="clear" w:color="auto" w:fill="auto"/>
            <w:noWrap/>
            <w:vAlign w:val="bottom"/>
            <w:hideMark/>
          </w:tcPr>
          <w:p w14:paraId="5EAC1AC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52" w:type="pct"/>
            <w:tcBorders>
              <w:top w:val="nil"/>
              <w:left w:val="nil"/>
              <w:bottom w:val="nil"/>
              <w:right w:val="nil"/>
            </w:tcBorders>
            <w:shd w:val="clear" w:color="auto" w:fill="auto"/>
            <w:noWrap/>
            <w:vAlign w:val="bottom"/>
            <w:hideMark/>
          </w:tcPr>
          <w:p w14:paraId="0B8B6CD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10.2</w:t>
            </w:r>
          </w:p>
        </w:tc>
        <w:tc>
          <w:tcPr>
            <w:tcW w:w="146" w:type="pct"/>
            <w:tcBorders>
              <w:top w:val="nil"/>
              <w:left w:val="nil"/>
              <w:bottom w:val="nil"/>
              <w:right w:val="nil"/>
            </w:tcBorders>
            <w:shd w:val="clear" w:color="auto" w:fill="auto"/>
            <w:noWrap/>
            <w:vAlign w:val="bottom"/>
            <w:hideMark/>
          </w:tcPr>
          <w:p w14:paraId="7EDBC20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4FAEA64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10.2</w:t>
            </w:r>
          </w:p>
        </w:tc>
        <w:tc>
          <w:tcPr>
            <w:tcW w:w="136" w:type="pct"/>
            <w:tcBorders>
              <w:top w:val="nil"/>
              <w:left w:val="nil"/>
              <w:bottom w:val="nil"/>
              <w:right w:val="nil"/>
            </w:tcBorders>
            <w:shd w:val="clear" w:color="auto" w:fill="auto"/>
            <w:noWrap/>
            <w:vAlign w:val="bottom"/>
            <w:hideMark/>
          </w:tcPr>
          <w:p w14:paraId="7A2D229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3094FB4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9.8</w:t>
            </w:r>
          </w:p>
        </w:tc>
        <w:tc>
          <w:tcPr>
            <w:tcW w:w="136" w:type="pct"/>
            <w:tcBorders>
              <w:top w:val="nil"/>
              <w:left w:val="nil"/>
              <w:bottom w:val="nil"/>
              <w:right w:val="nil"/>
            </w:tcBorders>
            <w:shd w:val="clear" w:color="auto" w:fill="auto"/>
            <w:noWrap/>
            <w:vAlign w:val="bottom"/>
            <w:hideMark/>
          </w:tcPr>
          <w:p w14:paraId="5E78DFE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5E31BC1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9.8</w:t>
            </w:r>
          </w:p>
        </w:tc>
        <w:tc>
          <w:tcPr>
            <w:tcW w:w="136" w:type="pct"/>
            <w:tcBorders>
              <w:top w:val="nil"/>
              <w:left w:val="nil"/>
              <w:bottom w:val="nil"/>
              <w:right w:val="nil"/>
            </w:tcBorders>
            <w:shd w:val="clear" w:color="auto" w:fill="auto"/>
            <w:noWrap/>
            <w:vAlign w:val="bottom"/>
            <w:hideMark/>
          </w:tcPr>
          <w:p w14:paraId="35089F4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26D3757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10.0</w:t>
            </w:r>
          </w:p>
        </w:tc>
        <w:tc>
          <w:tcPr>
            <w:tcW w:w="136" w:type="pct"/>
            <w:tcBorders>
              <w:top w:val="nil"/>
              <w:left w:val="nil"/>
              <w:bottom w:val="nil"/>
              <w:right w:val="nil"/>
            </w:tcBorders>
            <w:shd w:val="clear" w:color="auto" w:fill="auto"/>
            <w:noWrap/>
            <w:vAlign w:val="bottom"/>
            <w:hideMark/>
          </w:tcPr>
          <w:p w14:paraId="194DDD5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5B3182F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9.4</w:t>
            </w:r>
          </w:p>
        </w:tc>
        <w:tc>
          <w:tcPr>
            <w:tcW w:w="136" w:type="pct"/>
            <w:tcBorders>
              <w:top w:val="nil"/>
              <w:left w:val="nil"/>
              <w:bottom w:val="nil"/>
              <w:right w:val="nil"/>
            </w:tcBorders>
            <w:shd w:val="clear" w:color="auto" w:fill="auto"/>
            <w:noWrap/>
            <w:vAlign w:val="bottom"/>
            <w:hideMark/>
          </w:tcPr>
          <w:p w14:paraId="157AEDB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r>
      <w:tr w:rsidR="00967214" w:rsidRPr="00967214" w14:paraId="4F207504" w14:textId="77777777" w:rsidTr="00967214">
        <w:trPr>
          <w:trHeight w:val="300"/>
        </w:trPr>
        <w:tc>
          <w:tcPr>
            <w:tcW w:w="327" w:type="pct"/>
            <w:tcBorders>
              <w:top w:val="nil"/>
              <w:left w:val="nil"/>
              <w:bottom w:val="nil"/>
              <w:right w:val="nil"/>
            </w:tcBorders>
            <w:shd w:val="clear" w:color="auto" w:fill="auto"/>
            <w:noWrap/>
            <w:vAlign w:val="center"/>
            <w:hideMark/>
          </w:tcPr>
          <w:p w14:paraId="64200405"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Na</w:t>
            </w:r>
            <w:r w:rsidRPr="00967214">
              <w:rPr>
                <w:rFonts w:eastAsia="Times New Roman"/>
                <w:sz w:val="16"/>
                <w:szCs w:val="16"/>
                <w:vertAlign w:val="subscript"/>
                <w:lang w:val="fr-FR" w:eastAsia="fr-FR"/>
              </w:rPr>
              <w:t>2</w:t>
            </w:r>
            <w:r w:rsidRPr="00967214">
              <w:rPr>
                <w:rFonts w:eastAsia="Times New Roman"/>
                <w:sz w:val="16"/>
                <w:szCs w:val="16"/>
                <w:lang w:val="fr-FR" w:eastAsia="fr-FR"/>
              </w:rPr>
              <w:t>O</w:t>
            </w:r>
          </w:p>
        </w:tc>
        <w:tc>
          <w:tcPr>
            <w:tcW w:w="204" w:type="pct"/>
            <w:tcBorders>
              <w:top w:val="nil"/>
              <w:left w:val="nil"/>
              <w:bottom w:val="nil"/>
              <w:right w:val="nil"/>
            </w:tcBorders>
            <w:shd w:val="clear" w:color="auto" w:fill="auto"/>
            <w:noWrap/>
            <w:vAlign w:val="bottom"/>
            <w:hideMark/>
          </w:tcPr>
          <w:p w14:paraId="3B4724F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4.0</w:t>
            </w:r>
          </w:p>
        </w:tc>
        <w:tc>
          <w:tcPr>
            <w:tcW w:w="136" w:type="pct"/>
            <w:tcBorders>
              <w:top w:val="nil"/>
              <w:left w:val="nil"/>
              <w:bottom w:val="nil"/>
              <w:right w:val="nil"/>
            </w:tcBorders>
            <w:shd w:val="clear" w:color="auto" w:fill="auto"/>
            <w:noWrap/>
            <w:vAlign w:val="bottom"/>
            <w:hideMark/>
          </w:tcPr>
          <w:p w14:paraId="3361AF7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23" w:type="pct"/>
            <w:tcBorders>
              <w:top w:val="nil"/>
              <w:left w:val="nil"/>
              <w:bottom w:val="nil"/>
              <w:right w:val="nil"/>
            </w:tcBorders>
            <w:shd w:val="clear" w:color="auto" w:fill="auto"/>
            <w:noWrap/>
            <w:vAlign w:val="bottom"/>
            <w:hideMark/>
          </w:tcPr>
          <w:p w14:paraId="4595F1C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3.9</w:t>
            </w:r>
          </w:p>
        </w:tc>
        <w:tc>
          <w:tcPr>
            <w:tcW w:w="136" w:type="pct"/>
            <w:tcBorders>
              <w:top w:val="nil"/>
              <w:left w:val="nil"/>
              <w:bottom w:val="nil"/>
              <w:right w:val="nil"/>
            </w:tcBorders>
            <w:shd w:val="clear" w:color="auto" w:fill="auto"/>
            <w:noWrap/>
            <w:vAlign w:val="bottom"/>
            <w:hideMark/>
          </w:tcPr>
          <w:p w14:paraId="24692EF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723AB09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3.6</w:t>
            </w:r>
          </w:p>
        </w:tc>
        <w:tc>
          <w:tcPr>
            <w:tcW w:w="136" w:type="pct"/>
            <w:tcBorders>
              <w:top w:val="nil"/>
              <w:left w:val="nil"/>
              <w:bottom w:val="nil"/>
              <w:right w:val="nil"/>
            </w:tcBorders>
            <w:shd w:val="clear" w:color="auto" w:fill="auto"/>
            <w:noWrap/>
            <w:vAlign w:val="bottom"/>
            <w:hideMark/>
          </w:tcPr>
          <w:p w14:paraId="5096417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04" w:type="pct"/>
            <w:tcBorders>
              <w:top w:val="nil"/>
              <w:left w:val="nil"/>
              <w:bottom w:val="nil"/>
              <w:right w:val="nil"/>
            </w:tcBorders>
            <w:shd w:val="clear" w:color="auto" w:fill="auto"/>
            <w:noWrap/>
            <w:vAlign w:val="bottom"/>
            <w:hideMark/>
          </w:tcPr>
          <w:p w14:paraId="2F594DC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3.3</w:t>
            </w:r>
          </w:p>
        </w:tc>
        <w:tc>
          <w:tcPr>
            <w:tcW w:w="136" w:type="pct"/>
            <w:tcBorders>
              <w:top w:val="nil"/>
              <w:left w:val="nil"/>
              <w:bottom w:val="nil"/>
              <w:right w:val="nil"/>
            </w:tcBorders>
            <w:shd w:val="clear" w:color="auto" w:fill="auto"/>
            <w:noWrap/>
            <w:vAlign w:val="bottom"/>
            <w:hideMark/>
          </w:tcPr>
          <w:p w14:paraId="1009172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6" w:type="pct"/>
            <w:tcBorders>
              <w:top w:val="nil"/>
              <w:left w:val="nil"/>
              <w:bottom w:val="nil"/>
              <w:right w:val="nil"/>
            </w:tcBorders>
            <w:shd w:val="clear" w:color="auto" w:fill="auto"/>
            <w:noWrap/>
            <w:vAlign w:val="center"/>
            <w:hideMark/>
          </w:tcPr>
          <w:p w14:paraId="47C9B01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3.2</w:t>
            </w:r>
          </w:p>
        </w:tc>
        <w:tc>
          <w:tcPr>
            <w:tcW w:w="90" w:type="pct"/>
            <w:tcBorders>
              <w:top w:val="nil"/>
              <w:left w:val="nil"/>
              <w:bottom w:val="nil"/>
              <w:right w:val="nil"/>
            </w:tcBorders>
            <w:shd w:val="clear" w:color="auto" w:fill="auto"/>
            <w:noWrap/>
            <w:vAlign w:val="center"/>
            <w:hideMark/>
          </w:tcPr>
          <w:p w14:paraId="1F7577C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7880550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3.8</w:t>
            </w:r>
          </w:p>
        </w:tc>
        <w:tc>
          <w:tcPr>
            <w:tcW w:w="136" w:type="pct"/>
            <w:tcBorders>
              <w:top w:val="nil"/>
              <w:left w:val="nil"/>
              <w:bottom w:val="nil"/>
              <w:right w:val="nil"/>
            </w:tcBorders>
            <w:shd w:val="clear" w:color="auto" w:fill="auto"/>
            <w:noWrap/>
            <w:vAlign w:val="bottom"/>
            <w:hideMark/>
          </w:tcPr>
          <w:p w14:paraId="6E4A913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3DB189C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4.2</w:t>
            </w:r>
          </w:p>
        </w:tc>
        <w:tc>
          <w:tcPr>
            <w:tcW w:w="136" w:type="pct"/>
            <w:tcBorders>
              <w:top w:val="nil"/>
              <w:left w:val="nil"/>
              <w:bottom w:val="nil"/>
              <w:right w:val="nil"/>
            </w:tcBorders>
            <w:shd w:val="clear" w:color="auto" w:fill="auto"/>
            <w:noWrap/>
            <w:vAlign w:val="bottom"/>
            <w:hideMark/>
          </w:tcPr>
          <w:p w14:paraId="5EFF63F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52" w:type="pct"/>
            <w:tcBorders>
              <w:top w:val="nil"/>
              <w:left w:val="nil"/>
              <w:bottom w:val="nil"/>
              <w:right w:val="nil"/>
            </w:tcBorders>
            <w:shd w:val="clear" w:color="auto" w:fill="auto"/>
            <w:noWrap/>
            <w:vAlign w:val="bottom"/>
            <w:hideMark/>
          </w:tcPr>
          <w:p w14:paraId="06AA0DC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4.2</w:t>
            </w:r>
          </w:p>
        </w:tc>
        <w:tc>
          <w:tcPr>
            <w:tcW w:w="146" w:type="pct"/>
            <w:tcBorders>
              <w:top w:val="nil"/>
              <w:left w:val="nil"/>
              <w:bottom w:val="nil"/>
              <w:right w:val="nil"/>
            </w:tcBorders>
            <w:shd w:val="clear" w:color="auto" w:fill="auto"/>
            <w:noWrap/>
            <w:vAlign w:val="bottom"/>
            <w:hideMark/>
          </w:tcPr>
          <w:p w14:paraId="44DFADD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541BDD9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3.8</w:t>
            </w:r>
          </w:p>
        </w:tc>
        <w:tc>
          <w:tcPr>
            <w:tcW w:w="136" w:type="pct"/>
            <w:tcBorders>
              <w:top w:val="nil"/>
              <w:left w:val="nil"/>
              <w:bottom w:val="nil"/>
              <w:right w:val="nil"/>
            </w:tcBorders>
            <w:shd w:val="clear" w:color="auto" w:fill="auto"/>
            <w:noWrap/>
            <w:vAlign w:val="bottom"/>
            <w:hideMark/>
          </w:tcPr>
          <w:p w14:paraId="4C10488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27BAA9F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4.1</w:t>
            </w:r>
          </w:p>
        </w:tc>
        <w:tc>
          <w:tcPr>
            <w:tcW w:w="136" w:type="pct"/>
            <w:tcBorders>
              <w:top w:val="nil"/>
              <w:left w:val="nil"/>
              <w:bottom w:val="nil"/>
              <w:right w:val="nil"/>
            </w:tcBorders>
            <w:shd w:val="clear" w:color="auto" w:fill="auto"/>
            <w:noWrap/>
            <w:vAlign w:val="bottom"/>
            <w:hideMark/>
          </w:tcPr>
          <w:p w14:paraId="3F16996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610710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4.0</w:t>
            </w:r>
          </w:p>
        </w:tc>
        <w:tc>
          <w:tcPr>
            <w:tcW w:w="136" w:type="pct"/>
            <w:tcBorders>
              <w:top w:val="nil"/>
              <w:left w:val="nil"/>
              <w:bottom w:val="nil"/>
              <w:right w:val="nil"/>
            </w:tcBorders>
            <w:shd w:val="clear" w:color="auto" w:fill="auto"/>
            <w:noWrap/>
            <w:vAlign w:val="bottom"/>
            <w:hideMark/>
          </w:tcPr>
          <w:p w14:paraId="67199E6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5CDE2E9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3.9</w:t>
            </w:r>
          </w:p>
        </w:tc>
        <w:tc>
          <w:tcPr>
            <w:tcW w:w="136" w:type="pct"/>
            <w:tcBorders>
              <w:top w:val="nil"/>
              <w:left w:val="nil"/>
              <w:bottom w:val="nil"/>
              <w:right w:val="nil"/>
            </w:tcBorders>
            <w:shd w:val="clear" w:color="auto" w:fill="auto"/>
            <w:noWrap/>
            <w:vAlign w:val="bottom"/>
            <w:hideMark/>
          </w:tcPr>
          <w:p w14:paraId="52AEC6B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231" w:type="pct"/>
            <w:tcBorders>
              <w:top w:val="nil"/>
              <w:left w:val="nil"/>
              <w:bottom w:val="nil"/>
              <w:right w:val="nil"/>
            </w:tcBorders>
            <w:shd w:val="clear" w:color="auto" w:fill="auto"/>
            <w:noWrap/>
            <w:vAlign w:val="bottom"/>
            <w:hideMark/>
          </w:tcPr>
          <w:p w14:paraId="1609AB6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4.1</w:t>
            </w:r>
          </w:p>
        </w:tc>
        <w:tc>
          <w:tcPr>
            <w:tcW w:w="136" w:type="pct"/>
            <w:tcBorders>
              <w:top w:val="nil"/>
              <w:left w:val="nil"/>
              <w:bottom w:val="nil"/>
              <w:right w:val="nil"/>
            </w:tcBorders>
            <w:shd w:val="clear" w:color="auto" w:fill="auto"/>
            <w:noWrap/>
            <w:vAlign w:val="bottom"/>
            <w:hideMark/>
          </w:tcPr>
          <w:p w14:paraId="0C024BB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r>
      <w:tr w:rsidR="00967214" w:rsidRPr="00967214" w14:paraId="4A13ADB0" w14:textId="77777777" w:rsidTr="00967214">
        <w:trPr>
          <w:trHeight w:val="300"/>
        </w:trPr>
        <w:tc>
          <w:tcPr>
            <w:tcW w:w="327" w:type="pct"/>
            <w:tcBorders>
              <w:top w:val="nil"/>
              <w:left w:val="nil"/>
              <w:bottom w:val="nil"/>
              <w:right w:val="nil"/>
            </w:tcBorders>
            <w:shd w:val="clear" w:color="auto" w:fill="auto"/>
            <w:noWrap/>
            <w:vAlign w:val="center"/>
            <w:hideMark/>
          </w:tcPr>
          <w:p w14:paraId="2B35EEC0"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K</w:t>
            </w:r>
            <w:r w:rsidRPr="00967214">
              <w:rPr>
                <w:rFonts w:eastAsia="Times New Roman"/>
                <w:sz w:val="16"/>
                <w:szCs w:val="16"/>
                <w:vertAlign w:val="subscript"/>
                <w:lang w:val="fr-FR" w:eastAsia="fr-FR"/>
              </w:rPr>
              <w:t>2</w:t>
            </w:r>
            <w:r w:rsidRPr="00967214">
              <w:rPr>
                <w:rFonts w:eastAsia="Times New Roman"/>
                <w:sz w:val="16"/>
                <w:szCs w:val="16"/>
                <w:lang w:val="fr-FR" w:eastAsia="fr-FR"/>
              </w:rPr>
              <w:t>O</w:t>
            </w:r>
          </w:p>
        </w:tc>
        <w:tc>
          <w:tcPr>
            <w:tcW w:w="204" w:type="pct"/>
            <w:tcBorders>
              <w:top w:val="nil"/>
              <w:left w:val="nil"/>
              <w:bottom w:val="nil"/>
              <w:right w:val="nil"/>
            </w:tcBorders>
            <w:shd w:val="clear" w:color="auto" w:fill="auto"/>
            <w:noWrap/>
            <w:vAlign w:val="bottom"/>
            <w:hideMark/>
          </w:tcPr>
          <w:p w14:paraId="4F14FC7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0.3</w:t>
            </w:r>
          </w:p>
        </w:tc>
        <w:tc>
          <w:tcPr>
            <w:tcW w:w="136" w:type="pct"/>
            <w:tcBorders>
              <w:top w:val="nil"/>
              <w:left w:val="nil"/>
              <w:bottom w:val="nil"/>
              <w:right w:val="nil"/>
            </w:tcBorders>
            <w:shd w:val="clear" w:color="auto" w:fill="auto"/>
            <w:noWrap/>
            <w:vAlign w:val="bottom"/>
            <w:hideMark/>
          </w:tcPr>
          <w:p w14:paraId="73271ED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23" w:type="pct"/>
            <w:tcBorders>
              <w:top w:val="nil"/>
              <w:left w:val="nil"/>
              <w:bottom w:val="nil"/>
              <w:right w:val="nil"/>
            </w:tcBorders>
            <w:shd w:val="clear" w:color="auto" w:fill="auto"/>
            <w:noWrap/>
            <w:vAlign w:val="bottom"/>
            <w:hideMark/>
          </w:tcPr>
          <w:p w14:paraId="3ED76A1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690CABC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26269B1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32191BE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085100A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136" w:type="pct"/>
            <w:tcBorders>
              <w:top w:val="nil"/>
              <w:left w:val="nil"/>
              <w:bottom w:val="nil"/>
              <w:right w:val="nil"/>
            </w:tcBorders>
            <w:shd w:val="clear" w:color="auto" w:fill="auto"/>
            <w:noWrap/>
            <w:vAlign w:val="bottom"/>
            <w:hideMark/>
          </w:tcPr>
          <w:p w14:paraId="2692F14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6" w:type="pct"/>
            <w:tcBorders>
              <w:top w:val="nil"/>
              <w:left w:val="nil"/>
              <w:bottom w:val="nil"/>
              <w:right w:val="nil"/>
            </w:tcBorders>
            <w:shd w:val="clear" w:color="auto" w:fill="auto"/>
            <w:noWrap/>
            <w:vAlign w:val="center"/>
            <w:hideMark/>
          </w:tcPr>
          <w:p w14:paraId="6E3F8FE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90" w:type="pct"/>
            <w:tcBorders>
              <w:top w:val="nil"/>
              <w:left w:val="nil"/>
              <w:bottom w:val="nil"/>
              <w:right w:val="nil"/>
            </w:tcBorders>
            <w:shd w:val="clear" w:color="auto" w:fill="auto"/>
            <w:noWrap/>
            <w:vAlign w:val="center"/>
            <w:hideMark/>
          </w:tcPr>
          <w:p w14:paraId="1781747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5C5D5BA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136" w:type="pct"/>
            <w:tcBorders>
              <w:top w:val="nil"/>
              <w:left w:val="nil"/>
              <w:bottom w:val="nil"/>
              <w:right w:val="nil"/>
            </w:tcBorders>
            <w:shd w:val="clear" w:color="auto" w:fill="auto"/>
            <w:noWrap/>
            <w:vAlign w:val="bottom"/>
            <w:hideMark/>
          </w:tcPr>
          <w:p w14:paraId="0491395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52523A4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379307B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52" w:type="pct"/>
            <w:tcBorders>
              <w:top w:val="nil"/>
              <w:left w:val="nil"/>
              <w:bottom w:val="nil"/>
              <w:right w:val="nil"/>
            </w:tcBorders>
            <w:shd w:val="clear" w:color="auto" w:fill="auto"/>
            <w:noWrap/>
            <w:vAlign w:val="bottom"/>
            <w:hideMark/>
          </w:tcPr>
          <w:p w14:paraId="1E9CDC3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46" w:type="pct"/>
            <w:tcBorders>
              <w:top w:val="nil"/>
              <w:left w:val="nil"/>
              <w:bottom w:val="nil"/>
              <w:right w:val="nil"/>
            </w:tcBorders>
            <w:shd w:val="clear" w:color="auto" w:fill="auto"/>
            <w:noWrap/>
            <w:vAlign w:val="bottom"/>
            <w:hideMark/>
          </w:tcPr>
          <w:p w14:paraId="02B8FBC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0DA0CEC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6D2A547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0BF6F00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0.3</w:t>
            </w:r>
          </w:p>
        </w:tc>
        <w:tc>
          <w:tcPr>
            <w:tcW w:w="136" w:type="pct"/>
            <w:tcBorders>
              <w:top w:val="nil"/>
              <w:left w:val="nil"/>
              <w:bottom w:val="nil"/>
              <w:right w:val="nil"/>
            </w:tcBorders>
            <w:shd w:val="clear" w:color="auto" w:fill="auto"/>
            <w:noWrap/>
            <w:vAlign w:val="bottom"/>
            <w:hideMark/>
          </w:tcPr>
          <w:p w14:paraId="1B625EF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27E1BBD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0.3</w:t>
            </w:r>
          </w:p>
        </w:tc>
        <w:tc>
          <w:tcPr>
            <w:tcW w:w="136" w:type="pct"/>
            <w:tcBorders>
              <w:top w:val="nil"/>
              <w:left w:val="nil"/>
              <w:bottom w:val="nil"/>
              <w:right w:val="nil"/>
            </w:tcBorders>
            <w:shd w:val="clear" w:color="auto" w:fill="auto"/>
            <w:noWrap/>
            <w:vAlign w:val="bottom"/>
            <w:hideMark/>
          </w:tcPr>
          <w:p w14:paraId="19F0E57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49A04B2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256F8B6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4343DAC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1D2C5DB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r>
      <w:tr w:rsidR="00967214" w:rsidRPr="00967214" w14:paraId="0E995E12" w14:textId="77777777" w:rsidTr="00967214">
        <w:trPr>
          <w:trHeight w:val="300"/>
        </w:trPr>
        <w:tc>
          <w:tcPr>
            <w:tcW w:w="327" w:type="pct"/>
            <w:tcBorders>
              <w:top w:val="nil"/>
              <w:left w:val="nil"/>
              <w:bottom w:val="nil"/>
              <w:right w:val="nil"/>
            </w:tcBorders>
            <w:shd w:val="clear" w:color="auto" w:fill="auto"/>
            <w:noWrap/>
            <w:vAlign w:val="center"/>
            <w:hideMark/>
          </w:tcPr>
          <w:p w14:paraId="6FFB16F8"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P</w:t>
            </w:r>
            <w:r w:rsidRPr="00967214">
              <w:rPr>
                <w:rFonts w:eastAsia="Times New Roman"/>
                <w:sz w:val="16"/>
                <w:szCs w:val="16"/>
                <w:vertAlign w:val="subscript"/>
                <w:lang w:val="fr-FR" w:eastAsia="fr-FR"/>
              </w:rPr>
              <w:t>2</w:t>
            </w:r>
            <w:r w:rsidRPr="00967214">
              <w:rPr>
                <w:rFonts w:eastAsia="Times New Roman"/>
                <w:sz w:val="16"/>
                <w:szCs w:val="16"/>
                <w:lang w:val="fr-FR" w:eastAsia="fr-FR"/>
              </w:rPr>
              <w:t>O</w:t>
            </w:r>
            <w:r w:rsidRPr="00967214">
              <w:rPr>
                <w:rFonts w:eastAsia="Times New Roman"/>
                <w:sz w:val="16"/>
                <w:szCs w:val="16"/>
                <w:vertAlign w:val="subscript"/>
                <w:lang w:val="fr-FR" w:eastAsia="fr-FR"/>
              </w:rPr>
              <w:t>5</w:t>
            </w:r>
          </w:p>
        </w:tc>
        <w:tc>
          <w:tcPr>
            <w:tcW w:w="204" w:type="pct"/>
            <w:tcBorders>
              <w:top w:val="nil"/>
              <w:left w:val="nil"/>
              <w:bottom w:val="nil"/>
              <w:right w:val="nil"/>
            </w:tcBorders>
            <w:shd w:val="clear" w:color="auto" w:fill="auto"/>
            <w:noWrap/>
            <w:vAlign w:val="bottom"/>
            <w:hideMark/>
          </w:tcPr>
          <w:p w14:paraId="0EAD26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23B3602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23" w:type="pct"/>
            <w:tcBorders>
              <w:top w:val="nil"/>
              <w:left w:val="nil"/>
              <w:bottom w:val="nil"/>
              <w:right w:val="nil"/>
            </w:tcBorders>
            <w:shd w:val="clear" w:color="auto" w:fill="auto"/>
            <w:noWrap/>
            <w:vAlign w:val="bottom"/>
            <w:hideMark/>
          </w:tcPr>
          <w:p w14:paraId="337C5C9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center"/>
            <w:hideMark/>
          </w:tcPr>
          <w:p w14:paraId="44F8A49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11CFBE6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69C8451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bottom"/>
            <w:hideMark/>
          </w:tcPr>
          <w:p w14:paraId="430E7A3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0.1</w:t>
            </w:r>
          </w:p>
        </w:tc>
        <w:tc>
          <w:tcPr>
            <w:tcW w:w="136" w:type="pct"/>
            <w:tcBorders>
              <w:top w:val="nil"/>
              <w:left w:val="nil"/>
              <w:bottom w:val="nil"/>
              <w:right w:val="nil"/>
            </w:tcBorders>
            <w:shd w:val="clear" w:color="auto" w:fill="auto"/>
            <w:noWrap/>
            <w:vAlign w:val="bottom"/>
            <w:hideMark/>
          </w:tcPr>
          <w:p w14:paraId="1D74409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6" w:type="pct"/>
            <w:tcBorders>
              <w:top w:val="nil"/>
              <w:left w:val="nil"/>
              <w:bottom w:val="nil"/>
              <w:right w:val="nil"/>
            </w:tcBorders>
            <w:shd w:val="clear" w:color="auto" w:fill="auto"/>
            <w:noWrap/>
            <w:vAlign w:val="center"/>
            <w:hideMark/>
          </w:tcPr>
          <w:p w14:paraId="0FDDBC51"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90" w:type="pct"/>
            <w:tcBorders>
              <w:top w:val="nil"/>
              <w:left w:val="nil"/>
              <w:bottom w:val="nil"/>
              <w:right w:val="nil"/>
            </w:tcBorders>
            <w:shd w:val="clear" w:color="auto" w:fill="auto"/>
            <w:noWrap/>
            <w:vAlign w:val="center"/>
            <w:hideMark/>
          </w:tcPr>
          <w:p w14:paraId="488E276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bottom"/>
            <w:hideMark/>
          </w:tcPr>
          <w:p w14:paraId="108A41D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230C50B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2A802E4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127C386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52" w:type="pct"/>
            <w:tcBorders>
              <w:top w:val="nil"/>
              <w:left w:val="nil"/>
              <w:bottom w:val="nil"/>
              <w:right w:val="nil"/>
            </w:tcBorders>
            <w:shd w:val="clear" w:color="auto" w:fill="auto"/>
            <w:noWrap/>
            <w:vAlign w:val="bottom"/>
            <w:hideMark/>
          </w:tcPr>
          <w:p w14:paraId="428D973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46" w:type="pct"/>
            <w:tcBorders>
              <w:top w:val="nil"/>
              <w:left w:val="nil"/>
              <w:bottom w:val="nil"/>
              <w:right w:val="nil"/>
            </w:tcBorders>
            <w:shd w:val="clear" w:color="auto" w:fill="auto"/>
            <w:noWrap/>
            <w:vAlign w:val="bottom"/>
            <w:hideMark/>
          </w:tcPr>
          <w:p w14:paraId="4CF02A1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348ADAB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4DF67B9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03EF73F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1441BCF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38FAA2C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0243605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6DD4D93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199D7EA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bottom"/>
            <w:hideMark/>
          </w:tcPr>
          <w:p w14:paraId="4A119B1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136" w:type="pct"/>
            <w:tcBorders>
              <w:top w:val="nil"/>
              <w:left w:val="nil"/>
              <w:bottom w:val="nil"/>
              <w:right w:val="nil"/>
            </w:tcBorders>
            <w:shd w:val="clear" w:color="auto" w:fill="auto"/>
            <w:noWrap/>
            <w:vAlign w:val="bottom"/>
            <w:hideMark/>
          </w:tcPr>
          <w:p w14:paraId="2076F4C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r>
      <w:tr w:rsidR="00967214" w:rsidRPr="00967214" w14:paraId="77057C7D" w14:textId="77777777" w:rsidTr="00967214">
        <w:trPr>
          <w:trHeight w:val="300"/>
        </w:trPr>
        <w:tc>
          <w:tcPr>
            <w:tcW w:w="327" w:type="pct"/>
            <w:tcBorders>
              <w:top w:val="nil"/>
              <w:left w:val="nil"/>
              <w:bottom w:val="nil"/>
              <w:right w:val="nil"/>
            </w:tcBorders>
            <w:shd w:val="clear" w:color="auto" w:fill="auto"/>
            <w:noWrap/>
            <w:vAlign w:val="center"/>
            <w:hideMark/>
          </w:tcPr>
          <w:p w14:paraId="2CBAA1F8"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Cl</w:t>
            </w:r>
          </w:p>
        </w:tc>
        <w:tc>
          <w:tcPr>
            <w:tcW w:w="204" w:type="pct"/>
            <w:tcBorders>
              <w:top w:val="nil"/>
              <w:left w:val="nil"/>
              <w:bottom w:val="nil"/>
              <w:right w:val="nil"/>
            </w:tcBorders>
            <w:shd w:val="clear" w:color="auto" w:fill="auto"/>
            <w:noWrap/>
            <w:vAlign w:val="center"/>
            <w:hideMark/>
          </w:tcPr>
          <w:p w14:paraId="0EE4813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6F3EA1F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23" w:type="pct"/>
            <w:tcBorders>
              <w:top w:val="nil"/>
              <w:left w:val="nil"/>
              <w:bottom w:val="nil"/>
              <w:right w:val="nil"/>
            </w:tcBorders>
            <w:shd w:val="clear" w:color="auto" w:fill="auto"/>
            <w:noWrap/>
            <w:vAlign w:val="center"/>
            <w:hideMark/>
          </w:tcPr>
          <w:p w14:paraId="50D8E31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2B8CB92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center"/>
            <w:hideMark/>
          </w:tcPr>
          <w:p w14:paraId="50A7F82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56E84BC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04" w:type="pct"/>
            <w:tcBorders>
              <w:top w:val="nil"/>
              <w:left w:val="nil"/>
              <w:bottom w:val="nil"/>
              <w:right w:val="nil"/>
            </w:tcBorders>
            <w:shd w:val="clear" w:color="auto" w:fill="auto"/>
            <w:noWrap/>
            <w:vAlign w:val="center"/>
            <w:hideMark/>
          </w:tcPr>
          <w:p w14:paraId="28B0206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07D80D1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6" w:type="pct"/>
            <w:tcBorders>
              <w:top w:val="nil"/>
              <w:left w:val="nil"/>
              <w:bottom w:val="nil"/>
              <w:right w:val="nil"/>
            </w:tcBorders>
            <w:shd w:val="clear" w:color="auto" w:fill="auto"/>
            <w:noWrap/>
            <w:vAlign w:val="center"/>
            <w:hideMark/>
          </w:tcPr>
          <w:p w14:paraId="067A5CD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90" w:type="pct"/>
            <w:tcBorders>
              <w:top w:val="nil"/>
              <w:left w:val="nil"/>
              <w:bottom w:val="nil"/>
              <w:right w:val="nil"/>
            </w:tcBorders>
            <w:shd w:val="clear" w:color="auto" w:fill="auto"/>
            <w:noWrap/>
            <w:vAlign w:val="center"/>
            <w:hideMark/>
          </w:tcPr>
          <w:p w14:paraId="1F48236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nil"/>
              <w:right w:val="nil"/>
            </w:tcBorders>
            <w:shd w:val="clear" w:color="auto" w:fill="auto"/>
            <w:noWrap/>
            <w:vAlign w:val="center"/>
            <w:hideMark/>
          </w:tcPr>
          <w:p w14:paraId="2D841AD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40056DF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center"/>
            <w:hideMark/>
          </w:tcPr>
          <w:p w14:paraId="2B584C6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7577398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52" w:type="pct"/>
            <w:tcBorders>
              <w:top w:val="nil"/>
              <w:left w:val="nil"/>
              <w:bottom w:val="nil"/>
              <w:right w:val="nil"/>
            </w:tcBorders>
            <w:shd w:val="clear" w:color="auto" w:fill="auto"/>
            <w:noWrap/>
            <w:vAlign w:val="center"/>
            <w:hideMark/>
          </w:tcPr>
          <w:p w14:paraId="79E68F0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46" w:type="pct"/>
            <w:tcBorders>
              <w:top w:val="nil"/>
              <w:left w:val="nil"/>
              <w:bottom w:val="nil"/>
              <w:right w:val="nil"/>
            </w:tcBorders>
            <w:shd w:val="clear" w:color="auto" w:fill="auto"/>
            <w:noWrap/>
            <w:vAlign w:val="center"/>
            <w:hideMark/>
          </w:tcPr>
          <w:p w14:paraId="1D0B3A7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center"/>
            <w:hideMark/>
          </w:tcPr>
          <w:p w14:paraId="52CDF4F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423B817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center"/>
            <w:hideMark/>
          </w:tcPr>
          <w:p w14:paraId="7FE3AFD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5CDDA89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center"/>
            <w:hideMark/>
          </w:tcPr>
          <w:p w14:paraId="3E9A834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48A9FD8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center"/>
            <w:hideMark/>
          </w:tcPr>
          <w:p w14:paraId="3C6FDE4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2AAE8F5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nil"/>
              <w:right w:val="nil"/>
            </w:tcBorders>
            <w:shd w:val="clear" w:color="auto" w:fill="auto"/>
            <w:noWrap/>
            <w:vAlign w:val="center"/>
            <w:hideMark/>
          </w:tcPr>
          <w:p w14:paraId="05BE2F7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136" w:type="pct"/>
            <w:tcBorders>
              <w:top w:val="nil"/>
              <w:left w:val="nil"/>
              <w:bottom w:val="nil"/>
              <w:right w:val="nil"/>
            </w:tcBorders>
            <w:shd w:val="clear" w:color="auto" w:fill="auto"/>
            <w:noWrap/>
            <w:vAlign w:val="center"/>
            <w:hideMark/>
          </w:tcPr>
          <w:p w14:paraId="6C2F8B72"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r>
      <w:tr w:rsidR="00967214" w:rsidRPr="00967214" w14:paraId="6EFECF4C" w14:textId="77777777" w:rsidTr="00967214">
        <w:trPr>
          <w:trHeight w:val="300"/>
        </w:trPr>
        <w:tc>
          <w:tcPr>
            <w:tcW w:w="327" w:type="pct"/>
            <w:tcBorders>
              <w:top w:val="nil"/>
              <w:left w:val="nil"/>
              <w:bottom w:val="single" w:sz="4" w:space="0" w:color="auto"/>
              <w:right w:val="nil"/>
            </w:tcBorders>
            <w:shd w:val="clear" w:color="auto" w:fill="auto"/>
            <w:noWrap/>
            <w:vAlign w:val="center"/>
            <w:hideMark/>
          </w:tcPr>
          <w:p w14:paraId="2885ACCA" w14:textId="77777777" w:rsidR="00967214" w:rsidRPr="00967214" w:rsidRDefault="00967214" w:rsidP="00967214">
            <w:pPr>
              <w:rPr>
                <w:rFonts w:eastAsia="Times New Roman"/>
                <w:sz w:val="16"/>
                <w:szCs w:val="16"/>
                <w:lang w:val="fr-FR" w:eastAsia="fr-FR"/>
              </w:rPr>
            </w:pPr>
            <w:r w:rsidRPr="00967214">
              <w:rPr>
                <w:rFonts w:eastAsia="Times New Roman"/>
                <w:sz w:val="16"/>
                <w:szCs w:val="16"/>
                <w:lang w:val="fr-FR" w:eastAsia="fr-FR"/>
              </w:rPr>
              <w:t>Total</w:t>
            </w:r>
          </w:p>
        </w:tc>
        <w:tc>
          <w:tcPr>
            <w:tcW w:w="204" w:type="pct"/>
            <w:tcBorders>
              <w:top w:val="nil"/>
              <w:left w:val="nil"/>
              <w:bottom w:val="single" w:sz="4" w:space="0" w:color="auto"/>
              <w:right w:val="nil"/>
            </w:tcBorders>
            <w:shd w:val="clear" w:color="auto" w:fill="auto"/>
            <w:noWrap/>
            <w:vAlign w:val="bottom"/>
            <w:hideMark/>
          </w:tcPr>
          <w:p w14:paraId="2B429215"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99.8</w:t>
            </w:r>
          </w:p>
        </w:tc>
        <w:tc>
          <w:tcPr>
            <w:tcW w:w="136" w:type="pct"/>
            <w:tcBorders>
              <w:top w:val="nil"/>
              <w:left w:val="nil"/>
              <w:bottom w:val="single" w:sz="4" w:space="0" w:color="auto"/>
              <w:right w:val="nil"/>
            </w:tcBorders>
            <w:shd w:val="clear" w:color="auto" w:fill="auto"/>
            <w:noWrap/>
            <w:vAlign w:val="bottom"/>
            <w:hideMark/>
          </w:tcPr>
          <w:p w14:paraId="33EAFB28"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1.2</w:t>
            </w:r>
          </w:p>
        </w:tc>
        <w:tc>
          <w:tcPr>
            <w:tcW w:w="223" w:type="pct"/>
            <w:tcBorders>
              <w:top w:val="nil"/>
              <w:left w:val="nil"/>
              <w:bottom w:val="single" w:sz="4" w:space="0" w:color="auto"/>
              <w:right w:val="nil"/>
            </w:tcBorders>
            <w:shd w:val="clear" w:color="auto" w:fill="auto"/>
            <w:noWrap/>
            <w:vAlign w:val="bottom"/>
            <w:hideMark/>
          </w:tcPr>
          <w:p w14:paraId="58B20AF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100.0</w:t>
            </w:r>
          </w:p>
        </w:tc>
        <w:tc>
          <w:tcPr>
            <w:tcW w:w="136" w:type="pct"/>
            <w:tcBorders>
              <w:top w:val="nil"/>
              <w:left w:val="nil"/>
              <w:bottom w:val="single" w:sz="4" w:space="0" w:color="auto"/>
              <w:right w:val="nil"/>
            </w:tcBorders>
            <w:shd w:val="clear" w:color="auto" w:fill="auto"/>
            <w:noWrap/>
            <w:vAlign w:val="bottom"/>
            <w:hideMark/>
          </w:tcPr>
          <w:p w14:paraId="415B92F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w:t>
            </w:r>
          </w:p>
        </w:tc>
        <w:tc>
          <w:tcPr>
            <w:tcW w:w="204" w:type="pct"/>
            <w:tcBorders>
              <w:top w:val="nil"/>
              <w:left w:val="nil"/>
              <w:bottom w:val="single" w:sz="4" w:space="0" w:color="auto"/>
              <w:right w:val="nil"/>
            </w:tcBorders>
            <w:shd w:val="clear" w:color="auto" w:fill="auto"/>
            <w:noWrap/>
            <w:vAlign w:val="bottom"/>
            <w:hideMark/>
          </w:tcPr>
          <w:p w14:paraId="7122543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100.2</w:t>
            </w:r>
          </w:p>
        </w:tc>
        <w:tc>
          <w:tcPr>
            <w:tcW w:w="136" w:type="pct"/>
            <w:tcBorders>
              <w:top w:val="nil"/>
              <w:left w:val="nil"/>
              <w:bottom w:val="single" w:sz="4" w:space="0" w:color="auto"/>
              <w:right w:val="nil"/>
            </w:tcBorders>
            <w:shd w:val="clear" w:color="auto" w:fill="auto"/>
            <w:noWrap/>
            <w:vAlign w:val="bottom"/>
            <w:hideMark/>
          </w:tcPr>
          <w:p w14:paraId="4D05A23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0.7</w:t>
            </w:r>
          </w:p>
        </w:tc>
        <w:tc>
          <w:tcPr>
            <w:tcW w:w="204" w:type="pct"/>
            <w:tcBorders>
              <w:top w:val="nil"/>
              <w:left w:val="nil"/>
              <w:bottom w:val="single" w:sz="4" w:space="0" w:color="auto"/>
              <w:right w:val="nil"/>
            </w:tcBorders>
            <w:shd w:val="clear" w:color="auto" w:fill="auto"/>
            <w:noWrap/>
            <w:vAlign w:val="bottom"/>
            <w:hideMark/>
          </w:tcPr>
          <w:p w14:paraId="6C2BEDF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100.0</w:t>
            </w:r>
          </w:p>
        </w:tc>
        <w:tc>
          <w:tcPr>
            <w:tcW w:w="136" w:type="pct"/>
            <w:tcBorders>
              <w:top w:val="nil"/>
              <w:left w:val="nil"/>
              <w:bottom w:val="single" w:sz="4" w:space="0" w:color="auto"/>
              <w:right w:val="nil"/>
            </w:tcBorders>
            <w:shd w:val="clear" w:color="auto" w:fill="auto"/>
            <w:noWrap/>
            <w:vAlign w:val="bottom"/>
            <w:hideMark/>
          </w:tcPr>
          <w:p w14:paraId="6C551776"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0.6</w:t>
            </w:r>
          </w:p>
        </w:tc>
        <w:tc>
          <w:tcPr>
            <w:tcW w:w="236" w:type="pct"/>
            <w:tcBorders>
              <w:top w:val="nil"/>
              <w:left w:val="nil"/>
              <w:bottom w:val="single" w:sz="4" w:space="0" w:color="auto"/>
              <w:right w:val="nil"/>
            </w:tcBorders>
            <w:shd w:val="clear" w:color="auto" w:fill="auto"/>
            <w:noWrap/>
            <w:vAlign w:val="center"/>
            <w:hideMark/>
          </w:tcPr>
          <w:p w14:paraId="1771F817"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99.2</w:t>
            </w:r>
          </w:p>
        </w:tc>
        <w:tc>
          <w:tcPr>
            <w:tcW w:w="90" w:type="pct"/>
            <w:tcBorders>
              <w:top w:val="nil"/>
              <w:left w:val="nil"/>
              <w:bottom w:val="single" w:sz="4" w:space="0" w:color="auto"/>
              <w:right w:val="nil"/>
            </w:tcBorders>
            <w:shd w:val="clear" w:color="auto" w:fill="auto"/>
            <w:noWrap/>
            <w:vAlign w:val="center"/>
            <w:hideMark/>
          </w:tcPr>
          <w:p w14:paraId="0A474554"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w:t>
            </w:r>
          </w:p>
        </w:tc>
        <w:tc>
          <w:tcPr>
            <w:tcW w:w="231" w:type="pct"/>
            <w:tcBorders>
              <w:top w:val="nil"/>
              <w:left w:val="nil"/>
              <w:bottom w:val="single" w:sz="4" w:space="0" w:color="auto"/>
              <w:right w:val="nil"/>
            </w:tcBorders>
            <w:shd w:val="clear" w:color="auto" w:fill="auto"/>
            <w:noWrap/>
            <w:vAlign w:val="bottom"/>
            <w:hideMark/>
          </w:tcPr>
          <w:p w14:paraId="6B3B591E"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99.6</w:t>
            </w:r>
          </w:p>
        </w:tc>
        <w:tc>
          <w:tcPr>
            <w:tcW w:w="136" w:type="pct"/>
            <w:tcBorders>
              <w:top w:val="nil"/>
              <w:left w:val="nil"/>
              <w:bottom w:val="single" w:sz="4" w:space="0" w:color="auto"/>
              <w:right w:val="nil"/>
            </w:tcBorders>
            <w:shd w:val="clear" w:color="auto" w:fill="auto"/>
            <w:noWrap/>
            <w:vAlign w:val="bottom"/>
            <w:hideMark/>
          </w:tcPr>
          <w:p w14:paraId="5ED6B72D"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0.5</w:t>
            </w:r>
          </w:p>
        </w:tc>
        <w:tc>
          <w:tcPr>
            <w:tcW w:w="231" w:type="pct"/>
            <w:tcBorders>
              <w:top w:val="nil"/>
              <w:left w:val="nil"/>
              <w:bottom w:val="single" w:sz="4" w:space="0" w:color="auto"/>
              <w:right w:val="nil"/>
            </w:tcBorders>
            <w:shd w:val="clear" w:color="auto" w:fill="auto"/>
            <w:noWrap/>
            <w:vAlign w:val="bottom"/>
            <w:hideMark/>
          </w:tcPr>
          <w:p w14:paraId="6E3E2D1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99.7</w:t>
            </w:r>
          </w:p>
        </w:tc>
        <w:tc>
          <w:tcPr>
            <w:tcW w:w="136" w:type="pct"/>
            <w:tcBorders>
              <w:top w:val="nil"/>
              <w:left w:val="nil"/>
              <w:bottom w:val="single" w:sz="4" w:space="0" w:color="auto"/>
              <w:right w:val="nil"/>
            </w:tcBorders>
            <w:shd w:val="clear" w:color="auto" w:fill="auto"/>
            <w:noWrap/>
            <w:vAlign w:val="bottom"/>
            <w:hideMark/>
          </w:tcPr>
          <w:p w14:paraId="62557D5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0.6</w:t>
            </w:r>
          </w:p>
        </w:tc>
        <w:tc>
          <w:tcPr>
            <w:tcW w:w="252" w:type="pct"/>
            <w:tcBorders>
              <w:top w:val="nil"/>
              <w:left w:val="nil"/>
              <w:bottom w:val="single" w:sz="4" w:space="0" w:color="auto"/>
              <w:right w:val="nil"/>
            </w:tcBorders>
            <w:shd w:val="clear" w:color="auto" w:fill="auto"/>
            <w:noWrap/>
            <w:vAlign w:val="bottom"/>
            <w:hideMark/>
          </w:tcPr>
          <w:p w14:paraId="04B72BBC"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99.7</w:t>
            </w:r>
          </w:p>
        </w:tc>
        <w:tc>
          <w:tcPr>
            <w:tcW w:w="146" w:type="pct"/>
            <w:tcBorders>
              <w:top w:val="nil"/>
              <w:left w:val="nil"/>
              <w:bottom w:val="single" w:sz="4" w:space="0" w:color="auto"/>
              <w:right w:val="nil"/>
            </w:tcBorders>
            <w:shd w:val="clear" w:color="auto" w:fill="auto"/>
            <w:noWrap/>
            <w:vAlign w:val="bottom"/>
            <w:hideMark/>
          </w:tcPr>
          <w:p w14:paraId="021581B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0.6</w:t>
            </w:r>
          </w:p>
        </w:tc>
        <w:tc>
          <w:tcPr>
            <w:tcW w:w="231" w:type="pct"/>
            <w:tcBorders>
              <w:top w:val="nil"/>
              <w:left w:val="nil"/>
              <w:bottom w:val="single" w:sz="4" w:space="0" w:color="auto"/>
              <w:right w:val="nil"/>
            </w:tcBorders>
            <w:shd w:val="clear" w:color="auto" w:fill="auto"/>
            <w:noWrap/>
            <w:vAlign w:val="bottom"/>
            <w:hideMark/>
          </w:tcPr>
          <w:p w14:paraId="0E1D5E9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99.4</w:t>
            </w:r>
          </w:p>
        </w:tc>
        <w:tc>
          <w:tcPr>
            <w:tcW w:w="136" w:type="pct"/>
            <w:tcBorders>
              <w:top w:val="nil"/>
              <w:left w:val="nil"/>
              <w:bottom w:val="single" w:sz="4" w:space="0" w:color="auto"/>
              <w:right w:val="nil"/>
            </w:tcBorders>
            <w:shd w:val="clear" w:color="auto" w:fill="auto"/>
            <w:noWrap/>
            <w:vAlign w:val="bottom"/>
            <w:hideMark/>
          </w:tcPr>
          <w:p w14:paraId="17C1661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0.0</w:t>
            </w:r>
          </w:p>
        </w:tc>
        <w:tc>
          <w:tcPr>
            <w:tcW w:w="231" w:type="pct"/>
            <w:tcBorders>
              <w:top w:val="nil"/>
              <w:left w:val="nil"/>
              <w:bottom w:val="single" w:sz="4" w:space="0" w:color="auto"/>
              <w:right w:val="nil"/>
            </w:tcBorders>
            <w:shd w:val="clear" w:color="auto" w:fill="auto"/>
            <w:noWrap/>
            <w:vAlign w:val="bottom"/>
            <w:hideMark/>
          </w:tcPr>
          <w:p w14:paraId="7175B460"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99.6</w:t>
            </w:r>
          </w:p>
        </w:tc>
        <w:tc>
          <w:tcPr>
            <w:tcW w:w="136" w:type="pct"/>
            <w:tcBorders>
              <w:top w:val="nil"/>
              <w:left w:val="nil"/>
              <w:bottom w:val="single" w:sz="4" w:space="0" w:color="auto"/>
              <w:right w:val="nil"/>
            </w:tcBorders>
            <w:shd w:val="clear" w:color="auto" w:fill="auto"/>
            <w:noWrap/>
            <w:vAlign w:val="bottom"/>
            <w:hideMark/>
          </w:tcPr>
          <w:p w14:paraId="4B95C009"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31" w:type="pct"/>
            <w:tcBorders>
              <w:top w:val="nil"/>
              <w:left w:val="nil"/>
              <w:bottom w:val="single" w:sz="4" w:space="0" w:color="auto"/>
              <w:right w:val="nil"/>
            </w:tcBorders>
            <w:shd w:val="clear" w:color="auto" w:fill="auto"/>
            <w:noWrap/>
            <w:vAlign w:val="bottom"/>
            <w:hideMark/>
          </w:tcPr>
          <w:p w14:paraId="4AF4E82B"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99.5</w:t>
            </w:r>
          </w:p>
        </w:tc>
        <w:tc>
          <w:tcPr>
            <w:tcW w:w="136" w:type="pct"/>
            <w:tcBorders>
              <w:top w:val="nil"/>
              <w:left w:val="nil"/>
              <w:bottom w:val="single" w:sz="4" w:space="0" w:color="auto"/>
              <w:right w:val="nil"/>
            </w:tcBorders>
            <w:shd w:val="clear" w:color="auto" w:fill="auto"/>
            <w:noWrap/>
            <w:vAlign w:val="bottom"/>
            <w:hideMark/>
          </w:tcPr>
          <w:p w14:paraId="307B9DB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31" w:type="pct"/>
            <w:tcBorders>
              <w:top w:val="nil"/>
              <w:left w:val="nil"/>
              <w:bottom w:val="single" w:sz="4" w:space="0" w:color="auto"/>
              <w:right w:val="nil"/>
            </w:tcBorders>
            <w:shd w:val="clear" w:color="auto" w:fill="auto"/>
            <w:noWrap/>
            <w:vAlign w:val="bottom"/>
            <w:hideMark/>
          </w:tcPr>
          <w:p w14:paraId="115EB5D3"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99.7</w:t>
            </w:r>
          </w:p>
        </w:tc>
        <w:tc>
          <w:tcPr>
            <w:tcW w:w="136" w:type="pct"/>
            <w:tcBorders>
              <w:top w:val="nil"/>
              <w:left w:val="nil"/>
              <w:bottom w:val="single" w:sz="4" w:space="0" w:color="auto"/>
              <w:right w:val="nil"/>
            </w:tcBorders>
            <w:shd w:val="clear" w:color="auto" w:fill="auto"/>
            <w:noWrap/>
            <w:vAlign w:val="bottom"/>
            <w:hideMark/>
          </w:tcPr>
          <w:p w14:paraId="79721D8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0.2</w:t>
            </w:r>
          </w:p>
        </w:tc>
        <w:tc>
          <w:tcPr>
            <w:tcW w:w="231" w:type="pct"/>
            <w:tcBorders>
              <w:top w:val="nil"/>
              <w:left w:val="nil"/>
              <w:bottom w:val="single" w:sz="4" w:space="0" w:color="auto"/>
              <w:right w:val="nil"/>
            </w:tcBorders>
            <w:shd w:val="clear" w:color="auto" w:fill="auto"/>
            <w:noWrap/>
            <w:vAlign w:val="bottom"/>
            <w:hideMark/>
          </w:tcPr>
          <w:p w14:paraId="29E438AF"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99.1</w:t>
            </w:r>
          </w:p>
        </w:tc>
        <w:tc>
          <w:tcPr>
            <w:tcW w:w="136" w:type="pct"/>
            <w:tcBorders>
              <w:top w:val="nil"/>
              <w:left w:val="nil"/>
              <w:bottom w:val="single" w:sz="4" w:space="0" w:color="auto"/>
              <w:right w:val="nil"/>
            </w:tcBorders>
            <w:shd w:val="clear" w:color="auto" w:fill="auto"/>
            <w:noWrap/>
            <w:vAlign w:val="bottom"/>
            <w:hideMark/>
          </w:tcPr>
          <w:p w14:paraId="335F6DAA" w14:textId="77777777" w:rsidR="00967214" w:rsidRPr="00967214" w:rsidRDefault="00967214" w:rsidP="00967214">
            <w:pPr>
              <w:jc w:val="center"/>
              <w:rPr>
                <w:rFonts w:eastAsia="Times New Roman"/>
                <w:sz w:val="16"/>
                <w:szCs w:val="16"/>
                <w:lang w:val="fr-FR" w:eastAsia="fr-FR"/>
              </w:rPr>
            </w:pPr>
            <w:r w:rsidRPr="00967214">
              <w:rPr>
                <w:rFonts w:eastAsia="Times New Roman"/>
                <w:sz w:val="16"/>
                <w:szCs w:val="16"/>
                <w:lang w:val="fr-FR" w:eastAsia="fr-FR"/>
              </w:rPr>
              <w:t>0.3</w:t>
            </w:r>
          </w:p>
        </w:tc>
      </w:tr>
    </w:tbl>
    <w:p w14:paraId="047E8EC2" w14:textId="77777777" w:rsidR="00967214" w:rsidRDefault="00967214" w:rsidP="00B776EA">
      <w:pPr>
        <w:pStyle w:val="FigureorTableCaption"/>
        <w:rPr>
          <w:color w:val="000000"/>
        </w:rPr>
      </w:pPr>
    </w:p>
    <w:p w14:paraId="0637695F" w14:textId="77777777" w:rsidR="00967214" w:rsidRDefault="00967214" w:rsidP="00B776EA">
      <w:pPr>
        <w:pStyle w:val="FigureorTableCaption"/>
        <w:rPr>
          <w:color w:val="000000"/>
        </w:rPr>
      </w:pPr>
    </w:p>
    <w:p w14:paraId="16D21129" w14:textId="77777777" w:rsidR="00967214" w:rsidRDefault="00967214" w:rsidP="00B776EA">
      <w:pPr>
        <w:pStyle w:val="FigureorTableCaption"/>
        <w:rPr>
          <w:color w:val="000000"/>
        </w:rPr>
        <w:sectPr w:rsidR="00967214" w:rsidSect="00967214">
          <w:pgSz w:w="15840" w:h="12240" w:orient="landscape"/>
          <w:pgMar w:top="1440" w:right="1440" w:bottom="1440" w:left="1440" w:header="432" w:footer="720" w:gutter="0"/>
          <w:cols w:space="720"/>
          <w:docGrid w:linePitch="360"/>
        </w:sectPr>
      </w:pPr>
    </w:p>
    <w:p w14:paraId="26219043" w14:textId="3B56BAA3" w:rsidR="003B1D8C" w:rsidRPr="00B776EA" w:rsidRDefault="003B1D8C" w:rsidP="00B776EA">
      <w:pPr>
        <w:pStyle w:val="FigureorTableCaption"/>
        <w:rPr>
          <w:color w:val="000000"/>
        </w:rPr>
      </w:pPr>
    </w:p>
    <w:p w14:paraId="4DEA274F" w14:textId="49932C01" w:rsidR="00207895" w:rsidRDefault="00207895" w:rsidP="001565A8">
      <w:pPr>
        <w:widowControl w:val="0"/>
        <w:autoSpaceDE w:val="0"/>
        <w:autoSpaceDN w:val="0"/>
        <w:adjustRightInd w:val="0"/>
        <w:spacing w:after="120"/>
        <w:jc w:val="both"/>
        <w:rPr>
          <w:sz w:val="24"/>
        </w:rPr>
      </w:pPr>
    </w:p>
    <w:p w14:paraId="437AFC2F" w14:textId="12579544" w:rsidR="00207895" w:rsidRDefault="00207895" w:rsidP="001565A8">
      <w:pPr>
        <w:widowControl w:val="0"/>
        <w:autoSpaceDE w:val="0"/>
        <w:autoSpaceDN w:val="0"/>
        <w:adjustRightInd w:val="0"/>
        <w:spacing w:after="120"/>
        <w:jc w:val="both"/>
        <w:rPr>
          <w:sz w:val="24"/>
        </w:rPr>
      </w:pPr>
      <w:r>
        <w:rPr>
          <w:noProof/>
          <w:sz w:val="24"/>
          <w:lang w:val="en-GB" w:eastAsia="en-GB"/>
        </w:rPr>
        <w:drawing>
          <wp:inline distT="0" distB="0" distL="0" distR="0" wp14:anchorId="696D0ABA" wp14:editId="27160201">
            <wp:extent cx="5943600" cy="6431280"/>
            <wp:effectExtent l="0" t="0" r="0" b="0"/>
            <wp:docPr id="3" name="Image 3" descr="Sans titre:Users:MarinePaquet:Documents:PhD:Sujet Basaltes - Stage M2:Papiers:Majeurs &amp; Traces:Figures:Majeurs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ns titre:Users:MarinePaquet:Documents:PhD:Sujet Basaltes - Stage M2:Papiers:Majeurs &amp; Traces:Figures:Majeurs_fina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6431280"/>
                    </a:xfrm>
                    <a:prstGeom prst="rect">
                      <a:avLst/>
                    </a:prstGeom>
                    <a:noFill/>
                    <a:ln>
                      <a:noFill/>
                    </a:ln>
                  </pic:spPr>
                </pic:pic>
              </a:graphicData>
            </a:graphic>
          </wp:inline>
        </w:drawing>
      </w:r>
    </w:p>
    <w:p w14:paraId="47A7357F" w14:textId="522C3A6C" w:rsidR="00207895" w:rsidRDefault="00207895" w:rsidP="00207895">
      <w:pPr>
        <w:pStyle w:val="FigureorTableCaption"/>
        <w:jc w:val="both"/>
      </w:pPr>
      <w:proofErr w:type="gramStart"/>
      <w:r w:rsidRPr="00974A1C">
        <w:rPr>
          <w:b/>
        </w:rPr>
        <w:t xml:space="preserve">Figure </w:t>
      </w:r>
      <w:r>
        <w:rPr>
          <w:b/>
        </w:rPr>
        <w:t>3</w:t>
      </w:r>
      <w:r w:rsidRPr="00974A1C">
        <w:t>.</w:t>
      </w:r>
      <w:proofErr w:type="gramEnd"/>
      <w:r w:rsidRPr="00974A1C">
        <w:t xml:space="preserve"> </w:t>
      </w:r>
      <w:proofErr w:type="gramStart"/>
      <w:r w:rsidRPr="006901EC">
        <w:t>Major element compositions for basaltic samples from the easternmost part of the Southwest Indian Ridge (SWIR; 61° to 67°E) and from other regions of the SWIR and global mid-ocean ridge (MOR) system.</w:t>
      </w:r>
      <w:proofErr w:type="gramEnd"/>
      <w:r w:rsidRPr="006901EC">
        <w:t xml:space="preserve"> </w:t>
      </w:r>
      <w:proofErr w:type="gramStart"/>
      <w:r w:rsidRPr="006901EC">
        <w:t>SiO</w:t>
      </w:r>
      <w:r w:rsidRPr="00EB55E6">
        <w:rPr>
          <w:vertAlign w:val="subscript"/>
        </w:rPr>
        <w:t>2</w:t>
      </w:r>
      <w:r w:rsidRPr="006901EC">
        <w:t xml:space="preserve"> </w:t>
      </w:r>
      <w:r w:rsidRPr="00EB55E6">
        <w:rPr>
          <w:b/>
        </w:rPr>
        <w:t>(a)</w:t>
      </w:r>
      <w:r w:rsidRPr="006901EC">
        <w:t>, TiO</w:t>
      </w:r>
      <w:r w:rsidRPr="00EB55E6">
        <w:rPr>
          <w:vertAlign w:val="subscript"/>
        </w:rPr>
        <w:t>2</w:t>
      </w:r>
      <w:r w:rsidRPr="006901EC">
        <w:t xml:space="preserve"> </w:t>
      </w:r>
      <w:r w:rsidRPr="00EB55E6">
        <w:rPr>
          <w:b/>
        </w:rPr>
        <w:t>(b)</w:t>
      </w:r>
      <w:r w:rsidRPr="006901EC">
        <w:t>, Na</w:t>
      </w:r>
      <w:r w:rsidRPr="00EB55E6">
        <w:rPr>
          <w:vertAlign w:val="subscript"/>
        </w:rPr>
        <w:t>2</w:t>
      </w:r>
      <w:r w:rsidRPr="006901EC">
        <w:t xml:space="preserve">O </w:t>
      </w:r>
      <w:r w:rsidRPr="00EB55E6">
        <w:rPr>
          <w:b/>
        </w:rPr>
        <w:t>(c)</w:t>
      </w:r>
      <w:r w:rsidRPr="006901EC">
        <w:t xml:space="preserve">, CaO </w:t>
      </w:r>
      <w:r w:rsidRPr="00EB55E6">
        <w:rPr>
          <w:b/>
        </w:rPr>
        <w:t>(d)</w:t>
      </w:r>
      <w:r w:rsidRPr="006901EC">
        <w:t>, Al</w:t>
      </w:r>
      <w:r w:rsidRPr="00EB55E6">
        <w:rPr>
          <w:vertAlign w:val="subscript"/>
        </w:rPr>
        <w:t>2</w:t>
      </w:r>
      <w:r w:rsidRPr="006901EC">
        <w:t>O</w:t>
      </w:r>
      <w:r w:rsidRPr="00EB55E6">
        <w:rPr>
          <w:vertAlign w:val="subscript"/>
        </w:rPr>
        <w:t>3</w:t>
      </w:r>
      <w:r w:rsidRPr="006901EC">
        <w:t xml:space="preserve"> </w:t>
      </w:r>
      <w:r w:rsidRPr="00EB55E6">
        <w:rPr>
          <w:b/>
        </w:rPr>
        <w:t>(e)</w:t>
      </w:r>
      <w:r w:rsidRPr="006901EC">
        <w:t xml:space="preserve"> and FeO </w:t>
      </w:r>
      <w:r w:rsidRPr="00EB55E6">
        <w:rPr>
          <w:b/>
        </w:rPr>
        <w:t>(f)</w:t>
      </w:r>
      <w:r w:rsidRPr="006901EC">
        <w:t xml:space="preserve"> contents as a function of MgO content.</w:t>
      </w:r>
      <w:proofErr w:type="gramEnd"/>
      <w:r w:rsidRPr="006901EC">
        <w:t xml:space="preserve"> Triangles represent basalts collected in ultramafic seafloor areas of the 61°-67°E SWIR region (colored by dredge number as in Figure 1), and </w:t>
      </w:r>
      <w:r w:rsidR="003B3804">
        <w:t xml:space="preserve">dark </w:t>
      </w:r>
      <w:r w:rsidRPr="006901EC">
        <w:t>grey circles correspond to basalts collected in volcanic seafloor areas</w:t>
      </w:r>
      <w:r>
        <w:t xml:space="preserve"> (pale grey symbols </w:t>
      </w:r>
      <w:r>
        <w:lastRenderedPageBreak/>
        <w:t xml:space="preserve">correspond to the LREE-depleted basalts sampled in dredges </w:t>
      </w:r>
      <w:r w:rsidRPr="003D6C63">
        <w:t>ED20, ED22 and ED26</w:t>
      </w:r>
      <w:r>
        <w:t>; Figure 1)</w:t>
      </w:r>
      <w:r w:rsidRPr="006901EC">
        <w:t>. The open circles are basalts collected in other regions of the Southwest Indian Ridg</w:t>
      </w:r>
      <w:r w:rsidR="001C0C0A">
        <w:t xml:space="preserve">e </w:t>
      </w:r>
      <w:r w:rsidR="003B3804">
        <w:t>[</w:t>
      </w:r>
      <w:r w:rsidR="001C0C0A" w:rsidRPr="003B3804">
        <w:rPr>
          <w:i/>
        </w:rPr>
        <w:t>Meyzen et al.</w:t>
      </w:r>
      <w:r w:rsidR="001C0C0A">
        <w:t xml:space="preserve">, 2003; </w:t>
      </w:r>
      <w:r w:rsidR="001C0C0A" w:rsidRPr="003B3804">
        <w:rPr>
          <w:i/>
        </w:rPr>
        <w:t xml:space="preserve">Humler </w:t>
      </w:r>
      <w:r w:rsidRPr="003B3804">
        <w:rPr>
          <w:i/>
        </w:rPr>
        <w:t>et al.</w:t>
      </w:r>
      <w:r w:rsidRPr="006901EC">
        <w:t>, unpublished data</w:t>
      </w:r>
      <w:r w:rsidR="003B3804">
        <w:t>]</w:t>
      </w:r>
      <w:r w:rsidRPr="006901EC">
        <w:t xml:space="preserve">. The green circles correspond to the low K/Ti basalts of </w:t>
      </w:r>
      <w:r w:rsidRPr="003B3804">
        <w:rPr>
          <w:i/>
        </w:rPr>
        <w:t>Standish et al.</w:t>
      </w:r>
      <w:r w:rsidRPr="006901EC">
        <w:t xml:space="preserve"> </w:t>
      </w:r>
      <w:r w:rsidR="003B3804">
        <w:t>[2</w:t>
      </w:r>
      <w:r w:rsidRPr="006901EC">
        <w:t>008</w:t>
      </w:r>
      <w:r w:rsidR="003B3804">
        <w:t>]</w:t>
      </w:r>
      <w:r w:rsidRPr="006901EC">
        <w:t>. All the crosses correspond to PetDB (</w:t>
      </w:r>
      <w:hyperlink r:id="rId15" w:history="1">
        <w:r w:rsidRPr="006901EC">
          <w:t>www.earthchem.org/petdb</w:t>
        </w:r>
      </w:hyperlink>
      <w:r w:rsidRPr="006901EC">
        <w:t>, Lehnert et al., 2000) data for the Mid-Atlantic Ridge</w:t>
      </w:r>
      <w:r w:rsidR="00B01A9E">
        <w:t xml:space="preserve"> (MAR)</w:t>
      </w:r>
      <w:r w:rsidRPr="006901EC">
        <w:t>, East Pacific Rise</w:t>
      </w:r>
      <w:r w:rsidR="00B01A9E">
        <w:t xml:space="preserve"> (EPR)</w:t>
      </w:r>
      <w:r w:rsidRPr="006901EC">
        <w:t>, Australian-Antarctic Discordance</w:t>
      </w:r>
      <w:r w:rsidR="00B01A9E">
        <w:t xml:space="preserve"> (AAD)</w:t>
      </w:r>
      <w:r w:rsidR="00FA2E55">
        <w:t>, Mid-Cayman Rise</w:t>
      </w:r>
      <w:r w:rsidRPr="006901EC">
        <w:t xml:space="preserve">, and Gakkel ridge </w:t>
      </w:r>
      <w:r w:rsidR="003B3804">
        <w:t>[</w:t>
      </w:r>
      <w:r w:rsidRPr="006901EC">
        <w:t xml:space="preserve">PetDB, </w:t>
      </w:r>
      <w:r w:rsidRPr="003B3804">
        <w:rPr>
          <w:i/>
        </w:rPr>
        <w:t>Gale et al.</w:t>
      </w:r>
      <w:r w:rsidRPr="006901EC">
        <w:t>, 2014</w:t>
      </w:r>
      <w:r w:rsidR="003B3804">
        <w:t>]</w:t>
      </w:r>
      <w:r w:rsidRPr="006901EC">
        <w:t xml:space="preserve">. Details on </w:t>
      </w:r>
      <w:r w:rsidR="00E55178">
        <w:t>the</w:t>
      </w:r>
      <w:r w:rsidR="00E55178" w:rsidRPr="006901EC">
        <w:t xml:space="preserve"> </w:t>
      </w:r>
      <w:r w:rsidRPr="006901EC">
        <w:t>selection of these other samples and complete references can be found in the Supplementary material.</w:t>
      </w:r>
    </w:p>
    <w:p w14:paraId="74BC2E49" w14:textId="77777777" w:rsidR="00207895" w:rsidRDefault="00207895" w:rsidP="001565A8">
      <w:pPr>
        <w:widowControl w:val="0"/>
        <w:autoSpaceDE w:val="0"/>
        <w:autoSpaceDN w:val="0"/>
        <w:adjustRightInd w:val="0"/>
        <w:spacing w:after="120"/>
        <w:jc w:val="both"/>
        <w:rPr>
          <w:sz w:val="24"/>
        </w:rPr>
      </w:pPr>
    </w:p>
    <w:p w14:paraId="2AED0FAD" w14:textId="1C00B70C" w:rsidR="001565A8" w:rsidRPr="00022B05" w:rsidRDefault="001565A8" w:rsidP="001565A8">
      <w:pPr>
        <w:spacing w:after="120"/>
        <w:jc w:val="both"/>
        <w:rPr>
          <w:sz w:val="24"/>
        </w:rPr>
      </w:pPr>
      <w:r w:rsidRPr="00022B05">
        <w:rPr>
          <w:sz w:val="24"/>
        </w:rPr>
        <w:tab/>
        <w:t xml:space="preserve">Most 61°-67°E SWIR basalts are richer in </w:t>
      </w:r>
      <w:r w:rsidR="00120CA5" w:rsidRPr="00022B05">
        <w:rPr>
          <w:sz w:val="24"/>
        </w:rPr>
        <w:t>Na</w:t>
      </w:r>
      <w:r w:rsidR="00120CA5" w:rsidRPr="00022B05">
        <w:rPr>
          <w:sz w:val="24"/>
          <w:vertAlign w:val="subscript"/>
        </w:rPr>
        <w:t>2</w:t>
      </w:r>
      <w:r w:rsidR="00120CA5" w:rsidRPr="00022B05">
        <w:rPr>
          <w:sz w:val="24"/>
        </w:rPr>
        <w:t xml:space="preserve">O </w:t>
      </w:r>
      <w:r w:rsidRPr="00022B05">
        <w:rPr>
          <w:sz w:val="24"/>
        </w:rPr>
        <w:t xml:space="preserve">and </w:t>
      </w:r>
      <w:r w:rsidR="00120CA5" w:rsidRPr="00022B05">
        <w:rPr>
          <w:sz w:val="24"/>
        </w:rPr>
        <w:t>Al</w:t>
      </w:r>
      <w:r w:rsidR="00120CA5" w:rsidRPr="00022B05">
        <w:rPr>
          <w:sz w:val="24"/>
          <w:vertAlign w:val="subscript"/>
        </w:rPr>
        <w:t>2</w:t>
      </w:r>
      <w:r w:rsidR="00120CA5" w:rsidRPr="00022B05">
        <w:rPr>
          <w:sz w:val="24"/>
        </w:rPr>
        <w:t>O</w:t>
      </w:r>
      <w:r w:rsidR="00120CA5" w:rsidRPr="00022B05">
        <w:rPr>
          <w:sz w:val="24"/>
          <w:vertAlign w:val="subscript"/>
        </w:rPr>
        <w:t>3</w:t>
      </w:r>
      <w:r w:rsidR="00120CA5" w:rsidRPr="00022B05">
        <w:rPr>
          <w:sz w:val="24"/>
        </w:rPr>
        <w:t xml:space="preserve"> </w:t>
      </w:r>
      <w:r w:rsidRPr="00022B05">
        <w:rPr>
          <w:sz w:val="24"/>
        </w:rPr>
        <w:t>at a given MgO content than basalts from other ultraslow and deep ridges such as Cayman Trough or Gakkel (Figure 3a and c), suggesting that they represent a global end-member in terms of low degrees of mantle partial melting. Their CaO/Al</w:t>
      </w:r>
      <w:r w:rsidRPr="00022B05">
        <w:rPr>
          <w:sz w:val="24"/>
          <w:vertAlign w:val="subscript"/>
        </w:rPr>
        <w:t>2</w:t>
      </w:r>
      <w:r w:rsidRPr="00022B05">
        <w:rPr>
          <w:sz w:val="24"/>
        </w:rPr>
        <w:t>O</w:t>
      </w:r>
      <w:r w:rsidRPr="00022B05">
        <w:rPr>
          <w:sz w:val="24"/>
          <w:vertAlign w:val="subscript"/>
        </w:rPr>
        <w:t>3</w:t>
      </w:r>
      <w:r w:rsidRPr="00022B05">
        <w:rPr>
          <w:sz w:val="24"/>
        </w:rPr>
        <w:t xml:space="preserve"> ratio is also in the lowermost range (&lt;0.67) for the global MOR system (Figure 4b and c). However, they are not, as could be expected for melts produced by low degree of mantle melting, also richer in </w:t>
      </w:r>
      <w:r w:rsidR="00120CA5" w:rsidRPr="00022B05">
        <w:rPr>
          <w:sz w:val="24"/>
        </w:rPr>
        <w:t>TiO</w:t>
      </w:r>
      <w:r w:rsidR="00120CA5" w:rsidRPr="00022B05">
        <w:rPr>
          <w:sz w:val="24"/>
          <w:vertAlign w:val="subscript"/>
        </w:rPr>
        <w:t>2</w:t>
      </w:r>
      <w:r w:rsidR="00120CA5" w:rsidRPr="00120CA5">
        <w:rPr>
          <w:sz w:val="24"/>
        </w:rPr>
        <w:t xml:space="preserve"> </w:t>
      </w:r>
      <w:r w:rsidRPr="00022B05">
        <w:rPr>
          <w:sz w:val="24"/>
        </w:rPr>
        <w:t xml:space="preserve">at a given MgO content (Figure 3f). This is consistent with the conclusions of </w:t>
      </w:r>
      <w:r w:rsidRPr="00022B05">
        <w:rPr>
          <w:i/>
          <w:sz w:val="24"/>
        </w:rPr>
        <w:t xml:space="preserve">Meyzen et al. </w:t>
      </w:r>
      <w:r w:rsidR="005A7C9F" w:rsidRPr="00022B05">
        <w:rPr>
          <w:sz w:val="24"/>
        </w:rPr>
        <w:t xml:space="preserve">[2003] </w:t>
      </w:r>
      <w:r w:rsidRPr="00022B05">
        <w:rPr>
          <w:sz w:val="24"/>
        </w:rPr>
        <w:t>that the 61°-67°E SWIR basalts derive from a titanium-depleted mantle source.</w:t>
      </w:r>
    </w:p>
    <w:p w14:paraId="637F1EEF" w14:textId="3806BDD0" w:rsidR="001565A8" w:rsidRPr="00022B05" w:rsidRDefault="001565A8" w:rsidP="001565A8">
      <w:pPr>
        <w:spacing w:after="120"/>
        <w:jc w:val="both"/>
        <w:rPr>
          <w:sz w:val="24"/>
        </w:rPr>
      </w:pPr>
      <w:r w:rsidRPr="00022B05">
        <w:rPr>
          <w:sz w:val="24"/>
        </w:rPr>
        <w:tab/>
      </w:r>
      <w:r w:rsidR="009567D2">
        <w:rPr>
          <w:sz w:val="24"/>
        </w:rPr>
        <w:t>Ultramafic seafloor basalts</w:t>
      </w:r>
      <w:r w:rsidRPr="00022B05">
        <w:rPr>
          <w:sz w:val="24"/>
        </w:rPr>
        <w:t xml:space="preserve"> have high Na</w:t>
      </w:r>
      <w:r w:rsidRPr="00022B05">
        <w:rPr>
          <w:sz w:val="24"/>
          <w:vertAlign w:val="subscript"/>
        </w:rPr>
        <w:t>2</w:t>
      </w:r>
      <w:r w:rsidRPr="00022B05">
        <w:rPr>
          <w:sz w:val="24"/>
        </w:rPr>
        <w:t>O contents (3.</w:t>
      </w:r>
      <w:r w:rsidR="009567D2">
        <w:rPr>
          <w:sz w:val="24"/>
        </w:rPr>
        <w:t>8</w:t>
      </w:r>
      <w:r w:rsidRPr="00022B05">
        <w:rPr>
          <w:sz w:val="24"/>
        </w:rPr>
        <w:t xml:space="preserve"> - 4.</w:t>
      </w:r>
      <w:r w:rsidR="009567D2">
        <w:rPr>
          <w:sz w:val="24"/>
        </w:rPr>
        <w:t>2</w:t>
      </w:r>
      <w:r w:rsidRPr="00022B05">
        <w:rPr>
          <w:sz w:val="24"/>
        </w:rPr>
        <w:t xml:space="preserve"> </w:t>
      </w:r>
      <w:proofErr w:type="gramStart"/>
      <w:r w:rsidRPr="00022B05">
        <w:rPr>
          <w:sz w:val="24"/>
        </w:rPr>
        <w:t>wt%</w:t>
      </w:r>
      <w:proofErr w:type="gramEnd"/>
      <w:r w:rsidRPr="00022B05">
        <w:rPr>
          <w:sz w:val="24"/>
        </w:rPr>
        <w:t>) and low CaO contents (9.</w:t>
      </w:r>
      <w:r w:rsidR="009567D2">
        <w:rPr>
          <w:sz w:val="24"/>
        </w:rPr>
        <w:t>4</w:t>
      </w:r>
      <w:r w:rsidRPr="00022B05">
        <w:rPr>
          <w:sz w:val="24"/>
        </w:rPr>
        <w:t>-10.2 wt%) over a range of MgO contents (6.</w:t>
      </w:r>
      <w:r w:rsidR="009567D2">
        <w:rPr>
          <w:sz w:val="24"/>
        </w:rPr>
        <w:t>5</w:t>
      </w:r>
      <w:r w:rsidRPr="00022B05">
        <w:rPr>
          <w:sz w:val="24"/>
        </w:rPr>
        <w:t xml:space="preserve"> and 8.6 wt%). Compared to the volcanic seafloor basalts, they tend to have higher </w:t>
      </w:r>
      <w:r w:rsidR="009567D2" w:rsidRPr="00022B05">
        <w:rPr>
          <w:sz w:val="24"/>
        </w:rPr>
        <w:t>Na</w:t>
      </w:r>
      <w:r w:rsidR="009567D2" w:rsidRPr="00022B05">
        <w:rPr>
          <w:sz w:val="24"/>
          <w:vertAlign w:val="subscript"/>
        </w:rPr>
        <w:t>2</w:t>
      </w:r>
      <w:r w:rsidR="009567D2" w:rsidRPr="00022B05">
        <w:rPr>
          <w:sz w:val="24"/>
        </w:rPr>
        <w:t>O</w:t>
      </w:r>
      <w:r w:rsidR="009567D2" w:rsidRPr="00022B05" w:rsidDel="009567D2">
        <w:rPr>
          <w:sz w:val="24"/>
        </w:rPr>
        <w:t xml:space="preserve"> </w:t>
      </w:r>
      <w:r w:rsidRPr="00022B05">
        <w:rPr>
          <w:sz w:val="24"/>
        </w:rPr>
        <w:t xml:space="preserve">and </w:t>
      </w:r>
      <w:r w:rsidR="009567D2" w:rsidRPr="00022B05">
        <w:rPr>
          <w:sz w:val="24"/>
        </w:rPr>
        <w:t>TiO</w:t>
      </w:r>
      <w:r w:rsidR="009567D2" w:rsidRPr="00022B05">
        <w:rPr>
          <w:sz w:val="24"/>
          <w:vertAlign w:val="subscript"/>
        </w:rPr>
        <w:t>2</w:t>
      </w:r>
      <w:r w:rsidR="009567D2" w:rsidRPr="009567D2">
        <w:rPr>
          <w:sz w:val="24"/>
        </w:rPr>
        <w:t xml:space="preserve"> </w:t>
      </w:r>
      <w:r w:rsidRPr="00022B05">
        <w:rPr>
          <w:sz w:val="24"/>
        </w:rPr>
        <w:t xml:space="preserve">contents at a given MgO content (Figure 3a and f), which would be consistent with a lower degree of mantle melting. Yet most also have lower </w:t>
      </w:r>
      <w:r w:rsidR="009567D2" w:rsidRPr="00022B05">
        <w:rPr>
          <w:sz w:val="24"/>
        </w:rPr>
        <w:t>Al</w:t>
      </w:r>
      <w:r w:rsidR="009567D2" w:rsidRPr="00022B05">
        <w:rPr>
          <w:sz w:val="24"/>
          <w:vertAlign w:val="subscript"/>
        </w:rPr>
        <w:t>2</w:t>
      </w:r>
      <w:r w:rsidR="009567D2" w:rsidRPr="00022B05">
        <w:rPr>
          <w:sz w:val="24"/>
        </w:rPr>
        <w:t>O</w:t>
      </w:r>
      <w:r w:rsidR="009567D2" w:rsidRPr="00022B05">
        <w:rPr>
          <w:sz w:val="24"/>
          <w:vertAlign w:val="subscript"/>
        </w:rPr>
        <w:t>3</w:t>
      </w:r>
      <w:r w:rsidR="009567D2" w:rsidRPr="00022B05">
        <w:rPr>
          <w:sz w:val="24"/>
        </w:rPr>
        <w:t xml:space="preserve"> </w:t>
      </w:r>
      <w:r w:rsidRPr="00022B05">
        <w:rPr>
          <w:sz w:val="24"/>
        </w:rPr>
        <w:t xml:space="preserve">and higher </w:t>
      </w:r>
      <w:r w:rsidR="009567D2">
        <w:rPr>
          <w:sz w:val="24"/>
        </w:rPr>
        <w:t>FeO</w:t>
      </w:r>
      <w:r w:rsidR="009567D2" w:rsidRPr="00022B05">
        <w:rPr>
          <w:sz w:val="24"/>
        </w:rPr>
        <w:t xml:space="preserve"> </w:t>
      </w:r>
      <w:r w:rsidRPr="00022B05">
        <w:rPr>
          <w:sz w:val="24"/>
        </w:rPr>
        <w:t xml:space="preserve">contents at a given MgO content (Figure 3c and d), which is not consistent with the lower degree of melting interpretation. Their </w:t>
      </w:r>
      <w:r w:rsidR="009567D2">
        <w:rPr>
          <w:sz w:val="24"/>
        </w:rPr>
        <w:t>CaO</w:t>
      </w:r>
      <w:r w:rsidR="009567D2" w:rsidRPr="00022B05">
        <w:rPr>
          <w:sz w:val="24"/>
        </w:rPr>
        <w:t xml:space="preserve"> </w:t>
      </w:r>
      <w:r w:rsidRPr="00022B05">
        <w:rPr>
          <w:sz w:val="24"/>
        </w:rPr>
        <w:t>content is also significantly lower at a given MgO than most volcanic seafloor basalts (Figure 3b). Basalt major element compositions are homogeneous in most nearly amagmatic seafloor dredges. Dredge SMS16, however, shows significant variability, with one sample (SMS16-3-14) that has a lower MgO content than the other 4 analyzed samples, and CaO, Al</w:t>
      </w:r>
      <w:r w:rsidRPr="00022B05">
        <w:rPr>
          <w:sz w:val="24"/>
          <w:vertAlign w:val="subscript"/>
        </w:rPr>
        <w:t>2</w:t>
      </w:r>
      <w:r w:rsidRPr="00022B05">
        <w:rPr>
          <w:sz w:val="24"/>
        </w:rPr>
        <w:t>O</w:t>
      </w:r>
      <w:r w:rsidRPr="00022B05">
        <w:rPr>
          <w:sz w:val="24"/>
          <w:vertAlign w:val="subscript"/>
        </w:rPr>
        <w:t>3</w:t>
      </w:r>
      <w:r w:rsidRPr="00022B05">
        <w:rPr>
          <w:sz w:val="24"/>
        </w:rPr>
        <w:t>, FeO and TiO</w:t>
      </w:r>
      <w:r w:rsidRPr="00022B05">
        <w:rPr>
          <w:sz w:val="24"/>
          <w:vertAlign w:val="subscript"/>
        </w:rPr>
        <w:t>2</w:t>
      </w:r>
      <w:r w:rsidRPr="00022B05">
        <w:rPr>
          <w:sz w:val="24"/>
        </w:rPr>
        <w:t xml:space="preserve"> contents in the range of most volcanic seafloor basalts (Figure 3).</w:t>
      </w:r>
    </w:p>
    <w:p w14:paraId="146E1D19" w14:textId="2267ACF1" w:rsidR="001565A8" w:rsidRPr="00022B05" w:rsidRDefault="00AD1274" w:rsidP="001565A8">
      <w:pPr>
        <w:pStyle w:val="Heading-Secondary"/>
      </w:pPr>
      <w:r>
        <w:t>4</w:t>
      </w:r>
      <w:r w:rsidR="001565A8" w:rsidRPr="00022B05">
        <w:t>.2 Trace elements</w:t>
      </w:r>
    </w:p>
    <w:p w14:paraId="016286C6" w14:textId="2146C9EE" w:rsidR="001565A8" w:rsidRDefault="001565A8" w:rsidP="001565A8">
      <w:pPr>
        <w:spacing w:after="120"/>
        <w:jc w:val="both"/>
        <w:rPr>
          <w:sz w:val="24"/>
        </w:rPr>
      </w:pPr>
      <w:r w:rsidRPr="00022B05">
        <w:rPr>
          <w:sz w:val="24"/>
        </w:rPr>
        <w:tab/>
        <w:t>A small number of basalt samples from the volcanic domains have LREE-depleted patterns (Figure 4a</w:t>
      </w:r>
      <w:r w:rsidR="00986634">
        <w:rPr>
          <w:sz w:val="24"/>
        </w:rPr>
        <w:t>, Table 2</w:t>
      </w:r>
      <w:r w:rsidRPr="00022B05">
        <w:rPr>
          <w:sz w:val="24"/>
        </w:rPr>
        <w:t xml:space="preserve">). These depleted samples come from dredges ED20, ED22 and ED26 (Figure 1) and also have higher maximum MgO contents, as well as lower CaO and higher FeO at a given MgO content than the other 61°-67°E SWIR basalts (Figure 3). However, most </w:t>
      </w:r>
      <w:proofErr w:type="gramStart"/>
      <w:r w:rsidRPr="00022B05">
        <w:rPr>
          <w:sz w:val="24"/>
        </w:rPr>
        <w:t>basalts</w:t>
      </w:r>
      <w:proofErr w:type="gramEnd"/>
      <w:r w:rsidRPr="00022B05">
        <w:rPr>
          <w:sz w:val="24"/>
        </w:rPr>
        <w:t xml:space="preserve"> from the 61°-67°E SWIR region, including those from nearly amagmatic corridors, have flat to slightly LREE-enriched REE patterns (Figure 4a). The (Ce/Sm</w:t>
      </w:r>
      <w:proofErr w:type="gramStart"/>
      <w:r w:rsidRPr="00022B05">
        <w:rPr>
          <w:sz w:val="24"/>
        </w:rPr>
        <w:t>)</w:t>
      </w:r>
      <w:r w:rsidRPr="00022B05">
        <w:rPr>
          <w:sz w:val="24"/>
          <w:vertAlign w:val="subscript"/>
        </w:rPr>
        <w:t>n</w:t>
      </w:r>
      <w:proofErr w:type="gramEnd"/>
      <w:r w:rsidRPr="00022B05">
        <w:rPr>
          <w:sz w:val="24"/>
        </w:rPr>
        <w:t xml:space="preserve"> ratio in these samples is ≥ 1 and they plot in the high (Ce/Sm)</w:t>
      </w:r>
      <w:r w:rsidRPr="00022B05">
        <w:rPr>
          <w:sz w:val="24"/>
          <w:vertAlign w:val="subscript"/>
        </w:rPr>
        <w:t>n</w:t>
      </w:r>
      <w:r w:rsidRPr="00022B05">
        <w:rPr>
          <w:sz w:val="24"/>
        </w:rPr>
        <w:t xml:space="preserve"> and low CaO/Al</w:t>
      </w:r>
      <w:r w:rsidRPr="00022B05">
        <w:rPr>
          <w:sz w:val="24"/>
          <w:vertAlign w:val="subscript"/>
        </w:rPr>
        <w:t>2</w:t>
      </w:r>
      <w:r w:rsidRPr="00022B05">
        <w:rPr>
          <w:sz w:val="24"/>
        </w:rPr>
        <w:t>O</w:t>
      </w:r>
      <w:r w:rsidRPr="00022B05">
        <w:rPr>
          <w:sz w:val="24"/>
          <w:vertAlign w:val="subscript"/>
        </w:rPr>
        <w:t>3</w:t>
      </w:r>
      <w:r w:rsidRPr="00022B05">
        <w:rPr>
          <w:sz w:val="24"/>
        </w:rPr>
        <w:t xml:space="preserve"> range, compared to other MORBs (Figure 4b). </w:t>
      </w:r>
      <w:r w:rsidR="00D75E92">
        <w:rPr>
          <w:sz w:val="24"/>
        </w:rPr>
        <w:t>However, t</w:t>
      </w:r>
      <w:r w:rsidRPr="00022B05">
        <w:rPr>
          <w:sz w:val="24"/>
        </w:rPr>
        <w:t>heir (Sm/Yb</w:t>
      </w:r>
      <w:proofErr w:type="gramStart"/>
      <w:r w:rsidRPr="00022B05">
        <w:rPr>
          <w:sz w:val="24"/>
        </w:rPr>
        <w:t>)</w:t>
      </w:r>
      <w:r w:rsidRPr="00022B05">
        <w:rPr>
          <w:sz w:val="24"/>
          <w:vertAlign w:val="subscript"/>
        </w:rPr>
        <w:t>n</w:t>
      </w:r>
      <w:proofErr w:type="gramEnd"/>
      <w:r w:rsidRPr="00022B05">
        <w:rPr>
          <w:sz w:val="24"/>
        </w:rPr>
        <w:t xml:space="preserve"> ratio</w:t>
      </w:r>
      <w:r w:rsidR="00D75E92">
        <w:rPr>
          <w:sz w:val="24"/>
        </w:rPr>
        <w:t xml:space="preserve"> </w:t>
      </w:r>
      <w:r w:rsidRPr="00022B05">
        <w:rPr>
          <w:sz w:val="24"/>
        </w:rPr>
        <w:t>is generally lower, at a given CaO/</w:t>
      </w:r>
      <w:r w:rsidR="005A7C9F" w:rsidRPr="00022B05">
        <w:rPr>
          <w:sz w:val="24"/>
        </w:rPr>
        <w:t xml:space="preserve"> Al</w:t>
      </w:r>
      <w:r w:rsidR="005A7C9F" w:rsidRPr="00022B05">
        <w:rPr>
          <w:sz w:val="24"/>
          <w:vertAlign w:val="subscript"/>
        </w:rPr>
        <w:t>2</w:t>
      </w:r>
      <w:r w:rsidR="005A7C9F" w:rsidRPr="00022B05">
        <w:rPr>
          <w:sz w:val="24"/>
        </w:rPr>
        <w:t>O</w:t>
      </w:r>
      <w:r w:rsidR="005A7C9F" w:rsidRPr="00022B05">
        <w:rPr>
          <w:sz w:val="24"/>
          <w:vertAlign w:val="subscript"/>
        </w:rPr>
        <w:t>3</w:t>
      </w:r>
      <w:r w:rsidR="005A7C9F" w:rsidRPr="00022B05">
        <w:rPr>
          <w:sz w:val="24"/>
        </w:rPr>
        <w:t xml:space="preserve"> </w:t>
      </w:r>
      <w:r w:rsidRPr="00022B05">
        <w:rPr>
          <w:sz w:val="24"/>
        </w:rPr>
        <w:t xml:space="preserve">ratio, than that of basalts from other ultraslow and deep ridge regions (Gakkel or Cayman Trough; Figure 4c). This indicates a slight relative enrichment in the heaviest REE, which has been discussed by </w:t>
      </w:r>
      <w:r w:rsidRPr="00022B05">
        <w:rPr>
          <w:i/>
          <w:sz w:val="24"/>
        </w:rPr>
        <w:t>Meyzen et al.</w:t>
      </w:r>
      <w:r w:rsidR="005A7C9F" w:rsidRPr="00022B05">
        <w:rPr>
          <w:sz w:val="24"/>
        </w:rPr>
        <w:t xml:space="preserve"> [2003]</w:t>
      </w:r>
      <w:r w:rsidRPr="00022B05">
        <w:rPr>
          <w:sz w:val="24"/>
        </w:rPr>
        <w:t xml:space="preserve"> who interpreted it as due to melting of a refertilized depleted mantle. </w:t>
      </w:r>
    </w:p>
    <w:p w14:paraId="04BAF880" w14:textId="77777777" w:rsidR="00E137B3" w:rsidRDefault="00E137B3" w:rsidP="001565A8">
      <w:pPr>
        <w:spacing w:after="120"/>
        <w:jc w:val="both"/>
        <w:rPr>
          <w:sz w:val="24"/>
        </w:rPr>
      </w:pPr>
    </w:p>
    <w:p w14:paraId="5B8B0956" w14:textId="77777777" w:rsidR="00D75E92" w:rsidRDefault="00D75E92" w:rsidP="001565A8">
      <w:pPr>
        <w:spacing w:after="120"/>
        <w:jc w:val="both"/>
        <w:rPr>
          <w:sz w:val="24"/>
        </w:rPr>
      </w:pPr>
    </w:p>
    <w:p w14:paraId="7FF211AA" w14:textId="77777777" w:rsidR="00D75E92" w:rsidRDefault="00D75E92" w:rsidP="001565A8">
      <w:pPr>
        <w:spacing w:after="120"/>
        <w:jc w:val="both"/>
        <w:rPr>
          <w:sz w:val="24"/>
        </w:rPr>
      </w:pPr>
    </w:p>
    <w:p w14:paraId="08E1ACC7" w14:textId="77777777" w:rsidR="00D75E92" w:rsidRPr="00022B05" w:rsidRDefault="00D75E92" w:rsidP="00D75E92">
      <w:pPr>
        <w:pStyle w:val="FigureorTableCaption"/>
      </w:pPr>
      <w:proofErr w:type="gramStart"/>
      <w:r w:rsidRPr="00022B05">
        <w:rPr>
          <w:b/>
        </w:rPr>
        <w:lastRenderedPageBreak/>
        <w:t xml:space="preserve">Table </w:t>
      </w:r>
      <w:r>
        <w:rPr>
          <w:b/>
        </w:rPr>
        <w:t>2</w:t>
      </w:r>
      <w:r w:rsidRPr="00022B05">
        <w:rPr>
          <w:b/>
        </w:rPr>
        <w:t>.</w:t>
      </w:r>
      <w:proofErr w:type="gramEnd"/>
      <w:r w:rsidRPr="00022B05">
        <w:t xml:space="preserve"> </w:t>
      </w:r>
      <w:r>
        <w:rPr>
          <w:color w:val="000000"/>
        </w:rPr>
        <w:t>Trace</w:t>
      </w:r>
      <w:r w:rsidRPr="00FB1336">
        <w:rPr>
          <w:color w:val="000000"/>
        </w:rPr>
        <w:t xml:space="preserve"> element compositions</w:t>
      </w:r>
      <w:r>
        <w:rPr>
          <w:color w:val="000000"/>
        </w:rPr>
        <w:t xml:space="preserve"> (ppm)</w:t>
      </w:r>
      <w:r w:rsidRPr="00FB1336">
        <w:rPr>
          <w:color w:val="000000"/>
        </w:rPr>
        <w:t xml:space="preserve"> of representative ultramafic and volcanic seafloor basalts</w:t>
      </w:r>
      <w:r>
        <w:rPr>
          <w:color w:val="000000"/>
        </w:rPr>
        <w:t>.</w:t>
      </w:r>
    </w:p>
    <w:tbl>
      <w:tblPr>
        <w:tblW w:w="9568" w:type="dxa"/>
        <w:tblCellMar>
          <w:left w:w="70" w:type="dxa"/>
          <w:right w:w="70" w:type="dxa"/>
        </w:tblCellMar>
        <w:tblLook w:val="04A0" w:firstRow="1" w:lastRow="0" w:firstColumn="1" w:lastColumn="0" w:noHBand="0" w:noVBand="1"/>
      </w:tblPr>
      <w:tblGrid>
        <w:gridCol w:w="1092"/>
        <w:gridCol w:w="765"/>
        <w:gridCol w:w="765"/>
        <w:gridCol w:w="766"/>
        <w:gridCol w:w="766"/>
        <w:gridCol w:w="766"/>
        <w:gridCol w:w="877"/>
        <w:gridCol w:w="766"/>
        <w:gridCol w:w="766"/>
        <w:gridCol w:w="766"/>
        <w:gridCol w:w="766"/>
        <w:gridCol w:w="707"/>
      </w:tblGrid>
      <w:tr w:rsidR="0084302E" w:rsidRPr="000B52EF" w14:paraId="5E16FCD8" w14:textId="77777777" w:rsidTr="0084302E">
        <w:trPr>
          <w:trHeight w:val="300"/>
        </w:trPr>
        <w:tc>
          <w:tcPr>
            <w:tcW w:w="0" w:type="auto"/>
            <w:tcBorders>
              <w:top w:val="single" w:sz="4" w:space="0" w:color="auto"/>
              <w:left w:val="nil"/>
              <w:bottom w:val="nil"/>
              <w:right w:val="nil"/>
            </w:tcBorders>
            <w:shd w:val="clear" w:color="auto" w:fill="auto"/>
            <w:vAlign w:val="center"/>
            <w:hideMark/>
          </w:tcPr>
          <w:p w14:paraId="3FC11E5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Sample</w:t>
            </w:r>
          </w:p>
        </w:tc>
        <w:tc>
          <w:tcPr>
            <w:tcW w:w="0" w:type="auto"/>
            <w:tcBorders>
              <w:top w:val="single" w:sz="4" w:space="0" w:color="auto"/>
              <w:left w:val="nil"/>
              <w:bottom w:val="nil"/>
              <w:right w:val="nil"/>
            </w:tcBorders>
            <w:shd w:val="clear" w:color="auto" w:fill="auto"/>
            <w:noWrap/>
            <w:vAlign w:val="center"/>
            <w:hideMark/>
          </w:tcPr>
          <w:p w14:paraId="5F93A33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ED</w:t>
            </w:r>
          </w:p>
          <w:p w14:paraId="6EB50EF2" w14:textId="3DE91C05"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12-2-2</w:t>
            </w:r>
          </w:p>
        </w:tc>
        <w:tc>
          <w:tcPr>
            <w:tcW w:w="0" w:type="auto"/>
            <w:tcBorders>
              <w:top w:val="single" w:sz="4" w:space="0" w:color="auto"/>
              <w:left w:val="nil"/>
              <w:bottom w:val="nil"/>
              <w:right w:val="nil"/>
            </w:tcBorders>
            <w:shd w:val="clear" w:color="auto" w:fill="auto"/>
            <w:noWrap/>
            <w:vAlign w:val="center"/>
            <w:hideMark/>
          </w:tcPr>
          <w:p w14:paraId="32E4B7A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ED</w:t>
            </w:r>
          </w:p>
          <w:p w14:paraId="330B4DFB" w14:textId="0B6607E4"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22-2-1</w:t>
            </w:r>
          </w:p>
        </w:tc>
        <w:tc>
          <w:tcPr>
            <w:tcW w:w="0" w:type="auto"/>
            <w:tcBorders>
              <w:top w:val="single" w:sz="4" w:space="0" w:color="auto"/>
              <w:left w:val="nil"/>
              <w:bottom w:val="nil"/>
              <w:right w:val="nil"/>
            </w:tcBorders>
            <w:shd w:val="clear" w:color="auto" w:fill="auto"/>
            <w:noWrap/>
            <w:vAlign w:val="center"/>
            <w:hideMark/>
          </w:tcPr>
          <w:p w14:paraId="64496C3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ED</w:t>
            </w:r>
          </w:p>
          <w:p w14:paraId="53BB5798" w14:textId="6FC9C1F6"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26-1-2</w:t>
            </w:r>
          </w:p>
        </w:tc>
        <w:tc>
          <w:tcPr>
            <w:tcW w:w="0" w:type="auto"/>
            <w:tcBorders>
              <w:top w:val="single" w:sz="4" w:space="0" w:color="auto"/>
              <w:left w:val="nil"/>
              <w:bottom w:val="nil"/>
              <w:right w:val="nil"/>
            </w:tcBorders>
            <w:shd w:val="clear" w:color="auto" w:fill="auto"/>
            <w:noWrap/>
            <w:vAlign w:val="center"/>
            <w:hideMark/>
          </w:tcPr>
          <w:p w14:paraId="2A22F2D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551C5203" w14:textId="19CB7209"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19-4-4</w:t>
            </w:r>
          </w:p>
        </w:tc>
        <w:tc>
          <w:tcPr>
            <w:tcW w:w="0" w:type="auto"/>
            <w:tcBorders>
              <w:top w:val="single" w:sz="4" w:space="0" w:color="auto"/>
              <w:left w:val="nil"/>
              <w:bottom w:val="nil"/>
              <w:right w:val="nil"/>
            </w:tcBorders>
            <w:shd w:val="clear" w:color="auto" w:fill="auto"/>
            <w:noWrap/>
            <w:vAlign w:val="center"/>
            <w:hideMark/>
          </w:tcPr>
          <w:p w14:paraId="2DFFE42B" w14:textId="707B8653" w:rsidR="0084302E"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3A83173B" w14:textId="4CE10B4E"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16-3-5</w:t>
            </w:r>
          </w:p>
        </w:tc>
        <w:tc>
          <w:tcPr>
            <w:tcW w:w="0" w:type="auto"/>
            <w:tcBorders>
              <w:top w:val="single" w:sz="4" w:space="0" w:color="auto"/>
              <w:left w:val="nil"/>
              <w:bottom w:val="nil"/>
              <w:right w:val="nil"/>
            </w:tcBorders>
            <w:shd w:val="clear" w:color="auto" w:fill="auto"/>
            <w:noWrap/>
            <w:vAlign w:val="center"/>
            <w:hideMark/>
          </w:tcPr>
          <w:p w14:paraId="3A3CF6E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521EF99D" w14:textId="4FD83ACE"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16-3-14</w:t>
            </w:r>
          </w:p>
        </w:tc>
        <w:tc>
          <w:tcPr>
            <w:tcW w:w="0" w:type="auto"/>
            <w:tcBorders>
              <w:top w:val="single" w:sz="4" w:space="0" w:color="auto"/>
              <w:left w:val="nil"/>
              <w:bottom w:val="nil"/>
              <w:right w:val="nil"/>
            </w:tcBorders>
            <w:shd w:val="clear" w:color="auto" w:fill="auto"/>
            <w:noWrap/>
            <w:vAlign w:val="center"/>
            <w:hideMark/>
          </w:tcPr>
          <w:p w14:paraId="3554D09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095AEB4F" w14:textId="11D3364E"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23-2-2</w:t>
            </w:r>
          </w:p>
        </w:tc>
        <w:tc>
          <w:tcPr>
            <w:tcW w:w="0" w:type="auto"/>
            <w:tcBorders>
              <w:top w:val="single" w:sz="4" w:space="0" w:color="auto"/>
              <w:left w:val="nil"/>
              <w:bottom w:val="nil"/>
              <w:right w:val="nil"/>
            </w:tcBorders>
            <w:shd w:val="clear" w:color="auto" w:fill="auto"/>
            <w:noWrap/>
            <w:vAlign w:val="center"/>
            <w:hideMark/>
          </w:tcPr>
          <w:p w14:paraId="6ED7151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0001DF10" w14:textId="4C5018FF"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24-2-3</w:t>
            </w:r>
          </w:p>
        </w:tc>
        <w:tc>
          <w:tcPr>
            <w:tcW w:w="0" w:type="auto"/>
            <w:tcBorders>
              <w:top w:val="single" w:sz="4" w:space="0" w:color="auto"/>
              <w:left w:val="nil"/>
              <w:bottom w:val="nil"/>
              <w:right w:val="nil"/>
            </w:tcBorders>
            <w:shd w:val="clear" w:color="auto" w:fill="auto"/>
            <w:noWrap/>
            <w:vAlign w:val="center"/>
            <w:hideMark/>
          </w:tcPr>
          <w:p w14:paraId="37DBD72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62D7267A" w14:textId="07DA28A6"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26-3-1</w:t>
            </w:r>
          </w:p>
        </w:tc>
        <w:tc>
          <w:tcPr>
            <w:tcW w:w="0" w:type="auto"/>
            <w:tcBorders>
              <w:top w:val="single" w:sz="4" w:space="0" w:color="auto"/>
              <w:left w:val="nil"/>
              <w:bottom w:val="nil"/>
              <w:right w:val="nil"/>
            </w:tcBorders>
            <w:shd w:val="clear" w:color="auto" w:fill="auto"/>
            <w:noWrap/>
            <w:vAlign w:val="center"/>
            <w:hideMark/>
          </w:tcPr>
          <w:p w14:paraId="5756193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72EC02F7" w14:textId="1D12DDBA"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28-3-3</w:t>
            </w:r>
          </w:p>
        </w:tc>
        <w:tc>
          <w:tcPr>
            <w:tcW w:w="707" w:type="dxa"/>
            <w:tcBorders>
              <w:top w:val="single" w:sz="4" w:space="0" w:color="auto"/>
              <w:left w:val="nil"/>
              <w:bottom w:val="nil"/>
              <w:right w:val="nil"/>
            </w:tcBorders>
            <w:shd w:val="clear" w:color="auto" w:fill="auto"/>
            <w:noWrap/>
            <w:vAlign w:val="center"/>
            <w:hideMark/>
          </w:tcPr>
          <w:p w14:paraId="77D0F49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SMS</w:t>
            </w:r>
          </w:p>
          <w:p w14:paraId="633AB3F7" w14:textId="26455F9D"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31-2-4</w:t>
            </w:r>
          </w:p>
        </w:tc>
      </w:tr>
      <w:tr w:rsidR="0084302E" w:rsidRPr="000B52EF" w14:paraId="0DC28B6C" w14:textId="77777777" w:rsidTr="0084302E">
        <w:trPr>
          <w:trHeight w:val="300"/>
        </w:trPr>
        <w:tc>
          <w:tcPr>
            <w:tcW w:w="0" w:type="auto"/>
            <w:tcBorders>
              <w:top w:val="nil"/>
              <w:left w:val="nil"/>
              <w:bottom w:val="nil"/>
              <w:right w:val="nil"/>
            </w:tcBorders>
            <w:shd w:val="clear" w:color="auto" w:fill="auto"/>
            <w:noWrap/>
            <w:vAlign w:val="bottom"/>
            <w:hideMark/>
          </w:tcPr>
          <w:p w14:paraId="32EEDCC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Lat. (°)</w:t>
            </w:r>
          </w:p>
        </w:tc>
        <w:tc>
          <w:tcPr>
            <w:tcW w:w="0" w:type="auto"/>
            <w:tcBorders>
              <w:top w:val="nil"/>
              <w:left w:val="nil"/>
              <w:bottom w:val="nil"/>
              <w:right w:val="nil"/>
            </w:tcBorders>
            <w:shd w:val="clear" w:color="auto" w:fill="auto"/>
            <w:noWrap/>
            <w:vAlign w:val="bottom"/>
            <w:hideMark/>
          </w:tcPr>
          <w:p w14:paraId="1099D21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-27.74</w:t>
            </w:r>
          </w:p>
        </w:tc>
        <w:tc>
          <w:tcPr>
            <w:tcW w:w="0" w:type="auto"/>
            <w:tcBorders>
              <w:top w:val="nil"/>
              <w:left w:val="nil"/>
              <w:bottom w:val="nil"/>
              <w:right w:val="nil"/>
            </w:tcBorders>
            <w:shd w:val="clear" w:color="auto" w:fill="auto"/>
            <w:noWrap/>
            <w:vAlign w:val="bottom"/>
            <w:hideMark/>
          </w:tcPr>
          <w:p w14:paraId="781D442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-28.11</w:t>
            </w:r>
          </w:p>
        </w:tc>
        <w:tc>
          <w:tcPr>
            <w:tcW w:w="0" w:type="auto"/>
            <w:tcBorders>
              <w:top w:val="nil"/>
              <w:left w:val="nil"/>
              <w:bottom w:val="nil"/>
              <w:right w:val="nil"/>
            </w:tcBorders>
            <w:shd w:val="clear" w:color="auto" w:fill="auto"/>
            <w:noWrap/>
            <w:vAlign w:val="bottom"/>
            <w:hideMark/>
          </w:tcPr>
          <w:p w14:paraId="15CC3B7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-28.80</w:t>
            </w:r>
          </w:p>
        </w:tc>
        <w:tc>
          <w:tcPr>
            <w:tcW w:w="0" w:type="auto"/>
            <w:tcBorders>
              <w:top w:val="nil"/>
              <w:left w:val="nil"/>
              <w:bottom w:val="nil"/>
              <w:right w:val="nil"/>
            </w:tcBorders>
            <w:shd w:val="clear" w:color="auto" w:fill="auto"/>
            <w:noWrap/>
            <w:vAlign w:val="bottom"/>
            <w:hideMark/>
          </w:tcPr>
          <w:p w14:paraId="571175E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-27.51</w:t>
            </w:r>
          </w:p>
        </w:tc>
        <w:tc>
          <w:tcPr>
            <w:tcW w:w="0" w:type="auto"/>
            <w:tcBorders>
              <w:top w:val="nil"/>
              <w:left w:val="nil"/>
              <w:bottom w:val="nil"/>
              <w:right w:val="nil"/>
            </w:tcBorders>
            <w:shd w:val="clear" w:color="auto" w:fill="auto"/>
            <w:noWrap/>
            <w:vAlign w:val="bottom"/>
            <w:hideMark/>
          </w:tcPr>
          <w:p w14:paraId="53E60C6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-28.54</w:t>
            </w:r>
          </w:p>
        </w:tc>
        <w:tc>
          <w:tcPr>
            <w:tcW w:w="0" w:type="auto"/>
            <w:tcBorders>
              <w:top w:val="nil"/>
              <w:left w:val="nil"/>
              <w:bottom w:val="nil"/>
              <w:right w:val="nil"/>
            </w:tcBorders>
            <w:shd w:val="clear" w:color="auto" w:fill="auto"/>
            <w:noWrap/>
            <w:vAlign w:val="bottom"/>
            <w:hideMark/>
          </w:tcPr>
          <w:p w14:paraId="3B77405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-28.54</w:t>
            </w:r>
          </w:p>
        </w:tc>
        <w:tc>
          <w:tcPr>
            <w:tcW w:w="0" w:type="auto"/>
            <w:tcBorders>
              <w:top w:val="nil"/>
              <w:left w:val="nil"/>
              <w:bottom w:val="nil"/>
              <w:right w:val="nil"/>
            </w:tcBorders>
            <w:shd w:val="clear" w:color="auto" w:fill="auto"/>
            <w:noWrap/>
            <w:vAlign w:val="bottom"/>
            <w:hideMark/>
          </w:tcPr>
          <w:p w14:paraId="68ECDAF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-28.23</w:t>
            </w:r>
          </w:p>
        </w:tc>
        <w:tc>
          <w:tcPr>
            <w:tcW w:w="0" w:type="auto"/>
            <w:tcBorders>
              <w:top w:val="nil"/>
              <w:left w:val="nil"/>
              <w:bottom w:val="nil"/>
              <w:right w:val="nil"/>
            </w:tcBorders>
            <w:shd w:val="clear" w:color="auto" w:fill="auto"/>
            <w:noWrap/>
            <w:vAlign w:val="bottom"/>
            <w:hideMark/>
          </w:tcPr>
          <w:p w14:paraId="6198415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-28.19</w:t>
            </w:r>
          </w:p>
        </w:tc>
        <w:tc>
          <w:tcPr>
            <w:tcW w:w="0" w:type="auto"/>
            <w:tcBorders>
              <w:top w:val="nil"/>
              <w:left w:val="nil"/>
              <w:bottom w:val="nil"/>
              <w:right w:val="nil"/>
            </w:tcBorders>
            <w:shd w:val="clear" w:color="auto" w:fill="auto"/>
            <w:noWrap/>
            <w:vAlign w:val="bottom"/>
            <w:hideMark/>
          </w:tcPr>
          <w:p w14:paraId="2910899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-28.15</w:t>
            </w:r>
          </w:p>
        </w:tc>
        <w:tc>
          <w:tcPr>
            <w:tcW w:w="0" w:type="auto"/>
            <w:tcBorders>
              <w:top w:val="nil"/>
              <w:left w:val="nil"/>
              <w:bottom w:val="nil"/>
              <w:right w:val="nil"/>
            </w:tcBorders>
            <w:shd w:val="clear" w:color="auto" w:fill="auto"/>
            <w:noWrap/>
            <w:vAlign w:val="bottom"/>
            <w:hideMark/>
          </w:tcPr>
          <w:p w14:paraId="7A7C3D6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-27.96</w:t>
            </w:r>
          </w:p>
        </w:tc>
        <w:tc>
          <w:tcPr>
            <w:tcW w:w="707" w:type="dxa"/>
            <w:tcBorders>
              <w:top w:val="nil"/>
              <w:left w:val="nil"/>
              <w:bottom w:val="nil"/>
              <w:right w:val="nil"/>
            </w:tcBorders>
            <w:shd w:val="clear" w:color="auto" w:fill="auto"/>
            <w:noWrap/>
            <w:vAlign w:val="bottom"/>
            <w:hideMark/>
          </w:tcPr>
          <w:p w14:paraId="0B4C6B7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-27.38</w:t>
            </w:r>
          </w:p>
        </w:tc>
      </w:tr>
      <w:tr w:rsidR="0084302E" w:rsidRPr="000B52EF" w14:paraId="03746761" w14:textId="77777777" w:rsidTr="0084302E">
        <w:trPr>
          <w:trHeight w:val="300"/>
        </w:trPr>
        <w:tc>
          <w:tcPr>
            <w:tcW w:w="0" w:type="auto"/>
            <w:tcBorders>
              <w:top w:val="nil"/>
              <w:left w:val="nil"/>
              <w:bottom w:val="nil"/>
              <w:right w:val="nil"/>
            </w:tcBorders>
            <w:shd w:val="clear" w:color="auto" w:fill="auto"/>
            <w:noWrap/>
            <w:vAlign w:val="bottom"/>
            <w:hideMark/>
          </w:tcPr>
          <w:p w14:paraId="7B6B58A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Long. (°)</w:t>
            </w:r>
          </w:p>
        </w:tc>
        <w:tc>
          <w:tcPr>
            <w:tcW w:w="0" w:type="auto"/>
            <w:tcBorders>
              <w:top w:val="nil"/>
              <w:left w:val="nil"/>
              <w:bottom w:val="nil"/>
              <w:right w:val="nil"/>
            </w:tcBorders>
            <w:shd w:val="clear" w:color="auto" w:fill="auto"/>
            <w:noWrap/>
            <w:vAlign w:val="bottom"/>
            <w:hideMark/>
          </w:tcPr>
          <w:p w14:paraId="6034847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65.35</w:t>
            </w:r>
          </w:p>
        </w:tc>
        <w:tc>
          <w:tcPr>
            <w:tcW w:w="0" w:type="auto"/>
            <w:tcBorders>
              <w:top w:val="nil"/>
              <w:left w:val="nil"/>
              <w:bottom w:val="nil"/>
              <w:right w:val="nil"/>
            </w:tcBorders>
            <w:shd w:val="clear" w:color="auto" w:fill="auto"/>
            <w:noWrap/>
            <w:vAlign w:val="bottom"/>
            <w:hideMark/>
          </w:tcPr>
          <w:p w14:paraId="59C9961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63.36</w:t>
            </w:r>
          </w:p>
        </w:tc>
        <w:tc>
          <w:tcPr>
            <w:tcW w:w="0" w:type="auto"/>
            <w:tcBorders>
              <w:top w:val="nil"/>
              <w:left w:val="nil"/>
              <w:bottom w:val="nil"/>
              <w:right w:val="nil"/>
            </w:tcBorders>
            <w:shd w:val="clear" w:color="auto" w:fill="auto"/>
            <w:noWrap/>
            <w:vAlign w:val="bottom"/>
            <w:hideMark/>
          </w:tcPr>
          <w:p w14:paraId="258F4B7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61.93</w:t>
            </w:r>
          </w:p>
        </w:tc>
        <w:tc>
          <w:tcPr>
            <w:tcW w:w="0" w:type="auto"/>
            <w:tcBorders>
              <w:top w:val="nil"/>
              <w:left w:val="nil"/>
              <w:bottom w:val="nil"/>
              <w:right w:val="nil"/>
            </w:tcBorders>
            <w:shd w:val="clear" w:color="auto" w:fill="auto"/>
            <w:noWrap/>
            <w:vAlign w:val="bottom"/>
            <w:hideMark/>
          </w:tcPr>
          <w:p w14:paraId="054FEC8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64.06</w:t>
            </w:r>
          </w:p>
        </w:tc>
        <w:tc>
          <w:tcPr>
            <w:tcW w:w="0" w:type="auto"/>
            <w:tcBorders>
              <w:top w:val="nil"/>
              <w:left w:val="nil"/>
              <w:bottom w:val="nil"/>
              <w:right w:val="nil"/>
            </w:tcBorders>
            <w:shd w:val="clear" w:color="auto" w:fill="auto"/>
            <w:noWrap/>
            <w:vAlign w:val="bottom"/>
            <w:hideMark/>
          </w:tcPr>
          <w:p w14:paraId="6631C30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62.36</w:t>
            </w:r>
          </w:p>
        </w:tc>
        <w:tc>
          <w:tcPr>
            <w:tcW w:w="0" w:type="auto"/>
            <w:tcBorders>
              <w:top w:val="nil"/>
              <w:left w:val="nil"/>
              <w:bottom w:val="nil"/>
              <w:right w:val="nil"/>
            </w:tcBorders>
            <w:shd w:val="clear" w:color="auto" w:fill="auto"/>
            <w:noWrap/>
            <w:vAlign w:val="bottom"/>
            <w:hideMark/>
          </w:tcPr>
          <w:p w14:paraId="1E1377B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62.36</w:t>
            </w:r>
          </w:p>
        </w:tc>
        <w:tc>
          <w:tcPr>
            <w:tcW w:w="0" w:type="auto"/>
            <w:tcBorders>
              <w:top w:val="nil"/>
              <w:left w:val="nil"/>
              <w:bottom w:val="nil"/>
              <w:right w:val="nil"/>
            </w:tcBorders>
            <w:shd w:val="clear" w:color="auto" w:fill="auto"/>
            <w:noWrap/>
            <w:vAlign w:val="bottom"/>
            <w:hideMark/>
          </w:tcPr>
          <w:p w14:paraId="6BE3E28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64.63</w:t>
            </w:r>
          </w:p>
        </w:tc>
        <w:tc>
          <w:tcPr>
            <w:tcW w:w="0" w:type="auto"/>
            <w:tcBorders>
              <w:top w:val="nil"/>
              <w:left w:val="nil"/>
              <w:bottom w:val="nil"/>
              <w:right w:val="nil"/>
            </w:tcBorders>
            <w:shd w:val="clear" w:color="auto" w:fill="auto"/>
            <w:noWrap/>
            <w:vAlign w:val="bottom"/>
            <w:hideMark/>
          </w:tcPr>
          <w:p w14:paraId="2076EA8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64.54</w:t>
            </w:r>
          </w:p>
        </w:tc>
        <w:tc>
          <w:tcPr>
            <w:tcW w:w="0" w:type="auto"/>
            <w:tcBorders>
              <w:top w:val="nil"/>
              <w:left w:val="nil"/>
              <w:bottom w:val="nil"/>
              <w:right w:val="nil"/>
            </w:tcBorders>
            <w:shd w:val="clear" w:color="auto" w:fill="auto"/>
            <w:noWrap/>
            <w:vAlign w:val="bottom"/>
            <w:hideMark/>
          </w:tcPr>
          <w:p w14:paraId="0D0F220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64.65</w:t>
            </w:r>
          </w:p>
        </w:tc>
        <w:tc>
          <w:tcPr>
            <w:tcW w:w="0" w:type="auto"/>
            <w:tcBorders>
              <w:top w:val="nil"/>
              <w:left w:val="nil"/>
              <w:bottom w:val="nil"/>
              <w:right w:val="nil"/>
            </w:tcBorders>
            <w:shd w:val="clear" w:color="auto" w:fill="auto"/>
            <w:noWrap/>
            <w:vAlign w:val="bottom"/>
            <w:hideMark/>
          </w:tcPr>
          <w:p w14:paraId="1898D46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64.63</w:t>
            </w:r>
          </w:p>
        </w:tc>
        <w:tc>
          <w:tcPr>
            <w:tcW w:w="707" w:type="dxa"/>
            <w:tcBorders>
              <w:top w:val="nil"/>
              <w:left w:val="nil"/>
              <w:bottom w:val="nil"/>
              <w:right w:val="nil"/>
            </w:tcBorders>
            <w:shd w:val="clear" w:color="auto" w:fill="auto"/>
            <w:noWrap/>
            <w:vAlign w:val="bottom"/>
            <w:hideMark/>
          </w:tcPr>
          <w:p w14:paraId="3A199BA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64.55</w:t>
            </w:r>
          </w:p>
        </w:tc>
      </w:tr>
      <w:tr w:rsidR="0084302E" w:rsidRPr="000B52EF" w14:paraId="778BEBB3" w14:textId="77777777" w:rsidTr="0084302E">
        <w:trPr>
          <w:trHeight w:val="300"/>
        </w:trPr>
        <w:tc>
          <w:tcPr>
            <w:tcW w:w="0" w:type="auto"/>
            <w:tcBorders>
              <w:top w:val="nil"/>
              <w:left w:val="nil"/>
              <w:bottom w:val="nil"/>
              <w:right w:val="nil"/>
            </w:tcBorders>
            <w:shd w:val="clear" w:color="auto" w:fill="auto"/>
            <w:noWrap/>
            <w:vAlign w:val="bottom"/>
            <w:hideMark/>
          </w:tcPr>
          <w:p w14:paraId="23AE995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Depth (m)</w:t>
            </w:r>
          </w:p>
        </w:tc>
        <w:tc>
          <w:tcPr>
            <w:tcW w:w="0" w:type="auto"/>
            <w:tcBorders>
              <w:top w:val="nil"/>
              <w:left w:val="nil"/>
              <w:bottom w:val="nil"/>
              <w:right w:val="nil"/>
            </w:tcBorders>
            <w:shd w:val="clear" w:color="auto" w:fill="auto"/>
            <w:noWrap/>
            <w:vAlign w:val="bottom"/>
            <w:hideMark/>
          </w:tcPr>
          <w:p w14:paraId="7C3D01F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5550</w:t>
            </w:r>
          </w:p>
        </w:tc>
        <w:tc>
          <w:tcPr>
            <w:tcW w:w="0" w:type="auto"/>
            <w:tcBorders>
              <w:top w:val="nil"/>
              <w:left w:val="nil"/>
              <w:bottom w:val="nil"/>
              <w:right w:val="nil"/>
            </w:tcBorders>
            <w:shd w:val="clear" w:color="auto" w:fill="auto"/>
            <w:noWrap/>
            <w:vAlign w:val="bottom"/>
            <w:hideMark/>
          </w:tcPr>
          <w:p w14:paraId="4B81EB8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4950</w:t>
            </w:r>
          </w:p>
        </w:tc>
        <w:tc>
          <w:tcPr>
            <w:tcW w:w="0" w:type="auto"/>
            <w:tcBorders>
              <w:top w:val="nil"/>
              <w:left w:val="nil"/>
              <w:bottom w:val="nil"/>
              <w:right w:val="nil"/>
            </w:tcBorders>
            <w:shd w:val="clear" w:color="auto" w:fill="auto"/>
            <w:noWrap/>
            <w:vAlign w:val="bottom"/>
            <w:hideMark/>
          </w:tcPr>
          <w:p w14:paraId="5236535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4600</w:t>
            </w:r>
          </w:p>
        </w:tc>
        <w:tc>
          <w:tcPr>
            <w:tcW w:w="0" w:type="auto"/>
            <w:tcBorders>
              <w:top w:val="nil"/>
              <w:left w:val="nil"/>
              <w:bottom w:val="nil"/>
              <w:right w:val="nil"/>
            </w:tcBorders>
            <w:shd w:val="clear" w:color="auto" w:fill="auto"/>
            <w:noWrap/>
            <w:vAlign w:val="bottom"/>
            <w:hideMark/>
          </w:tcPr>
          <w:p w14:paraId="0927352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2650</w:t>
            </w:r>
          </w:p>
        </w:tc>
        <w:tc>
          <w:tcPr>
            <w:tcW w:w="0" w:type="auto"/>
            <w:tcBorders>
              <w:top w:val="nil"/>
              <w:left w:val="nil"/>
              <w:bottom w:val="nil"/>
              <w:right w:val="nil"/>
            </w:tcBorders>
            <w:shd w:val="clear" w:color="auto" w:fill="auto"/>
            <w:noWrap/>
            <w:vAlign w:val="bottom"/>
            <w:hideMark/>
          </w:tcPr>
          <w:p w14:paraId="402DD94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3850</w:t>
            </w:r>
          </w:p>
        </w:tc>
        <w:tc>
          <w:tcPr>
            <w:tcW w:w="0" w:type="auto"/>
            <w:tcBorders>
              <w:top w:val="nil"/>
              <w:left w:val="nil"/>
              <w:bottom w:val="nil"/>
              <w:right w:val="nil"/>
            </w:tcBorders>
            <w:shd w:val="clear" w:color="auto" w:fill="auto"/>
            <w:noWrap/>
            <w:vAlign w:val="bottom"/>
            <w:hideMark/>
          </w:tcPr>
          <w:p w14:paraId="39F54BA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3850</w:t>
            </w:r>
          </w:p>
        </w:tc>
        <w:tc>
          <w:tcPr>
            <w:tcW w:w="0" w:type="auto"/>
            <w:tcBorders>
              <w:top w:val="nil"/>
              <w:left w:val="nil"/>
              <w:bottom w:val="nil"/>
              <w:right w:val="nil"/>
            </w:tcBorders>
            <w:shd w:val="clear" w:color="auto" w:fill="auto"/>
            <w:noWrap/>
            <w:vAlign w:val="bottom"/>
            <w:hideMark/>
          </w:tcPr>
          <w:p w14:paraId="12648E8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3870</w:t>
            </w:r>
          </w:p>
        </w:tc>
        <w:tc>
          <w:tcPr>
            <w:tcW w:w="0" w:type="auto"/>
            <w:tcBorders>
              <w:top w:val="nil"/>
              <w:left w:val="nil"/>
              <w:bottom w:val="nil"/>
              <w:right w:val="nil"/>
            </w:tcBorders>
            <w:shd w:val="clear" w:color="auto" w:fill="auto"/>
            <w:noWrap/>
            <w:vAlign w:val="bottom"/>
            <w:hideMark/>
          </w:tcPr>
          <w:p w14:paraId="36BD903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3830</w:t>
            </w:r>
          </w:p>
        </w:tc>
        <w:tc>
          <w:tcPr>
            <w:tcW w:w="0" w:type="auto"/>
            <w:tcBorders>
              <w:top w:val="nil"/>
              <w:left w:val="nil"/>
              <w:bottom w:val="nil"/>
              <w:right w:val="nil"/>
            </w:tcBorders>
            <w:shd w:val="clear" w:color="auto" w:fill="auto"/>
            <w:noWrap/>
            <w:vAlign w:val="bottom"/>
            <w:hideMark/>
          </w:tcPr>
          <w:p w14:paraId="215345E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3960</w:t>
            </w:r>
          </w:p>
        </w:tc>
        <w:tc>
          <w:tcPr>
            <w:tcW w:w="0" w:type="auto"/>
            <w:tcBorders>
              <w:top w:val="nil"/>
              <w:left w:val="nil"/>
              <w:bottom w:val="nil"/>
              <w:right w:val="nil"/>
            </w:tcBorders>
            <w:shd w:val="clear" w:color="auto" w:fill="auto"/>
            <w:noWrap/>
            <w:vAlign w:val="bottom"/>
            <w:hideMark/>
          </w:tcPr>
          <w:p w14:paraId="12ADB5A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4550</w:t>
            </w:r>
          </w:p>
        </w:tc>
        <w:tc>
          <w:tcPr>
            <w:tcW w:w="707" w:type="dxa"/>
            <w:tcBorders>
              <w:top w:val="nil"/>
              <w:left w:val="nil"/>
              <w:bottom w:val="nil"/>
              <w:right w:val="nil"/>
            </w:tcBorders>
            <w:shd w:val="clear" w:color="auto" w:fill="auto"/>
            <w:noWrap/>
            <w:vAlign w:val="bottom"/>
            <w:hideMark/>
          </w:tcPr>
          <w:p w14:paraId="2D1E1EA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3200</w:t>
            </w:r>
          </w:p>
        </w:tc>
      </w:tr>
      <w:tr w:rsidR="0084302E" w:rsidRPr="000B52EF" w14:paraId="343F791A" w14:textId="77777777" w:rsidTr="0084302E">
        <w:trPr>
          <w:trHeight w:val="300"/>
        </w:trPr>
        <w:tc>
          <w:tcPr>
            <w:tcW w:w="0" w:type="auto"/>
            <w:tcBorders>
              <w:top w:val="nil"/>
              <w:left w:val="nil"/>
              <w:bottom w:val="single" w:sz="4" w:space="0" w:color="auto"/>
              <w:right w:val="nil"/>
            </w:tcBorders>
            <w:shd w:val="clear" w:color="auto" w:fill="auto"/>
            <w:noWrap/>
            <w:vAlign w:val="bottom"/>
            <w:hideMark/>
          </w:tcPr>
          <w:p w14:paraId="4DDE20D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Age (My)</w:t>
            </w:r>
          </w:p>
        </w:tc>
        <w:tc>
          <w:tcPr>
            <w:tcW w:w="0" w:type="auto"/>
            <w:tcBorders>
              <w:top w:val="nil"/>
              <w:left w:val="nil"/>
              <w:bottom w:val="single" w:sz="4" w:space="0" w:color="auto"/>
              <w:right w:val="nil"/>
            </w:tcBorders>
            <w:shd w:val="clear" w:color="auto" w:fill="auto"/>
            <w:noWrap/>
            <w:vAlign w:val="bottom"/>
            <w:hideMark/>
          </w:tcPr>
          <w:p w14:paraId="5D9EF12F" w14:textId="4DDD19EF" w:rsidR="000B52EF" w:rsidRPr="0084302E" w:rsidRDefault="0084302E" w:rsidP="000B52EF">
            <w:pPr>
              <w:jc w:val="center"/>
              <w:rPr>
                <w:rFonts w:eastAsia="Times New Roman"/>
                <w:sz w:val="18"/>
                <w:szCs w:val="18"/>
                <w:lang w:val="fr-FR" w:eastAsia="fr-FR"/>
              </w:rPr>
            </w:pPr>
            <w:r w:rsidRPr="0084302E">
              <w:rPr>
                <w:rFonts w:eastAsia="Times New Roman"/>
                <w:sz w:val="18"/>
                <w:szCs w:val="18"/>
                <w:lang w:val="fr-FR" w:eastAsia="fr-FR"/>
              </w:rPr>
              <w:t>&lt;0.78</w:t>
            </w:r>
          </w:p>
        </w:tc>
        <w:tc>
          <w:tcPr>
            <w:tcW w:w="0" w:type="auto"/>
            <w:tcBorders>
              <w:top w:val="nil"/>
              <w:left w:val="nil"/>
              <w:bottom w:val="single" w:sz="4" w:space="0" w:color="auto"/>
              <w:right w:val="nil"/>
            </w:tcBorders>
            <w:shd w:val="clear" w:color="auto" w:fill="auto"/>
            <w:noWrap/>
            <w:vAlign w:val="bottom"/>
            <w:hideMark/>
          </w:tcPr>
          <w:p w14:paraId="35977570" w14:textId="3638C25D" w:rsidR="000B52EF" w:rsidRPr="0084302E" w:rsidRDefault="0084302E" w:rsidP="000B52EF">
            <w:pPr>
              <w:jc w:val="center"/>
              <w:rPr>
                <w:rFonts w:eastAsia="Times New Roman"/>
                <w:sz w:val="18"/>
                <w:szCs w:val="18"/>
                <w:lang w:val="fr-FR" w:eastAsia="fr-FR"/>
              </w:rPr>
            </w:pPr>
            <w:r w:rsidRPr="0084302E">
              <w:rPr>
                <w:rFonts w:eastAsia="Times New Roman"/>
                <w:sz w:val="18"/>
                <w:szCs w:val="18"/>
                <w:lang w:val="fr-FR" w:eastAsia="fr-FR"/>
              </w:rPr>
              <w:t>&lt;0.78</w:t>
            </w:r>
          </w:p>
        </w:tc>
        <w:tc>
          <w:tcPr>
            <w:tcW w:w="0" w:type="auto"/>
            <w:tcBorders>
              <w:top w:val="nil"/>
              <w:left w:val="nil"/>
              <w:bottom w:val="single" w:sz="4" w:space="0" w:color="auto"/>
              <w:right w:val="nil"/>
            </w:tcBorders>
            <w:shd w:val="clear" w:color="auto" w:fill="auto"/>
            <w:noWrap/>
            <w:vAlign w:val="bottom"/>
            <w:hideMark/>
          </w:tcPr>
          <w:p w14:paraId="0E81099B" w14:textId="3A8529C6" w:rsidR="000B52EF" w:rsidRPr="0084302E" w:rsidRDefault="0084302E" w:rsidP="000B52EF">
            <w:pPr>
              <w:jc w:val="center"/>
              <w:rPr>
                <w:rFonts w:eastAsia="Times New Roman"/>
                <w:sz w:val="18"/>
                <w:szCs w:val="18"/>
                <w:lang w:val="fr-FR" w:eastAsia="fr-FR"/>
              </w:rPr>
            </w:pPr>
            <w:r w:rsidRPr="0084302E">
              <w:rPr>
                <w:rFonts w:eastAsia="Times New Roman"/>
                <w:sz w:val="18"/>
                <w:szCs w:val="18"/>
                <w:lang w:val="fr-FR" w:eastAsia="fr-FR"/>
              </w:rPr>
              <w:t>&lt;0.78</w:t>
            </w:r>
          </w:p>
        </w:tc>
        <w:tc>
          <w:tcPr>
            <w:tcW w:w="0" w:type="auto"/>
            <w:tcBorders>
              <w:top w:val="nil"/>
              <w:left w:val="nil"/>
              <w:bottom w:val="single" w:sz="4" w:space="0" w:color="auto"/>
              <w:right w:val="nil"/>
            </w:tcBorders>
            <w:shd w:val="clear" w:color="auto" w:fill="auto"/>
            <w:noWrap/>
            <w:vAlign w:val="bottom"/>
            <w:hideMark/>
          </w:tcPr>
          <w:p w14:paraId="075A3077" w14:textId="4F7D3041"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5.3</w:t>
            </w:r>
          </w:p>
        </w:tc>
        <w:tc>
          <w:tcPr>
            <w:tcW w:w="0" w:type="auto"/>
            <w:tcBorders>
              <w:top w:val="nil"/>
              <w:left w:val="nil"/>
              <w:bottom w:val="single" w:sz="4" w:space="0" w:color="auto"/>
              <w:right w:val="nil"/>
            </w:tcBorders>
            <w:shd w:val="clear" w:color="auto" w:fill="auto"/>
            <w:noWrap/>
            <w:vAlign w:val="bottom"/>
            <w:hideMark/>
          </w:tcPr>
          <w:p w14:paraId="2A01FEB4" w14:textId="21A06F6B" w:rsidR="000B52EF" w:rsidRPr="0084302E" w:rsidRDefault="0084302E" w:rsidP="000B52EF">
            <w:pPr>
              <w:jc w:val="center"/>
              <w:rPr>
                <w:rFonts w:eastAsia="Times New Roman"/>
                <w:sz w:val="18"/>
                <w:szCs w:val="18"/>
                <w:lang w:val="fr-FR" w:eastAsia="fr-FR"/>
              </w:rPr>
            </w:pPr>
            <w:r w:rsidRPr="0084302E">
              <w:rPr>
                <w:rFonts w:eastAsia="Times New Roman"/>
                <w:sz w:val="18"/>
                <w:szCs w:val="18"/>
                <w:lang w:val="fr-FR" w:eastAsia="fr-FR"/>
              </w:rPr>
              <w:t>&lt;0.78</w:t>
            </w:r>
          </w:p>
        </w:tc>
        <w:tc>
          <w:tcPr>
            <w:tcW w:w="0" w:type="auto"/>
            <w:tcBorders>
              <w:top w:val="nil"/>
              <w:left w:val="nil"/>
              <w:bottom w:val="single" w:sz="4" w:space="0" w:color="auto"/>
              <w:right w:val="nil"/>
            </w:tcBorders>
            <w:shd w:val="clear" w:color="auto" w:fill="auto"/>
            <w:noWrap/>
            <w:vAlign w:val="bottom"/>
            <w:hideMark/>
          </w:tcPr>
          <w:p w14:paraId="2994FF15" w14:textId="22DF1139" w:rsidR="000B52EF" w:rsidRPr="0084302E" w:rsidRDefault="0084302E" w:rsidP="000B52EF">
            <w:pPr>
              <w:jc w:val="center"/>
              <w:rPr>
                <w:rFonts w:eastAsia="Times New Roman"/>
                <w:sz w:val="18"/>
                <w:szCs w:val="18"/>
                <w:lang w:val="fr-FR" w:eastAsia="fr-FR"/>
              </w:rPr>
            </w:pPr>
            <w:r w:rsidRPr="0084302E">
              <w:rPr>
                <w:rFonts w:eastAsia="Times New Roman"/>
                <w:sz w:val="18"/>
                <w:szCs w:val="18"/>
                <w:lang w:val="fr-FR" w:eastAsia="fr-FR"/>
              </w:rPr>
              <w:t>&lt;0.78</w:t>
            </w:r>
          </w:p>
        </w:tc>
        <w:tc>
          <w:tcPr>
            <w:tcW w:w="0" w:type="auto"/>
            <w:tcBorders>
              <w:top w:val="nil"/>
              <w:left w:val="nil"/>
              <w:bottom w:val="single" w:sz="4" w:space="0" w:color="auto"/>
              <w:right w:val="nil"/>
            </w:tcBorders>
            <w:shd w:val="clear" w:color="auto" w:fill="auto"/>
            <w:noWrap/>
            <w:vAlign w:val="bottom"/>
            <w:hideMark/>
          </w:tcPr>
          <w:p w14:paraId="540A8B3D" w14:textId="10B0FF23"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4.9</w:t>
            </w:r>
          </w:p>
        </w:tc>
        <w:tc>
          <w:tcPr>
            <w:tcW w:w="0" w:type="auto"/>
            <w:tcBorders>
              <w:top w:val="nil"/>
              <w:left w:val="nil"/>
              <w:bottom w:val="single" w:sz="4" w:space="0" w:color="auto"/>
              <w:right w:val="nil"/>
            </w:tcBorders>
            <w:shd w:val="clear" w:color="auto" w:fill="auto"/>
            <w:noWrap/>
            <w:vAlign w:val="bottom"/>
            <w:hideMark/>
          </w:tcPr>
          <w:p w14:paraId="338C8F5C" w14:textId="7138AD2A"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3.8</w:t>
            </w:r>
          </w:p>
        </w:tc>
        <w:tc>
          <w:tcPr>
            <w:tcW w:w="0" w:type="auto"/>
            <w:tcBorders>
              <w:top w:val="nil"/>
              <w:left w:val="nil"/>
              <w:bottom w:val="single" w:sz="4" w:space="0" w:color="auto"/>
              <w:right w:val="nil"/>
            </w:tcBorders>
            <w:shd w:val="clear" w:color="auto" w:fill="auto"/>
            <w:noWrap/>
            <w:vAlign w:val="bottom"/>
            <w:hideMark/>
          </w:tcPr>
          <w:p w14:paraId="32647AFD" w14:textId="2658211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w:t>
            </w:r>
          </w:p>
        </w:tc>
        <w:tc>
          <w:tcPr>
            <w:tcW w:w="0" w:type="auto"/>
            <w:tcBorders>
              <w:top w:val="nil"/>
              <w:left w:val="nil"/>
              <w:bottom w:val="single" w:sz="4" w:space="0" w:color="auto"/>
              <w:right w:val="nil"/>
            </w:tcBorders>
            <w:shd w:val="clear" w:color="auto" w:fill="auto"/>
            <w:noWrap/>
            <w:vAlign w:val="bottom"/>
            <w:hideMark/>
          </w:tcPr>
          <w:p w14:paraId="53CF0916" w14:textId="62A477C5" w:rsidR="000B52EF" w:rsidRPr="0084302E" w:rsidRDefault="0084302E" w:rsidP="000B52EF">
            <w:pPr>
              <w:jc w:val="center"/>
              <w:rPr>
                <w:rFonts w:eastAsia="Times New Roman"/>
                <w:sz w:val="18"/>
                <w:szCs w:val="18"/>
                <w:lang w:val="fr-FR" w:eastAsia="fr-FR"/>
              </w:rPr>
            </w:pPr>
            <w:r w:rsidRPr="0084302E">
              <w:rPr>
                <w:rFonts w:eastAsia="Times New Roman"/>
                <w:sz w:val="18"/>
                <w:szCs w:val="18"/>
                <w:lang w:val="fr-FR" w:eastAsia="fr-FR"/>
              </w:rPr>
              <w:t>&lt;0.78</w:t>
            </w:r>
          </w:p>
        </w:tc>
        <w:tc>
          <w:tcPr>
            <w:tcW w:w="707" w:type="dxa"/>
            <w:tcBorders>
              <w:top w:val="nil"/>
              <w:left w:val="nil"/>
              <w:bottom w:val="single" w:sz="4" w:space="0" w:color="auto"/>
              <w:right w:val="nil"/>
            </w:tcBorders>
            <w:shd w:val="clear" w:color="auto" w:fill="auto"/>
            <w:noWrap/>
            <w:vAlign w:val="bottom"/>
            <w:hideMark/>
          </w:tcPr>
          <w:p w14:paraId="489C6E47" w14:textId="1DFA3A83"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8.8</w:t>
            </w:r>
          </w:p>
        </w:tc>
      </w:tr>
      <w:tr w:rsidR="0084302E" w:rsidRPr="000B52EF" w14:paraId="147A4672" w14:textId="77777777" w:rsidTr="0084302E">
        <w:trPr>
          <w:trHeight w:val="300"/>
        </w:trPr>
        <w:tc>
          <w:tcPr>
            <w:tcW w:w="0" w:type="auto"/>
            <w:tcBorders>
              <w:top w:val="nil"/>
              <w:left w:val="nil"/>
              <w:bottom w:val="nil"/>
              <w:right w:val="nil"/>
            </w:tcBorders>
            <w:shd w:val="clear" w:color="auto" w:fill="auto"/>
            <w:noWrap/>
            <w:vAlign w:val="bottom"/>
            <w:hideMark/>
          </w:tcPr>
          <w:p w14:paraId="0215B61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Sc</w:t>
            </w:r>
          </w:p>
        </w:tc>
        <w:tc>
          <w:tcPr>
            <w:tcW w:w="0" w:type="auto"/>
            <w:tcBorders>
              <w:top w:val="nil"/>
              <w:left w:val="nil"/>
              <w:bottom w:val="nil"/>
              <w:right w:val="nil"/>
            </w:tcBorders>
            <w:shd w:val="clear" w:color="auto" w:fill="auto"/>
            <w:noWrap/>
            <w:vAlign w:val="bottom"/>
            <w:hideMark/>
          </w:tcPr>
          <w:p w14:paraId="15F7231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34.5</w:t>
            </w:r>
          </w:p>
        </w:tc>
        <w:tc>
          <w:tcPr>
            <w:tcW w:w="0" w:type="auto"/>
            <w:tcBorders>
              <w:top w:val="nil"/>
              <w:left w:val="nil"/>
              <w:bottom w:val="nil"/>
              <w:right w:val="nil"/>
            </w:tcBorders>
            <w:shd w:val="clear" w:color="auto" w:fill="auto"/>
            <w:noWrap/>
            <w:vAlign w:val="bottom"/>
            <w:hideMark/>
          </w:tcPr>
          <w:p w14:paraId="4509EC9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39.4</w:t>
            </w:r>
          </w:p>
        </w:tc>
        <w:tc>
          <w:tcPr>
            <w:tcW w:w="0" w:type="auto"/>
            <w:tcBorders>
              <w:top w:val="nil"/>
              <w:left w:val="nil"/>
              <w:bottom w:val="nil"/>
              <w:right w:val="nil"/>
            </w:tcBorders>
            <w:shd w:val="clear" w:color="auto" w:fill="auto"/>
            <w:noWrap/>
            <w:vAlign w:val="bottom"/>
            <w:hideMark/>
          </w:tcPr>
          <w:p w14:paraId="28C564E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35.5</w:t>
            </w:r>
          </w:p>
        </w:tc>
        <w:tc>
          <w:tcPr>
            <w:tcW w:w="0" w:type="auto"/>
            <w:tcBorders>
              <w:top w:val="nil"/>
              <w:left w:val="nil"/>
              <w:bottom w:val="nil"/>
              <w:right w:val="nil"/>
            </w:tcBorders>
            <w:shd w:val="clear" w:color="auto" w:fill="auto"/>
            <w:noWrap/>
            <w:vAlign w:val="bottom"/>
            <w:hideMark/>
          </w:tcPr>
          <w:p w14:paraId="37BC867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33.1</w:t>
            </w:r>
          </w:p>
        </w:tc>
        <w:tc>
          <w:tcPr>
            <w:tcW w:w="0" w:type="auto"/>
            <w:tcBorders>
              <w:top w:val="nil"/>
              <w:left w:val="nil"/>
              <w:bottom w:val="nil"/>
              <w:right w:val="nil"/>
            </w:tcBorders>
            <w:shd w:val="clear" w:color="auto" w:fill="auto"/>
            <w:noWrap/>
            <w:vAlign w:val="bottom"/>
            <w:hideMark/>
          </w:tcPr>
          <w:p w14:paraId="567EBAC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29.1</w:t>
            </w:r>
          </w:p>
        </w:tc>
        <w:tc>
          <w:tcPr>
            <w:tcW w:w="0" w:type="auto"/>
            <w:tcBorders>
              <w:top w:val="nil"/>
              <w:left w:val="nil"/>
              <w:bottom w:val="nil"/>
              <w:right w:val="nil"/>
            </w:tcBorders>
            <w:shd w:val="clear" w:color="auto" w:fill="auto"/>
            <w:noWrap/>
            <w:vAlign w:val="bottom"/>
            <w:hideMark/>
          </w:tcPr>
          <w:p w14:paraId="56D0255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30.5</w:t>
            </w:r>
          </w:p>
        </w:tc>
        <w:tc>
          <w:tcPr>
            <w:tcW w:w="0" w:type="auto"/>
            <w:tcBorders>
              <w:top w:val="nil"/>
              <w:left w:val="nil"/>
              <w:bottom w:val="nil"/>
              <w:right w:val="nil"/>
            </w:tcBorders>
            <w:shd w:val="clear" w:color="auto" w:fill="auto"/>
            <w:noWrap/>
            <w:vAlign w:val="bottom"/>
            <w:hideMark/>
          </w:tcPr>
          <w:p w14:paraId="0A34FAD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31.7</w:t>
            </w:r>
          </w:p>
        </w:tc>
        <w:tc>
          <w:tcPr>
            <w:tcW w:w="0" w:type="auto"/>
            <w:tcBorders>
              <w:top w:val="nil"/>
              <w:left w:val="nil"/>
              <w:bottom w:val="nil"/>
              <w:right w:val="nil"/>
            </w:tcBorders>
            <w:shd w:val="clear" w:color="auto" w:fill="auto"/>
            <w:noWrap/>
            <w:vAlign w:val="bottom"/>
            <w:hideMark/>
          </w:tcPr>
          <w:p w14:paraId="2D8785C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34.6</w:t>
            </w:r>
          </w:p>
        </w:tc>
        <w:tc>
          <w:tcPr>
            <w:tcW w:w="0" w:type="auto"/>
            <w:tcBorders>
              <w:top w:val="nil"/>
              <w:left w:val="nil"/>
              <w:bottom w:val="nil"/>
              <w:right w:val="nil"/>
            </w:tcBorders>
            <w:shd w:val="clear" w:color="auto" w:fill="auto"/>
            <w:noWrap/>
            <w:vAlign w:val="bottom"/>
            <w:hideMark/>
          </w:tcPr>
          <w:p w14:paraId="43234F2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35.3</w:t>
            </w:r>
          </w:p>
        </w:tc>
        <w:tc>
          <w:tcPr>
            <w:tcW w:w="0" w:type="auto"/>
            <w:tcBorders>
              <w:top w:val="nil"/>
              <w:left w:val="nil"/>
              <w:bottom w:val="nil"/>
              <w:right w:val="nil"/>
            </w:tcBorders>
            <w:shd w:val="clear" w:color="auto" w:fill="auto"/>
            <w:noWrap/>
            <w:vAlign w:val="bottom"/>
            <w:hideMark/>
          </w:tcPr>
          <w:p w14:paraId="3CA03F5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32.9</w:t>
            </w:r>
          </w:p>
        </w:tc>
        <w:tc>
          <w:tcPr>
            <w:tcW w:w="707" w:type="dxa"/>
            <w:tcBorders>
              <w:top w:val="nil"/>
              <w:left w:val="nil"/>
              <w:bottom w:val="nil"/>
              <w:right w:val="nil"/>
            </w:tcBorders>
            <w:shd w:val="clear" w:color="auto" w:fill="auto"/>
            <w:noWrap/>
            <w:vAlign w:val="bottom"/>
            <w:hideMark/>
          </w:tcPr>
          <w:p w14:paraId="6AA9F07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39.0</w:t>
            </w:r>
          </w:p>
        </w:tc>
      </w:tr>
      <w:tr w:rsidR="0084302E" w:rsidRPr="000B52EF" w14:paraId="6E177BA7" w14:textId="77777777" w:rsidTr="0084302E">
        <w:trPr>
          <w:trHeight w:val="300"/>
        </w:trPr>
        <w:tc>
          <w:tcPr>
            <w:tcW w:w="0" w:type="auto"/>
            <w:tcBorders>
              <w:top w:val="nil"/>
              <w:left w:val="nil"/>
              <w:bottom w:val="nil"/>
              <w:right w:val="nil"/>
            </w:tcBorders>
            <w:shd w:val="clear" w:color="auto" w:fill="auto"/>
            <w:noWrap/>
            <w:vAlign w:val="bottom"/>
            <w:hideMark/>
          </w:tcPr>
          <w:p w14:paraId="31ED2EA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V</w:t>
            </w:r>
          </w:p>
        </w:tc>
        <w:tc>
          <w:tcPr>
            <w:tcW w:w="0" w:type="auto"/>
            <w:tcBorders>
              <w:top w:val="nil"/>
              <w:left w:val="nil"/>
              <w:bottom w:val="nil"/>
              <w:right w:val="nil"/>
            </w:tcBorders>
            <w:shd w:val="clear" w:color="auto" w:fill="auto"/>
            <w:noWrap/>
            <w:vAlign w:val="bottom"/>
            <w:hideMark/>
          </w:tcPr>
          <w:p w14:paraId="732368B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207.4</w:t>
            </w:r>
          </w:p>
        </w:tc>
        <w:tc>
          <w:tcPr>
            <w:tcW w:w="0" w:type="auto"/>
            <w:tcBorders>
              <w:top w:val="nil"/>
              <w:left w:val="nil"/>
              <w:bottom w:val="nil"/>
              <w:right w:val="nil"/>
            </w:tcBorders>
            <w:shd w:val="clear" w:color="auto" w:fill="auto"/>
            <w:noWrap/>
            <w:vAlign w:val="bottom"/>
            <w:hideMark/>
          </w:tcPr>
          <w:p w14:paraId="307579E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157.1</w:t>
            </w:r>
          </w:p>
        </w:tc>
        <w:tc>
          <w:tcPr>
            <w:tcW w:w="0" w:type="auto"/>
            <w:tcBorders>
              <w:top w:val="nil"/>
              <w:left w:val="nil"/>
              <w:bottom w:val="nil"/>
              <w:right w:val="nil"/>
            </w:tcBorders>
            <w:shd w:val="clear" w:color="auto" w:fill="auto"/>
            <w:noWrap/>
            <w:vAlign w:val="bottom"/>
            <w:hideMark/>
          </w:tcPr>
          <w:p w14:paraId="25D2F7D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164.5</w:t>
            </w:r>
          </w:p>
        </w:tc>
        <w:tc>
          <w:tcPr>
            <w:tcW w:w="0" w:type="auto"/>
            <w:tcBorders>
              <w:top w:val="nil"/>
              <w:left w:val="nil"/>
              <w:bottom w:val="nil"/>
              <w:right w:val="nil"/>
            </w:tcBorders>
            <w:shd w:val="clear" w:color="auto" w:fill="auto"/>
            <w:noWrap/>
            <w:vAlign w:val="bottom"/>
            <w:hideMark/>
          </w:tcPr>
          <w:p w14:paraId="297A301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223.4</w:t>
            </w:r>
          </w:p>
        </w:tc>
        <w:tc>
          <w:tcPr>
            <w:tcW w:w="0" w:type="auto"/>
            <w:tcBorders>
              <w:top w:val="nil"/>
              <w:left w:val="nil"/>
              <w:bottom w:val="nil"/>
              <w:right w:val="nil"/>
            </w:tcBorders>
            <w:shd w:val="clear" w:color="auto" w:fill="auto"/>
            <w:noWrap/>
            <w:vAlign w:val="bottom"/>
            <w:hideMark/>
          </w:tcPr>
          <w:p w14:paraId="4F94E04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203.8</w:t>
            </w:r>
          </w:p>
        </w:tc>
        <w:tc>
          <w:tcPr>
            <w:tcW w:w="0" w:type="auto"/>
            <w:tcBorders>
              <w:top w:val="nil"/>
              <w:left w:val="nil"/>
              <w:bottom w:val="nil"/>
              <w:right w:val="nil"/>
            </w:tcBorders>
            <w:shd w:val="clear" w:color="auto" w:fill="auto"/>
            <w:noWrap/>
            <w:vAlign w:val="bottom"/>
            <w:hideMark/>
          </w:tcPr>
          <w:p w14:paraId="1D6C63B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211.9</w:t>
            </w:r>
          </w:p>
        </w:tc>
        <w:tc>
          <w:tcPr>
            <w:tcW w:w="0" w:type="auto"/>
            <w:tcBorders>
              <w:top w:val="nil"/>
              <w:left w:val="nil"/>
              <w:bottom w:val="nil"/>
              <w:right w:val="nil"/>
            </w:tcBorders>
            <w:shd w:val="clear" w:color="auto" w:fill="auto"/>
            <w:noWrap/>
            <w:vAlign w:val="bottom"/>
            <w:hideMark/>
          </w:tcPr>
          <w:p w14:paraId="623A93E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214.3</w:t>
            </w:r>
          </w:p>
        </w:tc>
        <w:tc>
          <w:tcPr>
            <w:tcW w:w="0" w:type="auto"/>
            <w:tcBorders>
              <w:top w:val="nil"/>
              <w:left w:val="nil"/>
              <w:bottom w:val="nil"/>
              <w:right w:val="nil"/>
            </w:tcBorders>
            <w:shd w:val="clear" w:color="auto" w:fill="auto"/>
            <w:noWrap/>
            <w:vAlign w:val="bottom"/>
            <w:hideMark/>
          </w:tcPr>
          <w:p w14:paraId="7C4A2EF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236.9</w:t>
            </w:r>
          </w:p>
        </w:tc>
        <w:tc>
          <w:tcPr>
            <w:tcW w:w="0" w:type="auto"/>
            <w:tcBorders>
              <w:top w:val="nil"/>
              <w:left w:val="nil"/>
              <w:bottom w:val="nil"/>
              <w:right w:val="nil"/>
            </w:tcBorders>
            <w:shd w:val="clear" w:color="auto" w:fill="auto"/>
            <w:noWrap/>
            <w:vAlign w:val="bottom"/>
            <w:hideMark/>
          </w:tcPr>
          <w:p w14:paraId="44F865D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248.5</w:t>
            </w:r>
          </w:p>
        </w:tc>
        <w:tc>
          <w:tcPr>
            <w:tcW w:w="0" w:type="auto"/>
            <w:tcBorders>
              <w:top w:val="nil"/>
              <w:left w:val="nil"/>
              <w:bottom w:val="nil"/>
              <w:right w:val="nil"/>
            </w:tcBorders>
            <w:shd w:val="clear" w:color="auto" w:fill="auto"/>
            <w:noWrap/>
            <w:vAlign w:val="bottom"/>
            <w:hideMark/>
          </w:tcPr>
          <w:p w14:paraId="0868A8A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203.5</w:t>
            </w:r>
          </w:p>
        </w:tc>
        <w:tc>
          <w:tcPr>
            <w:tcW w:w="707" w:type="dxa"/>
            <w:tcBorders>
              <w:top w:val="nil"/>
              <w:left w:val="nil"/>
              <w:bottom w:val="nil"/>
              <w:right w:val="nil"/>
            </w:tcBorders>
            <w:shd w:val="clear" w:color="auto" w:fill="auto"/>
            <w:noWrap/>
            <w:vAlign w:val="bottom"/>
            <w:hideMark/>
          </w:tcPr>
          <w:p w14:paraId="321BC31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304.8</w:t>
            </w:r>
          </w:p>
        </w:tc>
      </w:tr>
      <w:tr w:rsidR="0084302E" w:rsidRPr="000B52EF" w14:paraId="20D6BFC5" w14:textId="77777777" w:rsidTr="0084302E">
        <w:trPr>
          <w:trHeight w:val="300"/>
        </w:trPr>
        <w:tc>
          <w:tcPr>
            <w:tcW w:w="0" w:type="auto"/>
            <w:tcBorders>
              <w:top w:val="nil"/>
              <w:left w:val="nil"/>
              <w:bottom w:val="nil"/>
              <w:right w:val="nil"/>
            </w:tcBorders>
            <w:shd w:val="clear" w:color="auto" w:fill="auto"/>
            <w:noWrap/>
            <w:vAlign w:val="bottom"/>
            <w:hideMark/>
          </w:tcPr>
          <w:p w14:paraId="15EFA80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Cr</w:t>
            </w:r>
          </w:p>
        </w:tc>
        <w:tc>
          <w:tcPr>
            <w:tcW w:w="0" w:type="auto"/>
            <w:tcBorders>
              <w:top w:val="nil"/>
              <w:left w:val="nil"/>
              <w:bottom w:val="nil"/>
              <w:right w:val="nil"/>
            </w:tcBorders>
            <w:shd w:val="clear" w:color="auto" w:fill="auto"/>
            <w:noWrap/>
            <w:vAlign w:val="bottom"/>
            <w:hideMark/>
          </w:tcPr>
          <w:p w14:paraId="260D35C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307.3</w:t>
            </w:r>
          </w:p>
        </w:tc>
        <w:tc>
          <w:tcPr>
            <w:tcW w:w="0" w:type="auto"/>
            <w:tcBorders>
              <w:top w:val="nil"/>
              <w:left w:val="nil"/>
              <w:bottom w:val="nil"/>
              <w:right w:val="nil"/>
            </w:tcBorders>
            <w:shd w:val="clear" w:color="auto" w:fill="auto"/>
            <w:noWrap/>
            <w:vAlign w:val="bottom"/>
            <w:hideMark/>
          </w:tcPr>
          <w:p w14:paraId="63D435E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286.2</w:t>
            </w:r>
          </w:p>
        </w:tc>
        <w:tc>
          <w:tcPr>
            <w:tcW w:w="0" w:type="auto"/>
            <w:tcBorders>
              <w:top w:val="nil"/>
              <w:left w:val="nil"/>
              <w:bottom w:val="nil"/>
              <w:right w:val="nil"/>
            </w:tcBorders>
            <w:shd w:val="clear" w:color="auto" w:fill="auto"/>
            <w:noWrap/>
            <w:vAlign w:val="bottom"/>
            <w:hideMark/>
          </w:tcPr>
          <w:p w14:paraId="5F25DF3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343.0</w:t>
            </w:r>
          </w:p>
        </w:tc>
        <w:tc>
          <w:tcPr>
            <w:tcW w:w="0" w:type="auto"/>
            <w:tcBorders>
              <w:top w:val="nil"/>
              <w:left w:val="nil"/>
              <w:bottom w:val="nil"/>
              <w:right w:val="nil"/>
            </w:tcBorders>
            <w:shd w:val="clear" w:color="auto" w:fill="auto"/>
            <w:noWrap/>
            <w:vAlign w:val="bottom"/>
            <w:hideMark/>
          </w:tcPr>
          <w:p w14:paraId="4AF17FE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309.3</w:t>
            </w:r>
          </w:p>
        </w:tc>
        <w:tc>
          <w:tcPr>
            <w:tcW w:w="0" w:type="auto"/>
            <w:tcBorders>
              <w:top w:val="nil"/>
              <w:left w:val="nil"/>
              <w:bottom w:val="nil"/>
              <w:right w:val="nil"/>
            </w:tcBorders>
            <w:shd w:val="clear" w:color="auto" w:fill="auto"/>
            <w:noWrap/>
            <w:vAlign w:val="bottom"/>
            <w:hideMark/>
          </w:tcPr>
          <w:p w14:paraId="2DC46D8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371.9</w:t>
            </w:r>
          </w:p>
        </w:tc>
        <w:tc>
          <w:tcPr>
            <w:tcW w:w="0" w:type="auto"/>
            <w:tcBorders>
              <w:top w:val="nil"/>
              <w:left w:val="nil"/>
              <w:bottom w:val="nil"/>
              <w:right w:val="nil"/>
            </w:tcBorders>
            <w:shd w:val="clear" w:color="auto" w:fill="auto"/>
            <w:noWrap/>
            <w:vAlign w:val="bottom"/>
            <w:hideMark/>
          </w:tcPr>
          <w:p w14:paraId="63A9A44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354.7</w:t>
            </w:r>
          </w:p>
        </w:tc>
        <w:tc>
          <w:tcPr>
            <w:tcW w:w="0" w:type="auto"/>
            <w:tcBorders>
              <w:top w:val="nil"/>
              <w:left w:val="nil"/>
              <w:bottom w:val="nil"/>
              <w:right w:val="nil"/>
            </w:tcBorders>
            <w:shd w:val="clear" w:color="auto" w:fill="auto"/>
            <w:noWrap/>
            <w:vAlign w:val="bottom"/>
            <w:hideMark/>
          </w:tcPr>
          <w:p w14:paraId="7E0F733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357.2</w:t>
            </w:r>
          </w:p>
        </w:tc>
        <w:tc>
          <w:tcPr>
            <w:tcW w:w="0" w:type="auto"/>
            <w:tcBorders>
              <w:top w:val="nil"/>
              <w:left w:val="nil"/>
              <w:bottom w:val="nil"/>
              <w:right w:val="nil"/>
            </w:tcBorders>
            <w:shd w:val="clear" w:color="auto" w:fill="auto"/>
            <w:noWrap/>
            <w:vAlign w:val="bottom"/>
            <w:hideMark/>
          </w:tcPr>
          <w:p w14:paraId="31C496E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297.4</w:t>
            </w:r>
          </w:p>
        </w:tc>
        <w:tc>
          <w:tcPr>
            <w:tcW w:w="0" w:type="auto"/>
            <w:tcBorders>
              <w:top w:val="nil"/>
              <w:left w:val="nil"/>
              <w:bottom w:val="nil"/>
              <w:right w:val="nil"/>
            </w:tcBorders>
            <w:shd w:val="clear" w:color="auto" w:fill="auto"/>
            <w:noWrap/>
            <w:vAlign w:val="bottom"/>
            <w:hideMark/>
          </w:tcPr>
          <w:p w14:paraId="5DDE923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292.3</w:t>
            </w:r>
          </w:p>
        </w:tc>
        <w:tc>
          <w:tcPr>
            <w:tcW w:w="0" w:type="auto"/>
            <w:tcBorders>
              <w:top w:val="nil"/>
              <w:left w:val="nil"/>
              <w:bottom w:val="nil"/>
              <w:right w:val="nil"/>
            </w:tcBorders>
            <w:shd w:val="clear" w:color="auto" w:fill="auto"/>
            <w:noWrap/>
            <w:vAlign w:val="bottom"/>
            <w:hideMark/>
          </w:tcPr>
          <w:p w14:paraId="3E9BD71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335.4</w:t>
            </w:r>
          </w:p>
        </w:tc>
        <w:tc>
          <w:tcPr>
            <w:tcW w:w="707" w:type="dxa"/>
            <w:tcBorders>
              <w:top w:val="nil"/>
              <w:left w:val="nil"/>
              <w:bottom w:val="nil"/>
              <w:right w:val="nil"/>
            </w:tcBorders>
            <w:shd w:val="clear" w:color="auto" w:fill="auto"/>
            <w:noWrap/>
            <w:vAlign w:val="bottom"/>
            <w:hideMark/>
          </w:tcPr>
          <w:p w14:paraId="7B9867E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174.3</w:t>
            </w:r>
          </w:p>
        </w:tc>
      </w:tr>
      <w:tr w:rsidR="0084302E" w:rsidRPr="000B52EF" w14:paraId="4CDED9D8" w14:textId="77777777" w:rsidTr="0084302E">
        <w:trPr>
          <w:trHeight w:val="300"/>
        </w:trPr>
        <w:tc>
          <w:tcPr>
            <w:tcW w:w="0" w:type="auto"/>
            <w:tcBorders>
              <w:top w:val="nil"/>
              <w:left w:val="nil"/>
              <w:bottom w:val="nil"/>
              <w:right w:val="nil"/>
            </w:tcBorders>
            <w:shd w:val="clear" w:color="auto" w:fill="auto"/>
            <w:noWrap/>
            <w:vAlign w:val="bottom"/>
            <w:hideMark/>
          </w:tcPr>
          <w:p w14:paraId="69879A8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Co</w:t>
            </w:r>
          </w:p>
        </w:tc>
        <w:tc>
          <w:tcPr>
            <w:tcW w:w="0" w:type="auto"/>
            <w:tcBorders>
              <w:top w:val="nil"/>
              <w:left w:val="nil"/>
              <w:bottom w:val="nil"/>
              <w:right w:val="nil"/>
            </w:tcBorders>
            <w:shd w:val="clear" w:color="auto" w:fill="auto"/>
            <w:noWrap/>
            <w:vAlign w:val="bottom"/>
            <w:hideMark/>
          </w:tcPr>
          <w:p w14:paraId="1240A64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43.9</w:t>
            </w:r>
          </w:p>
        </w:tc>
        <w:tc>
          <w:tcPr>
            <w:tcW w:w="0" w:type="auto"/>
            <w:tcBorders>
              <w:top w:val="nil"/>
              <w:left w:val="nil"/>
              <w:bottom w:val="nil"/>
              <w:right w:val="nil"/>
            </w:tcBorders>
            <w:shd w:val="clear" w:color="auto" w:fill="auto"/>
            <w:noWrap/>
            <w:vAlign w:val="bottom"/>
            <w:hideMark/>
          </w:tcPr>
          <w:p w14:paraId="5536EAB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49.7</w:t>
            </w:r>
          </w:p>
        </w:tc>
        <w:tc>
          <w:tcPr>
            <w:tcW w:w="0" w:type="auto"/>
            <w:tcBorders>
              <w:top w:val="nil"/>
              <w:left w:val="nil"/>
              <w:bottom w:val="nil"/>
              <w:right w:val="nil"/>
            </w:tcBorders>
            <w:shd w:val="clear" w:color="auto" w:fill="auto"/>
            <w:noWrap/>
            <w:vAlign w:val="bottom"/>
            <w:hideMark/>
          </w:tcPr>
          <w:p w14:paraId="36D69BC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50.8</w:t>
            </w:r>
          </w:p>
        </w:tc>
        <w:tc>
          <w:tcPr>
            <w:tcW w:w="0" w:type="auto"/>
            <w:tcBorders>
              <w:top w:val="nil"/>
              <w:left w:val="nil"/>
              <w:bottom w:val="nil"/>
              <w:right w:val="nil"/>
            </w:tcBorders>
            <w:shd w:val="clear" w:color="auto" w:fill="auto"/>
            <w:noWrap/>
            <w:vAlign w:val="bottom"/>
            <w:hideMark/>
          </w:tcPr>
          <w:p w14:paraId="62224D4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37.8</w:t>
            </w:r>
          </w:p>
        </w:tc>
        <w:tc>
          <w:tcPr>
            <w:tcW w:w="0" w:type="auto"/>
            <w:tcBorders>
              <w:top w:val="nil"/>
              <w:left w:val="nil"/>
              <w:bottom w:val="nil"/>
              <w:right w:val="nil"/>
            </w:tcBorders>
            <w:shd w:val="clear" w:color="auto" w:fill="auto"/>
            <w:noWrap/>
            <w:vAlign w:val="bottom"/>
            <w:hideMark/>
          </w:tcPr>
          <w:p w14:paraId="58FC450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41.5</w:t>
            </w:r>
          </w:p>
        </w:tc>
        <w:tc>
          <w:tcPr>
            <w:tcW w:w="0" w:type="auto"/>
            <w:tcBorders>
              <w:top w:val="nil"/>
              <w:left w:val="nil"/>
              <w:bottom w:val="nil"/>
              <w:right w:val="nil"/>
            </w:tcBorders>
            <w:shd w:val="clear" w:color="auto" w:fill="auto"/>
            <w:noWrap/>
            <w:vAlign w:val="bottom"/>
            <w:hideMark/>
          </w:tcPr>
          <w:p w14:paraId="60F2323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40.8</w:t>
            </w:r>
          </w:p>
        </w:tc>
        <w:tc>
          <w:tcPr>
            <w:tcW w:w="0" w:type="auto"/>
            <w:tcBorders>
              <w:top w:val="nil"/>
              <w:left w:val="nil"/>
              <w:bottom w:val="nil"/>
              <w:right w:val="nil"/>
            </w:tcBorders>
            <w:shd w:val="clear" w:color="auto" w:fill="auto"/>
            <w:noWrap/>
            <w:vAlign w:val="bottom"/>
            <w:hideMark/>
          </w:tcPr>
          <w:p w14:paraId="467DDCD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39.8</w:t>
            </w:r>
          </w:p>
        </w:tc>
        <w:tc>
          <w:tcPr>
            <w:tcW w:w="0" w:type="auto"/>
            <w:tcBorders>
              <w:top w:val="nil"/>
              <w:left w:val="nil"/>
              <w:bottom w:val="nil"/>
              <w:right w:val="nil"/>
            </w:tcBorders>
            <w:shd w:val="clear" w:color="auto" w:fill="auto"/>
            <w:noWrap/>
            <w:vAlign w:val="bottom"/>
            <w:hideMark/>
          </w:tcPr>
          <w:p w14:paraId="658E3B6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40.3</w:t>
            </w:r>
          </w:p>
        </w:tc>
        <w:tc>
          <w:tcPr>
            <w:tcW w:w="0" w:type="auto"/>
            <w:tcBorders>
              <w:top w:val="nil"/>
              <w:left w:val="nil"/>
              <w:bottom w:val="nil"/>
              <w:right w:val="nil"/>
            </w:tcBorders>
            <w:shd w:val="clear" w:color="auto" w:fill="auto"/>
            <w:noWrap/>
            <w:vAlign w:val="bottom"/>
            <w:hideMark/>
          </w:tcPr>
          <w:p w14:paraId="1C89148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39.4</w:t>
            </w:r>
          </w:p>
        </w:tc>
        <w:tc>
          <w:tcPr>
            <w:tcW w:w="0" w:type="auto"/>
            <w:tcBorders>
              <w:top w:val="nil"/>
              <w:left w:val="nil"/>
              <w:bottom w:val="nil"/>
              <w:right w:val="nil"/>
            </w:tcBorders>
            <w:shd w:val="clear" w:color="auto" w:fill="auto"/>
            <w:noWrap/>
            <w:vAlign w:val="bottom"/>
            <w:hideMark/>
          </w:tcPr>
          <w:p w14:paraId="51E5C83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39.6</w:t>
            </w:r>
          </w:p>
        </w:tc>
        <w:tc>
          <w:tcPr>
            <w:tcW w:w="707" w:type="dxa"/>
            <w:tcBorders>
              <w:top w:val="nil"/>
              <w:left w:val="nil"/>
              <w:bottom w:val="nil"/>
              <w:right w:val="nil"/>
            </w:tcBorders>
            <w:shd w:val="clear" w:color="auto" w:fill="auto"/>
            <w:noWrap/>
            <w:vAlign w:val="bottom"/>
            <w:hideMark/>
          </w:tcPr>
          <w:p w14:paraId="773F279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47.0</w:t>
            </w:r>
          </w:p>
        </w:tc>
      </w:tr>
      <w:tr w:rsidR="0084302E" w:rsidRPr="000B52EF" w14:paraId="055E1F9A" w14:textId="77777777" w:rsidTr="0084302E">
        <w:trPr>
          <w:trHeight w:val="300"/>
        </w:trPr>
        <w:tc>
          <w:tcPr>
            <w:tcW w:w="0" w:type="auto"/>
            <w:tcBorders>
              <w:top w:val="nil"/>
              <w:left w:val="nil"/>
              <w:bottom w:val="nil"/>
              <w:right w:val="nil"/>
            </w:tcBorders>
            <w:shd w:val="clear" w:color="auto" w:fill="auto"/>
            <w:noWrap/>
            <w:vAlign w:val="bottom"/>
            <w:hideMark/>
          </w:tcPr>
          <w:p w14:paraId="1C58156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Ni</w:t>
            </w:r>
          </w:p>
        </w:tc>
        <w:tc>
          <w:tcPr>
            <w:tcW w:w="0" w:type="auto"/>
            <w:tcBorders>
              <w:top w:val="nil"/>
              <w:left w:val="nil"/>
              <w:bottom w:val="nil"/>
              <w:right w:val="nil"/>
            </w:tcBorders>
            <w:shd w:val="clear" w:color="auto" w:fill="auto"/>
            <w:noWrap/>
            <w:vAlign w:val="bottom"/>
            <w:hideMark/>
          </w:tcPr>
          <w:p w14:paraId="7A39D36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156.2</w:t>
            </w:r>
          </w:p>
        </w:tc>
        <w:tc>
          <w:tcPr>
            <w:tcW w:w="0" w:type="auto"/>
            <w:tcBorders>
              <w:top w:val="nil"/>
              <w:left w:val="nil"/>
              <w:bottom w:val="nil"/>
              <w:right w:val="nil"/>
            </w:tcBorders>
            <w:shd w:val="clear" w:color="auto" w:fill="auto"/>
            <w:noWrap/>
            <w:vAlign w:val="bottom"/>
            <w:hideMark/>
          </w:tcPr>
          <w:p w14:paraId="176FFF1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144.8</w:t>
            </w:r>
          </w:p>
        </w:tc>
        <w:tc>
          <w:tcPr>
            <w:tcW w:w="0" w:type="auto"/>
            <w:tcBorders>
              <w:top w:val="nil"/>
              <w:left w:val="nil"/>
              <w:bottom w:val="nil"/>
              <w:right w:val="nil"/>
            </w:tcBorders>
            <w:shd w:val="clear" w:color="auto" w:fill="auto"/>
            <w:noWrap/>
            <w:vAlign w:val="bottom"/>
            <w:hideMark/>
          </w:tcPr>
          <w:p w14:paraId="3E9A0C1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221.0</w:t>
            </w:r>
          </w:p>
        </w:tc>
        <w:tc>
          <w:tcPr>
            <w:tcW w:w="0" w:type="auto"/>
            <w:tcBorders>
              <w:top w:val="nil"/>
              <w:left w:val="nil"/>
              <w:bottom w:val="nil"/>
              <w:right w:val="nil"/>
            </w:tcBorders>
            <w:shd w:val="clear" w:color="auto" w:fill="auto"/>
            <w:noWrap/>
            <w:vAlign w:val="bottom"/>
            <w:hideMark/>
          </w:tcPr>
          <w:p w14:paraId="36CFB0E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129.4</w:t>
            </w:r>
          </w:p>
        </w:tc>
        <w:tc>
          <w:tcPr>
            <w:tcW w:w="0" w:type="auto"/>
            <w:tcBorders>
              <w:top w:val="nil"/>
              <w:left w:val="nil"/>
              <w:bottom w:val="nil"/>
              <w:right w:val="nil"/>
            </w:tcBorders>
            <w:shd w:val="clear" w:color="auto" w:fill="auto"/>
            <w:noWrap/>
            <w:vAlign w:val="bottom"/>
            <w:hideMark/>
          </w:tcPr>
          <w:p w14:paraId="58C2EEE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212.7</w:t>
            </w:r>
          </w:p>
        </w:tc>
        <w:tc>
          <w:tcPr>
            <w:tcW w:w="0" w:type="auto"/>
            <w:tcBorders>
              <w:top w:val="nil"/>
              <w:left w:val="nil"/>
              <w:bottom w:val="nil"/>
              <w:right w:val="nil"/>
            </w:tcBorders>
            <w:shd w:val="clear" w:color="auto" w:fill="auto"/>
            <w:noWrap/>
            <w:vAlign w:val="bottom"/>
            <w:hideMark/>
          </w:tcPr>
          <w:p w14:paraId="4954E5D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175.1</w:t>
            </w:r>
          </w:p>
        </w:tc>
        <w:tc>
          <w:tcPr>
            <w:tcW w:w="0" w:type="auto"/>
            <w:tcBorders>
              <w:top w:val="nil"/>
              <w:left w:val="nil"/>
              <w:bottom w:val="nil"/>
              <w:right w:val="nil"/>
            </w:tcBorders>
            <w:shd w:val="clear" w:color="auto" w:fill="auto"/>
            <w:noWrap/>
            <w:vAlign w:val="bottom"/>
            <w:hideMark/>
          </w:tcPr>
          <w:p w14:paraId="590270F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161.8</w:t>
            </w:r>
          </w:p>
        </w:tc>
        <w:tc>
          <w:tcPr>
            <w:tcW w:w="0" w:type="auto"/>
            <w:tcBorders>
              <w:top w:val="nil"/>
              <w:left w:val="nil"/>
              <w:bottom w:val="nil"/>
              <w:right w:val="nil"/>
            </w:tcBorders>
            <w:shd w:val="clear" w:color="auto" w:fill="auto"/>
            <w:noWrap/>
            <w:vAlign w:val="bottom"/>
            <w:hideMark/>
          </w:tcPr>
          <w:p w14:paraId="4DB4002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151.1</w:t>
            </w:r>
          </w:p>
        </w:tc>
        <w:tc>
          <w:tcPr>
            <w:tcW w:w="0" w:type="auto"/>
            <w:tcBorders>
              <w:top w:val="nil"/>
              <w:left w:val="nil"/>
              <w:bottom w:val="nil"/>
              <w:right w:val="nil"/>
            </w:tcBorders>
            <w:shd w:val="clear" w:color="auto" w:fill="auto"/>
            <w:noWrap/>
            <w:vAlign w:val="bottom"/>
            <w:hideMark/>
          </w:tcPr>
          <w:p w14:paraId="0D77BFC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127.3</w:t>
            </w:r>
          </w:p>
        </w:tc>
        <w:tc>
          <w:tcPr>
            <w:tcW w:w="0" w:type="auto"/>
            <w:tcBorders>
              <w:top w:val="nil"/>
              <w:left w:val="nil"/>
              <w:bottom w:val="nil"/>
              <w:right w:val="nil"/>
            </w:tcBorders>
            <w:shd w:val="clear" w:color="auto" w:fill="auto"/>
            <w:noWrap/>
            <w:vAlign w:val="bottom"/>
            <w:hideMark/>
          </w:tcPr>
          <w:p w14:paraId="4603F6D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158.5</w:t>
            </w:r>
          </w:p>
        </w:tc>
        <w:tc>
          <w:tcPr>
            <w:tcW w:w="707" w:type="dxa"/>
            <w:tcBorders>
              <w:top w:val="nil"/>
              <w:left w:val="nil"/>
              <w:bottom w:val="nil"/>
              <w:right w:val="nil"/>
            </w:tcBorders>
            <w:shd w:val="clear" w:color="auto" w:fill="auto"/>
            <w:noWrap/>
            <w:vAlign w:val="bottom"/>
            <w:hideMark/>
          </w:tcPr>
          <w:p w14:paraId="2120E0D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166.5</w:t>
            </w:r>
          </w:p>
        </w:tc>
      </w:tr>
      <w:tr w:rsidR="0084302E" w:rsidRPr="000B52EF" w14:paraId="176295CB" w14:textId="77777777" w:rsidTr="0084302E">
        <w:trPr>
          <w:trHeight w:val="300"/>
        </w:trPr>
        <w:tc>
          <w:tcPr>
            <w:tcW w:w="0" w:type="auto"/>
            <w:tcBorders>
              <w:top w:val="nil"/>
              <w:left w:val="nil"/>
              <w:bottom w:val="nil"/>
              <w:right w:val="nil"/>
            </w:tcBorders>
            <w:shd w:val="clear" w:color="auto" w:fill="auto"/>
            <w:noWrap/>
            <w:vAlign w:val="bottom"/>
            <w:hideMark/>
          </w:tcPr>
          <w:p w14:paraId="06EF10B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Cu</w:t>
            </w:r>
          </w:p>
        </w:tc>
        <w:tc>
          <w:tcPr>
            <w:tcW w:w="0" w:type="auto"/>
            <w:tcBorders>
              <w:top w:val="nil"/>
              <w:left w:val="nil"/>
              <w:bottom w:val="nil"/>
              <w:right w:val="nil"/>
            </w:tcBorders>
            <w:shd w:val="clear" w:color="auto" w:fill="auto"/>
            <w:noWrap/>
            <w:vAlign w:val="bottom"/>
            <w:hideMark/>
          </w:tcPr>
          <w:p w14:paraId="1C61180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66.2</w:t>
            </w:r>
          </w:p>
        </w:tc>
        <w:tc>
          <w:tcPr>
            <w:tcW w:w="0" w:type="auto"/>
            <w:tcBorders>
              <w:top w:val="nil"/>
              <w:left w:val="nil"/>
              <w:bottom w:val="nil"/>
              <w:right w:val="nil"/>
            </w:tcBorders>
            <w:shd w:val="clear" w:color="auto" w:fill="auto"/>
            <w:noWrap/>
            <w:vAlign w:val="bottom"/>
            <w:hideMark/>
          </w:tcPr>
          <w:p w14:paraId="53E4367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96.5</w:t>
            </w:r>
          </w:p>
        </w:tc>
        <w:tc>
          <w:tcPr>
            <w:tcW w:w="0" w:type="auto"/>
            <w:tcBorders>
              <w:top w:val="nil"/>
              <w:left w:val="nil"/>
              <w:bottom w:val="nil"/>
              <w:right w:val="nil"/>
            </w:tcBorders>
            <w:shd w:val="clear" w:color="auto" w:fill="auto"/>
            <w:noWrap/>
            <w:vAlign w:val="bottom"/>
            <w:hideMark/>
          </w:tcPr>
          <w:p w14:paraId="750B20B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93.8</w:t>
            </w:r>
          </w:p>
        </w:tc>
        <w:tc>
          <w:tcPr>
            <w:tcW w:w="0" w:type="auto"/>
            <w:tcBorders>
              <w:top w:val="nil"/>
              <w:left w:val="nil"/>
              <w:bottom w:val="nil"/>
              <w:right w:val="nil"/>
            </w:tcBorders>
            <w:shd w:val="clear" w:color="auto" w:fill="auto"/>
            <w:noWrap/>
            <w:vAlign w:val="bottom"/>
            <w:hideMark/>
          </w:tcPr>
          <w:p w14:paraId="46F3EFD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61.7</w:t>
            </w:r>
          </w:p>
        </w:tc>
        <w:tc>
          <w:tcPr>
            <w:tcW w:w="0" w:type="auto"/>
            <w:tcBorders>
              <w:top w:val="nil"/>
              <w:left w:val="nil"/>
              <w:bottom w:val="nil"/>
              <w:right w:val="nil"/>
            </w:tcBorders>
            <w:shd w:val="clear" w:color="auto" w:fill="auto"/>
            <w:noWrap/>
            <w:vAlign w:val="bottom"/>
            <w:hideMark/>
          </w:tcPr>
          <w:p w14:paraId="1745DF3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64.3</w:t>
            </w:r>
          </w:p>
        </w:tc>
        <w:tc>
          <w:tcPr>
            <w:tcW w:w="0" w:type="auto"/>
            <w:tcBorders>
              <w:top w:val="nil"/>
              <w:left w:val="nil"/>
              <w:bottom w:val="nil"/>
              <w:right w:val="nil"/>
            </w:tcBorders>
            <w:shd w:val="clear" w:color="auto" w:fill="auto"/>
            <w:noWrap/>
            <w:vAlign w:val="bottom"/>
            <w:hideMark/>
          </w:tcPr>
          <w:p w14:paraId="6E90B9A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64.5</w:t>
            </w:r>
          </w:p>
        </w:tc>
        <w:tc>
          <w:tcPr>
            <w:tcW w:w="0" w:type="auto"/>
            <w:tcBorders>
              <w:top w:val="nil"/>
              <w:left w:val="nil"/>
              <w:bottom w:val="nil"/>
              <w:right w:val="nil"/>
            </w:tcBorders>
            <w:shd w:val="clear" w:color="auto" w:fill="auto"/>
            <w:noWrap/>
            <w:vAlign w:val="bottom"/>
            <w:hideMark/>
          </w:tcPr>
          <w:p w14:paraId="412E83B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67.2</w:t>
            </w:r>
          </w:p>
        </w:tc>
        <w:tc>
          <w:tcPr>
            <w:tcW w:w="0" w:type="auto"/>
            <w:tcBorders>
              <w:top w:val="nil"/>
              <w:left w:val="nil"/>
              <w:bottom w:val="nil"/>
              <w:right w:val="nil"/>
            </w:tcBorders>
            <w:shd w:val="clear" w:color="auto" w:fill="auto"/>
            <w:noWrap/>
            <w:vAlign w:val="bottom"/>
            <w:hideMark/>
          </w:tcPr>
          <w:p w14:paraId="307F29A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65.9</w:t>
            </w:r>
          </w:p>
        </w:tc>
        <w:tc>
          <w:tcPr>
            <w:tcW w:w="0" w:type="auto"/>
            <w:tcBorders>
              <w:top w:val="nil"/>
              <w:left w:val="nil"/>
              <w:bottom w:val="nil"/>
              <w:right w:val="nil"/>
            </w:tcBorders>
            <w:shd w:val="clear" w:color="auto" w:fill="auto"/>
            <w:noWrap/>
            <w:vAlign w:val="bottom"/>
            <w:hideMark/>
          </w:tcPr>
          <w:p w14:paraId="196D5A9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64.2</w:t>
            </w:r>
          </w:p>
        </w:tc>
        <w:tc>
          <w:tcPr>
            <w:tcW w:w="0" w:type="auto"/>
            <w:tcBorders>
              <w:top w:val="nil"/>
              <w:left w:val="nil"/>
              <w:bottom w:val="nil"/>
              <w:right w:val="nil"/>
            </w:tcBorders>
            <w:shd w:val="clear" w:color="auto" w:fill="auto"/>
            <w:noWrap/>
            <w:vAlign w:val="bottom"/>
            <w:hideMark/>
          </w:tcPr>
          <w:p w14:paraId="1338F67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64.2</w:t>
            </w:r>
          </w:p>
        </w:tc>
        <w:tc>
          <w:tcPr>
            <w:tcW w:w="707" w:type="dxa"/>
            <w:tcBorders>
              <w:top w:val="nil"/>
              <w:left w:val="nil"/>
              <w:bottom w:val="nil"/>
              <w:right w:val="nil"/>
            </w:tcBorders>
            <w:shd w:val="clear" w:color="auto" w:fill="auto"/>
            <w:noWrap/>
            <w:vAlign w:val="bottom"/>
            <w:hideMark/>
          </w:tcPr>
          <w:p w14:paraId="0B5357F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56.9</w:t>
            </w:r>
          </w:p>
        </w:tc>
      </w:tr>
      <w:tr w:rsidR="0084302E" w:rsidRPr="000B52EF" w14:paraId="69B1E945" w14:textId="77777777" w:rsidTr="0084302E">
        <w:trPr>
          <w:trHeight w:val="300"/>
        </w:trPr>
        <w:tc>
          <w:tcPr>
            <w:tcW w:w="0" w:type="auto"/>
            <w:tcBorders>
              <w:top w:val="nil"/>
              <w:left w:val="nil"/>
              <w:bottom w:val="nil"/>
              <w:right w:val="nil"/>
            </w:tcBorders>
            <w:shd w:val="clear" w:color="auto" w:fill="auto"/>
            <w:noWrap/>
            <w:vAlign w:val="bottom"/>
            <w:hideMark/>
          </w:tcPr>
          <w:p w14:paraId="3C19584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Zn</w:t>
            </w:r>
          </w:p>
        </w:tc>
        <w:tc>
          <w:tcPr>
            <w:tcW w:w="0" w:type="auto"/>
            <w:tcBorders>
              <w:top w:val="nil"/>
              <w:left w:val="nil"/>
              <w:bottom w:val="nil"/>
              <w:right w:val="nil"/>
            </w:tcBorders>
            <w:shd w:val="clear" w:color="auto" w:fill="auto"/>
            <w:noWrap/>
            <w:vAlign w:val="bottom"/>
            <w:hideMark/>
          </w:tcPr>
          <w:p w14:paraId="335C52D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67.5</w:t>
            </w:r>
          </w:p>
        </w:tc>
        <w:tc>
          <w:tcPr>
            <w:tcW w:w="0" w:type="auto"/>
            <w:tcBorders>
              <w:top w:val="nil"/>
              <w:left w:val="nil"/>
              <w:bottom w:val="nil"/>
              <w:right w:val="nil"/>
            </w:tcBorders>
            <w:shd w:val="clear" w:color="auto" w:fill="auto"/>
            <w:noWrap/>
            <w:vAlign w:val="bottom"/>
            <w:hideMark/>
          </w:tcPr>
          <w:p w14:paraId="77E3D58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62.6</w:t>
            </w:r>
          </w:p>
        </w:tc>
        <w:tc>
          <w:tcPr>
            <w:tcW w:w="0" w:type="auto"/>
            <w:tcBorders>
              <w:top w:val="nil"/>
              <w:left w:val="nil"/>
              <w:bottom w:val="nil"/>
              <w:right w:val="nil"/>
            </w:tcBorders>
            <w:shd w:val="clear" w:color="auto" w:fill="auto"/>
            <w:noWrap/>
            <w:vAlign w:val="bottom"/>
            <w:hideMark/>
          </w:tcPr>
          <w:p w14:paraId="7A8395C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56.2</w:t>
            </w:r>
          </w:p>
        </w:tc>
        <w:tc>
          <w:tcPr>
            <w:tcW w:w="0" w:type="auto"/>
            <w:tcBorders>
              <w:top w:val="nil"/>
              <w:left w:val="nil"/>
              <w:bottom w:val="nil"/>
              <w:right w:val="nil"/>
            </w:tcBorders>
            <w:shd w:val="clear" w:color="auto" w:fill="auto"/>
            <w:noWrap/>
            <w:vAlign w:val="bottom"/>
            <w:hideMark/>
          </w:tcPr>
          <w:p w14:paraId="2516B9C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59.4</w:t>
            </w:r>
          </w:p>
        </w:tc>
        <w:tc>
          <w:tcPr>
            <w:tcW w:w="0" w:type="auto"/>
            <w:tcBorders>
              <w:top w:val="nil"/>
              <w:left w:val="nil"/>
              <w:bottom w:val="nil"/>
              <w:right w:val="nil"/>
            </w:tcBorders>
            <w:shd w:val="clear" w:color="auto" w:fill="auto"/>
            <w:noWrap/>
            <w:vAlign w:val="bottom"/>
            <w:hideMark/>
          </w:tcPr>
          <w:p w14:paraId="73E10AA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61.4</w:t>
            </w:r>
          </w:p>
        </w:tc>
        <w:tc>
          <w:tcPr>
            <w:tcW w:w="0" w:type="auto"/>
            <w:tcBorders>
              <w:top w:val="nil"/>
              <w:left w:val="nil"/>
              <w:bottom w:val="nil"/>
              <w:right w:val="nil"/>
            </w:tcBorders>
            <w:shd w:val="clear" w:color="auto" w:fill="auto"/>
            <w:noWrap/>
            <w:vAlign w:val="bottom"/>
            <w:hideMark/>
          </w:tcPr>
          <w:p w14:paraId="1B63D92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62.0</w:t>
            </w:r>
          </w:p>
        </w:tc>
        <w:tc>
          <w:tcPr>
            <w:tcW w:w="0" w:type="auto"/>
            <w:tcBorders>
              <w:top w:val="nil"/>
              <w:left w:val="nil"/>
              <w:bottom w:val="nil"/>
              <w:right w:val="nil"/>
            </w:tcBorders>
            <w:shd w:val="clear" w:color="auto" w:fill="auto"/>
            <w:noWrap/>
            <w:vAlign w:val="bottom"/>
            <w:hideMark/>
          </w:tcPr>
          <w:p w14:paraId="608E977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62.7</w:t>
            </w:r>
          </w:p>
        </w:tc>
        <w:tc>
          <w:tcPr>
            <w:tcW w:w="0" w:type="auto"/>
            <w:tcBorders>
              <w:top w:val="nil"/>
              <w:left w:val="nil"/>
              <w:bottom w:val="nil"/>
              <w:right w:val="nil"/>
            </w:tcBorders>
            <w:shd w:val="clear" w:color="auto" w:fill="auto"/>
            <w:noWrap/>
            <w:vAlign w:val="bottom"/>
            <w:hideMark/>
          </w:tcPr>
          <w:p w14:paraId="59568CF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72.8</w:t>
            </w:r>
          </w:p>
        </w:tc>
        <w:tc>
          <w:tcPr>
            <w:tcW w:w="0" w:type="auto"/>
            <w:tcBorders>
              <w:top w:val="nil"/>
              <w:left w:val="nil"/>
              <w:bottom w:val="nil"/>
              <w:right w:val="nil"/>
            </w:tcBorders>
            <w:shd w:val="clear" w:color="auto" w:fill="auto"/>
            <w:noWrap/>
            <w:vAlign w:val="bottom"/>
            <w:hideMark/>
          </w:tcPr>
          <w:p w14:paraId="686A076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72.1</w:t>
            </w:r>
          </w:p>
        </w:tc>
        <w:tc>
          <w:tcPr>
            <w:tcW w:w="0" w:type="auto"/>
            <w:tcBorders>
              <w:top w:val="nil"/>
              <w:left w:val="nil"/>
              <w:bottom w:val="nil"/>
              <w:right w:val="nil"/>
            </w:tcBorders>
            <w:shd w:val="clear" w:color="auto" w:fill="auto"/>
            <w:noWrap/>
            <w:vAlign w:val="bottom"/>
            <w:hideMark/>
          </w:tcPr>
          <w:p w14:paraId="46AA5B3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58.4</w:t>
            </w:r>
          </w:p>
        </w:tc>
        <w:tc>
          <w:tcPr>
            <w:tcW w:w="707" w:type="dxa"/>
            <w:tcBorders>
              <w:top w:val="nil"/>
              <w:left w:val="nil"/>
              <w:bottom w:val="nil"/>
              <w:right w:val="nil"/>
            </w:tcBorders>
            <w:shd w:val="clear" w:color="auto" w:fill="auto"/>
            <w:noWrap/>
            <w:vAlign w:val="bottom"/>
            <w:hideMark/>
          </w:tcPr>
          <w:p w14:paraId="107B6A8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81.9</w:t>
            </w:r>
          </w:p>
        </w:tc>
      </w:tr>
      <w:tr w:rsidR="0084302E" w:rsidRPr="000B52EF" w14:paraId="435BC761" w14:textId="77777777" w:rsidTr="0084302E">
        <w:trPr>
          <w:trHeight w:val="300"/>
        </w:trPr>
        <w:tc>
          <w:tcPr>
            <w:tcW w:w="0" w:type="auto"/>
            <w:tcBorders>
              <w:top w:val="nil"/>
              <w:left w:val="nil"/>
              <w:bottom w:val="nil"/>
              <w:right w:val="nil"/>
            </w:tcBorders>
            <w:shd w:val="clear" w:color="auto" w:fill="auto"/>
            <w:noWrap/>
            <w:vAlign w:val="bottom"/>
            <w:hideMark/>
          </w:tcPr>
          <w:p w14:paraId="694EF96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Rb</w:t>
            </w:r>
          </w:p>
        </w:tc>
        <w:tc>
          <w:tcPr>
            <w:tcW w:w="0" w:type="auto"/>
            <w:tcBorders>
              <w:top w:val="nil"/>
              <w:left w:val="nil"/>
              <w:bottom w:val="nil"/>
              <w:right w:val="nil"/>
            </w:tcBorders>
            <w:shd w:val="clear" w:color="auto" w:fill="auto"/>
            <w:noWrap/>
            <w:vAlign w:val="bottom"/>
            <w:hideMark/>
          </w:tcPr>
          <w:p w14:paraId="15C379A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2.5</w:t>
            </w:r>
          </w:p>
        </w:tc>
        <w:tc>
          <w:tcPr>
            <w:tcW w:w="0" w:type="auto"/>
            <w:tcBorders>
              <w:top w:val="nil"/>
              <w:left w:val="nil"/>
              <w:bottom w:val="nil"/>
              <w:right w:val="nil"/>
            </w:tcBorders>
            <w:shd w:val="clear" w:color="auto" w:fill="auto"/>
            <w:noWrap/>
            <w:vAlign w:val="bottom"/>
            <w:hideMark/>
          </w:tcPr>
          <w:p w14:paraId="071ED83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0.8</w:t>
            </w:r>
          </w:p>
        </w:tc>
        <w:tc>
          <w:tcPr>
            <w:tcW w:w="0" w:type="auto"/>
            <w:tcBorders>
              <w:top w:val="nil"/>
              <w:left w:val="nil"/>
              <w:bottom w:val="nil"/>
              <w:right w:val="nil"/>
            </w:tcBorders>
            <w:shd w:val="clear" w:color="auto" w:fill="auto"/>
            <w:noWrap/>
            <w:vAlign w:val="bottom"/>
            <w:hideMark/>
          </w:tcPr>
          <w:p w14:paraId="4559293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08900E0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w:t>
            </w:r>
          </w:p>
        </w:tc>
        <w:tc>
          <w:tcPr>
            <w:tcW w:w="0" w:type="auto"/>
            <w:tcBorders>
              <w:top w:val="nil"/>
              <w:left w:val="nil"/>
              <w:bottom w:val="nil"/>
              <w:right w:val="nil"/>
            </w:tcBorders>
            <w:shd w:val="clear" w:color="auto" w:fill="auto"/>
            <w:noWrap/>
            <w:vAlign w:val="bottom"/>
            <w:hideMark/>
          </w:tcPr>
          <w:p w14:paraId="19763E7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6846351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w:t>
            </w:r>
          </w:p>
        </w:tc>
        <w:tc>
          <w:tcPr>
            <w:tcW w:w="0" w:type="auto"/>
            <w:tcBorders>
              <w:top w:val="nil"/>
              <w:left w:val="nil"/>
              <w:bottom w:val="nil"/>
              <w:right w:val="nil"/>
            </w:tcBorders>
            <w:shd w:val="clear" w:color="auto" w:fill="auto"/>
            <w:noWrap/>
            <w:vAlign w:val="bottom"/>
            <w:hideMark/>
          </w:tcPr>
          <w:p w14:paraId="68707EF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w:t>
            </w:r>
          </w:p>
        </w:tc>
        <w:tc>
          <w:tcPr>
            <w:tcW w:w="0" w:type="auto"/>
            <w:tcBorders>
              <w:top w:val="nil"/>
              <w:left w:val="nil"/>
              <w:bottom w:val="nil"/>
              <w:right w:val="nil"/>
            </w:tcBorders>
            <w:shd w:val="clear" w:color="auto" w:fill="auto"/>
            <w:noWrap/>
            <w:vAlign w:val="bottom"/>
            <w:hideMark/>
          </w:tcPr>
          <w:p w14:paraId="3EC4878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w:t>
            </w:r>
          </w:p>
        </w:tc>
        <w:tc>
          <w:tcPr>
            <w:tcW w:w="0" w:type="auto"/>
            <w:tcBorders>
              <w:top w:val="nil"/>
              <w:left w:val="nil"/>
              <w:bottom w:val="nil"/>
              <w:right w:val="nil"/>
            </w:tcBorders>
            <w:shd w:val="clear" w:color="auto" w:fill="auto"/>
            <w:noWrap/>
            <w:vAlign w:val="bottom"/>
            <w:hideMark/>
          </w:tcPr>
          <w:p w14:paraId="148F204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w:t>
            </w:r>
          </w:p>
        </w:tc>
        <w:tc>
          <w:tcPr>
            <w:tcW w:w="0" w:type="auto"/>
            <w:tcBorders>
              <w:top w:val="nil"/>
              <w:left w:val="nil"/>
              <w:bottom w:val="nil"/>
              <w:right w:val="nil"/>
            </w:tcBorders>
            <w:shd w:val="clear" w:color="auto" w:fill="auto"/>
            <w:noWrap/>
            <w:vAlign w:val="bottom"/>
            <w:hideMark/>
          </w:tcPr>
          <w:p w14:paraId="51D70BE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w:t>
            </w:r>
          </w:p>
        </w:tc>
        <w:tc>
          <w:tcPr>
            <w:tcW w:w="707" w:type="dxa"/>
            <w:tcBorders>
              <w:top w:val="nil"/>
              <w:left w:val="nil"/>
              <w:bottom w:val="nil"/>
              <w:right w:val="nil"/>
            </w:tcBorders>
            <w:shd w:val="clear" w:color="auto" w:fill="auto"/>
            <w:noWrap/>
            <w:vAlign w:val="bottom"/>
            <w:hideMark/>
          </w:tcPr>
          <w:p w14:paraId="41F0864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w:t>
            </w:r>
          </w:p>
        </w:tc>
      </w:tr>
      <w:tr w:rsidR="0084302E" w:rsidRPr="000B52EF" w14:paraId="78E4C018" w14:textId="77777777" w:rsidTr="0084302E">
        <w:trPr>
          <w:trHeight w:val="300"/>
        </w:trPr>
        <w:tc>
          <w:tcPr>
            <w:tcW w:w="0" w:type="auto"/>
            <w:tcBorders>
              <w:top w:val="nil"/>
              <w:left w:val="nil"/>
              <w:bottom w:val="nil"/>
              <w:right w:val="nil"/>
            </w:tcBorders>
            <w:shd w:val="clear" w:color="auto" w:fill="auto"/>
            <w:noWrap/>
            <w:vAlign w:val="bottom"/>
            <w:hideMark/>
          </w:tcPr>
          <w:p w14:paraId="32FCA49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Sr</w:t>
            </w:r>
          </w:p>
        </w:tc>
        <w:tc>
          <w:tcPr>
            <w:tcW w:w="0" w:type="auto"/>
            <w:tcBorders>
              <w:top w:val="nil"/>
              <w:left w:val="nil"/>
              <w:bottom w:val="nil"/>
              <w:right w:val="nil"/>
            </w:tcBorders>
            <w:shd w:val="clear" w:color="auto" w:fill="auto"/>
            <w:noWrap/>
            <w:vAlign w:val="bottom"/>
            <w:hideMark/>
          </w:tcPr>
          <w:p w14:paraId="2141F75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160.3</w:t>
            </w:r>
          </w:p>
        </w:tc>
        <w:tc>
          <w:tcPr>
            <w:tcW w:w="0" w:type="auto"/>
            <w:tcBorders>
              <w:top w:val="nil"/>
              <w:left w:val="nil"/>
              <w:bottom w:val="nil"/>
              <w:right w:val="nil"/>
            </w:tcBorders>
            <w:shd w:val="clear" w:color="auto" w:fill="auto"/>
            <w:noWrap/>
            <w:vAlign w:val="bottom"/>
            <w:hideMark/>
          </w:tcPr>
          <w:p w14:paraId="7ABB767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116.3</w:t>
            </w:r>
          </w:p>
        </w:tc>
        <w:tc>
          <w:tcPr>
            <w:tcW w:w="0" w:type="auto"/>
            <w:tcBorders>
              <w:top w:val="nil"/>
              <w:left w:val="nil"/>
              <w:bottom w:val="nil"/>
              <w:right w:val="nil"/>
            </w:tcBorders>
            <w:shd w:val="clear" w:color="auto" w:fill="auto"/>
            <w:noWrap/>
            <w:vAlign w:val="bottom"/>
            <w:hideMark/>
          </w:tcPr>
          <w:p w14:paraId="04BC783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117.6</w:t>
            </w:r>
          </w:p>
        </w:tc>
        <w:tc>
          <w:tcPr>
            <w:tcW w:w="0" w:type="auto"/>
            <w:tcBorders>
              <w:top w:val="nil"/>
              <w:left w:val="nil"/>
              <w:bottom w:val="nil"/>
              <w:right w:val="nil"/>
            </w:tcBorders>
            <w:shd w:val="clear" w:color="auto" w:fill="auto"/>
            <w:noWrap/>
            <w:vAlign w:val="bottom"/>
            <w:hideMark/>
          </w:tcPr>
          <w:p w14:paraId="4D5DA13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180.1</w:t>
            </w:r>
          </w:p>
        </w:tc>
        <w:tc>
          <w:tcPr>
            <w:tcW w:w="0" w:type="auto"/>
            <w:tcBorders>
              <w:top w:val="nil"/>
              <w:left w:val="nil"/>
              <w:bottom w:val="nil"/>
              <w:right w:val="nil"/>
            </w:tcBorders>
            <w:shd w:val="clear" w:color="auto" w:fill="auto"/>
            <w:noWrap/>
            <w:vAlign w:val="bottom"/>
            <w:hideMark/>
          </w:tcPr>
          <w:p w14:paraId="1BFF7C4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220.3</w:t>
            </w:r>
          </w:p>
        </w:tc>
        <w:tc>
          <w:tcPr>
            <w:tcW w:w="0" w:type="auto"/>
            <w:tcBorders>
              <w:top w:val="nil"/>
              <w:left w:val="nil"/>
              <w:bottom w:val="nil"/>
              <w:right w:val="nil"/>
            </w:tcBorders>
            <w:shd w:val="clear" w:color="auto" w:fill="auto"/>
            <w:noWrap/>
            <w:vAlign w:val="bottom"/>
            <w:hideMark/>
          </w:tcPr>
          <w:p w14:paraId="334F5E7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229.6</w:t>
            </w:r>
          </w:p>
        </w:tc>
        <w:tc>
          <w:tcPr>
            <w:tcW w:w="0" w:type="auto"/>
            <w:tcBorders>
              <w:top w:val="nil"/>
              <w:left w:val="nil"/>
              <w:bottom w:val="nil"/>
              <w:right w:val="nil"/>
            </w:tcBorders>
            <w:shd w:val="clear" w:color="auto" w:fill="auto"/>
            <w:noWrap/>
            <w:vAlign w:val="bottom"/>
            <w:hideMark/>
          </w:tcPr>
          <w:p w14:paraId="06E8280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171.6</w:t>
            </w:r>
          </w:p>
        </w:tc>
        <w:tc>
          <w:tcPr>
            <w:tcW w:w="0" w:type="auto"/>
            <w:tcBorders>
              <w:top w:val="nil"/>
              <w:left w:val="nil"/>
              <w:bottom w:val="nil"/>
              <w:right w:val="nil"/>
            </w:tcBorders>
            <w:shd w:val="clear" w:color="auto" w:fill="auto"/>
            <w:noWrap/>
            <w:vAlign w:val="bottom"/>
            <w:hideMark/>
          </w:tcPr>
          <w:p w14:paraId="1353F60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173.9</w:t>
            </w:r>
          </w:p>
        </w:tc>
        <w:tc>
          <w:tcPr>
            <w:tcW w:w="0" w:type="auto"/>
            <w:tcBorders>
              <w:top w:val="nil"/>
              <w:left w:val="nil"/>
              <w:bottom w:val="nil"/>
              <w:right w:val="nil"/>
            </w:tcBorders>
            <w:shd w:val="clear" w:color="auto" w:fill="auto"/>
            <w:noWrap/>
            <w:vAlign w:val="bottom"/>
            <w:hideMark/>
          </w:tcPr>
          <w:p w14:paraId="171306F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177.8</w:t>
            </w:r>
          </w:p>
        </w:tc>
        <w:tc>
          <w:tcPr>
            <w:tcW w:w="0" w:type="auto"/>
            <w:tcBorders>
              <w:top w:val="nil"/>
              <w:left w:val="nil"/>
              <w:bottom w:val="nil"/>
              <w:right w:val="nil"/>
            </w:tcBorders>
            <w:shd w:val="clear" w:color="auto" w:fill="auto"/>
            <w:noWrap/>
            <w:vAlign w:val="bottom"/>
            <w:hideMark/>
          </w:tcPr>
          <w:p w14:paraId="4FFF456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198.5</w:t>
            </w:r>
          </w:p>
        </w:tc>
        <w:tc>
          <w:tcPr>
            <w:tcW w:w="707" w:type="dxa"/>
            <w:tcBorders>
              <w:top w:val="nil"/>
              <w:left w:val="nil"/>
              <w:bottom w:val="nil"/>
              <w:right w:val="nil"/>
            </w:tcBorders>
            <w:shd w:val="clear" w:color="auto" w:fill="auto"/>
            <w:noWrap/>
            <w:vAlign w:val="bottom"/>
            <w:hideMark/>
          </w:tcPr>
          <w:p w14:paraId="0F16CDE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145.7</w:t>
            </w:r>
          </w:p>
        </w:tc>
      </w:tr>
      <w:tr w:rsidR="0084302E" w:rsidRPr="000B52EF" w14:paraId="55C31C4F" w14:textId="77777777" w:rsidTr="0084302E">
        <w:trPr>
          <w:trHeight w:val="300"/>
        </w:trPr>
        <w:tc>
          <w:tcPr>
            <w:tcW w:w="0" w:type="auto"/>
            <w:tcBorders>
              <w:top w:val="nil"/>
              <w:left w:val="nil"/>
              <w:bottom w:val="nil"/>
              <w:right w:val="nil"/>
            </w:tcBorders>
            <w:shd w:val="clear" w:color="auto" w:fill="auto"/>
            <w:noWrap/>
            <w:vAlign w:val="bottom"/>
            <w:hideMark/>
          </w:tcPr>
          <w:p w14:paraId="7AAA61F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Y</w:t>
            </w:r>
          </w:p>
        </w:tc>
        <w:tc>
          <w:tcPr>
            <w:tcW w:w="0" w:type="auto"/>
            <w:tcBorders>
              <w:top w:val="nil"/>
              <w:left w:val="nil"/>
              <w:bottom w:val="nil"/>
              <w:right w:val="nil"/>
            </w:tcBorders>
            <w:shd w:val="clear" w:color="auto" w:fill="auto"/>
            <w:noWrap/>
            <w:vAlign w:val="bottom"/>
            <w:hideMark/>
          </w:tcPr>
          <w:p w14:paraId="757DF7C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31.3</w:t>
            </w:r>
          </w:p>
        </w:tc>
        <w:tc>
          <w:tcPr>
            <w:tcW w:w="0" w:type="auto"/>
            <w:tcBorders>
              <w:top w:val="nil"/>
              <w:left w:val="nil"/>
              <w:bottom w:val="nil"/>
              <w:right w:val="nil"/>
            </w:tcBorders>
            <w:shd w:val="clear" w:color="auto" w:fill="auto"/>
            <w:noWrap/>
            <w:vAlign w:val="bottom"/>
            <w:hideMark/>
          </w:tcPr>
          <w:p w14:paraId="7C96A70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27.7</w:t>
            </w:r>
          </w:p>
        </w:tc>
        <w:tc>
          <w:tcPr>
            <w:tcW w:w="0" w:type="auto"/>
            <w:tcBorders>
              <w:top w:val="nil"/>
              <w:left w:val="nil"/>
              <w:bottom w:val="nil"/>
              <w:right w:val="nil"/>
            </w:tcBorders>
            <w:shd w:val="clear" w:color="auto" w:fill="auto"/>
            <w:noWrap/>
            <w:vAlign w:val="bottom"/>
            <w:hideMark/>
          </w:tcPr>
          <w:p w14:paraId="3A9220B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28.1</w:t>
            </w:r>
          </w:p>
        </w:tc>
        <w:tc>
          <w:tcPr>
            <w:tcW w:w="0" w:type="auto"/>
            <w:tcBorders>
              <w:top w:val="nil"/>
              <w:left w:val="nil"/>
              <w:bottom w:val="nil"/>
              <w:right w:val="nil"/>
            </w:tcBorders>
            <w:shd w:val="clear" w:color="auto" w:fill="auto"/>
            <w:noWrap/>
            <w:vAlign w:val="bottom"/>
            <w:hideMark/>
          </w:tcPr>
          <w:p w14:paraId="12FCF0D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30.5</w:t>
            </w:r>
          </w:p>
        </w:tc>
        <w:tc>
          <w:tcPr>
            <w:tcW w:w="0" w:type="auto"/>
            <w:tcBorders>
              <w:top w:val="nil"/>
              <w:left w:val="nil"/>
              <w:bottom w:val="nil"/>
              <w:right w:val="nil"/>
            </w:tcBorders>
            <w:shd w:val="clear" w:color="auto" w:fill="auto"/>
            <w:noWrap/>
            <w:vAlign w:val="bottom"/>
            <w:hideMark/>
          </w:tcPr>
          <w:p w14:paraId="0CB0D12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37.7</w:t>
            </w:r>
          </w:p>
        </w:tc>
        <w:tc>
          <w:tcPr>
            <w:tcW w:w="0" w:type="auto"/>
            <w:tcBorders>
              <w:top w:val="nil"/>
              <w:left w:val="nil"/>
              <w:bottom w:val="nil"/>
              <w:right w:val="nil"/>
            </w:tcBorders>
            <w:shd w:val="clear" w:color="auto" w:fill="auto"/>
            <w:noWrap/>
            <w:vAlign w:val="bottom"/>
            <w:hideMark/>
          </w:tcPr>
          <w:p w14:paraId="7653DB7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38.3</w:t>
            </w:r>
          </w:p>
        </w:tc>
        <w:tc>
          <w:tcPr>
            <w:tcW w:w="0" w:type="auto"/>
            <w:tcBorders>
              <w:top w:val="nil"/>
              <w:left w:val="nil"/>
              <w:bottom w:val="nil"/>
              <w:right w:val="nil"/>
            </w:tcBorders>
            <w:shd w:val="clear" w:color="auto" w:fill="auto"/>
            <w:noWrap/>
            <w:vAlign w:val="bottom"/>
            <w:hideMark/>
          </w:tcPr>
          <w:p w14:paraId="0A1672F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23.2</w:t>
            </w:r>
          </w:p>
        </w:tc>
        <w:tc>
          <w:tcPr>
            <w:tcW w:w="0" w:type="auto"/>
            <w:tcBorders>
              <w:top w:val="nil"/>
              <w:left w:val="nil"/>
              <w:bottom w:val="nil"/>
              <w:right w:val="nil"/>
            </w:tcBorders>
            <w:shd w:val="clear" w:color="auto" w:fill="auto"/>
            <w:noWrap/>
            <w:vAlign w:val="bottom"/>
            <w:hideMark/>
          </w:tcPr>
          <w:p w14:paraId="1A4448D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31.2</w:t>
            </w:r>
          </w:p>
        </w:tc>
        <w:tc>
          <w:tcPr>
            <w:tcW w:w="0" w:type="auto"/>
            <w:tcBorders>
              <w:top w:val="nil"/>
              <w:left w:val="nil"/>
              <w:bottom w:val="nil"/>
              <w:right w:val="nil"/>
            </w:tcBorders>
            <w:shd w:val="clear" w:color="auto" w:fill="auto"/>
            <w:noWrap/>
            <w:vAlign w:val="bottom"/>
            <w:hideMark/>
          </w:tcPr>
          <w:p w14:paraId="48AA356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31.1</w:t>
            </w:r>
          </w:p>
        </w:tc>
        <w:tc>
          <w:tcPr>
            <w:tcW w:w="0" w:type="auto"/>
            <w:tcBorders>
              <w:top w:val="nil"/>
              <w:left w:val="nil"/>
              <w:bottom w:val="nil"/>
              <w:right w:val="nil"/>
            </w:tcBorders>
            <w:shd w:val="clear" w:color="auto" w:fill="auto"/>
            <w:noWrap/>
            <w:vAlign w:val="bottom"/>
            <w:hideMark/>
          </w:tcPr>
          <w:p w14:paraId="44D02C4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24.2</w:t>
            </w:r>
          </w:p>
        </w:tc>
        <w:tc>
          <w:tcPr>
            <w:tcW w:w="707" w:type="dxa"/>
            <w:tcBorders>
              <w:top w:val="nil"/>
              <w:left w:val="nil"/>
              <w:bottom w:val="nil"/>
              <w:right w:val="nil"/>
            </w:tcBorders>
            <w:shd w:val="clear" w:color="auto" w:fill="auto"/>
            <w:noWrap/>
            <w:vAlign w:val="bottom"/>
            <w:hideMark/>
          </w:tcPr>
          <w:p w14:paraId="013E800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25.4</w:t>
            </w:r>
          </w:p>
        </w:tc>
      </w:tr>
      <w:tr w:rsidR="0084302E" w:rsidRPr="000B52EF" w14:paraId="2FDE06CE" w14:textId="77777777" w:rsidTr="0084302E">
        <w:trPr>
          <w:trHeight w:val="300"/>
        </w:trPr>
        <w:tc>
          <w:tcPr>
            <w:tcW w:w="0" w:type="auto"/>
            <w:tcBorders>
              <w:top w:val="nil"/>
              <w:left w:val="nil"/>
              <w:bottom w:val="nil"/>
              <w:right w:val="nil"/>
            </w:tcBorders>
            <w:shd w:val="clear" w:color="auto" w:fill="auto"/>
            <w:noWrap/>
            <w:vAlign w:val="bottom"/>
            <w:hideMark/>
          </w:tcPr>
          <w:p w14:paraId="3921D54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Zr</w:t>
            </w:r>
          </w:p>
        </w:tc>
        <w:tc>
          <w:tcPr>
            <w:tcW w:w="0" w:type="auto"/>
            <w:tcBorders>
              <w:top w:val="nil"/>
              <w:left w:val="nil"/>
              <w:bottom w:val="nil"/>
              <w:right w:val="nil"/>
            </w:tcBorders>
            <w:shd w:val="clear" w:color="auto" w:fill="auto"/>
            <w:noWrap/>
            <w:vAlign w:val="bottom"/>
            <w:hideMark/>
          </w:tcPr>
          <w:p w14:paraId="61FFA3D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85.6</w:t>
            </w:r>
          </w:p>
        </w:tc>
        <w:tc>
          <w:tcPr>
            <w:tcW w:w="0" w:type="auto"/>
            <w:tcBorders>
              <w:top w:val="nil"/>
              <w:left w:val="nil"/>
              <w:bottom w:val="nil"/>
              <w:right w:val="nil"/>
            </w:tcBorders>
            <w:shd w:val="clear" w:color="auto" w:fill="auto"/>
            <w:noWrap/>
            <w:vAlign w:val="bottom"/>
            <w:hideMark/>
          </w:tcPr>
          <w:p w14:paraId="273C440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55.5</w:t>
            </w:r>
          </w:p>
        </w:tc>
        <w:tc>
          <w:tcPr>
            <w:tcW w:w="0" w:type="auto"/>
            <w:tcBorders>
              <w:top w:val="nil"/>
              <w:left w:val="nil"/>
              <w:bottom w:val="nil"/>
              <w:right w:val="nil"/>
            </w:tcBorders>
            <w:shd w:val="clear" w:color="auto" w:fill="auto"/>
            <w:noWrap/>
            <w:vAlign w:val="bottom"/>
            <w:hideMark/>
          </w:tcPr>
          <w:p w14:paraId="4E0B3FE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49.9</w:t>
            </w:r>
          </w:p>
        </w:tc>
        <w:tc>
          <w:tcPr>
            <w:tcW w:w="0" w:type="auto"/>
            <w:tcBorders>
              <w:top w:val="nil"/>
              <w:left w:val="nil"/>
              <w:bottom w:val="nil"/>
              <w:right w:val="nil"/>
            </w:tcBorders>
            <w:shd w:val="clear" w:color="auto" w:fill="auto"/>
            <w:noWrap/>
            <w:vAlign w:val="bottom"/>
            <w:hideMark/>
          </w:tcPr>
          <w:p w14:paraId="209F359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91.3</w:t>
            </w:r>
          </w:p>
        </w:tc>
        <w:tc>
          <w:tcPr>
            <w:tcW w:w="0" w:type="auto"/>
            <w:tcBorders>
              <w:top w:val="nil"/>
              <w:left w:val="nil"/>
              <w:bottom w:val="nil"/>
              <w:right w:val="nil"/>
            </w:tcBorders>
            <w:shd w:val="clear" w:color="auto" w:fill="auto"/>
            <w:noWrap/>
            <w:vAlign w:val="bottom"/>
            <w:hideMark/>
          </w:tcPr>
          <w:p w14:paraId="16D7D64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101.5</w:t>
            </w:r>
          </w:p>
        </w:tc>
        <w:tc>
          <w:tcPr>
            <w:tcW w:w="0" w:type="auto"/>
            <w:tcBorders>
              <w:top w:val="nil"/>
              <w:left w:val="nil"/>
              <w:bottom w:val="nil"/>
              <w:right w:val="nil"/>
            </w:tcBorders>
            <w:shd w:val="clear" w:color="auto" w:fill="auto"/>
            <w:noWrap/>
            <w:vAlign w:val="bottom"/>
            <w:hideMark/>
          </w:tcPr>
          <w:p w14:paraId="7144DF6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107.6</w:t>
            </w:r>
          </w:p>
        </w:tc>
        <w:tc>
          <w:tcPr>
            <w:tcW w:w="0" w:type="auto"/>
            <w:tcBorders>
              <w:top w:val="nil"/>
              <w:left w:val="nil"/>
              <w:bottom w:val="nil"/>
              <w:right w:val="nil"/>
            </w:tcBorders>
            <w:shd w:val="clear" w:color="auto" w:fill="auto"/>
            <w:noWrap/>
            <w:vAlign w:val="bottom"/>
            <w:hideMark/>
          </w:tcPr>
          <w:p w14:paraId="7A3C2CD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94.4</w:t>
            </w:r>
          </w:p>
        </w:tc>
        <w:tc>
          <w:tcPr>
            <w:tcW w:w="0" w:type="auto"/>
            <w:tcBorders>
              <w:top w:val="nil"/>
              <w:left w:val="nil"/>
              <w:bottom w:val="nil"/>
              <w:right w:val="nil"/>
            </w:tcBorders>
            <w:shd w:val="clear" w:color="auto" w:fill="auto"/>
            <w:noWrap/>
            <w:vAlign w:val="bottom"/>
            <w:hideMark/>
          </w:tcPr>
          <w:p w14:paraId="71902E0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127.7</w:t>
            </w:r>
          </w:p>
        </w:tc>
        <w:tc>
          <w:tcPr>
            <w:tcW w:w="0" w:type="auto"/>
            <w:tcBorders>
              <w:top w:val="nil"/>
              <w:left w:val="nil"/>
              <w:bottom w:val="nil"/>
              <w:right w:val="nil"/>
            </w:tcBorders>
            <w:shd w:val="clear" w:color="auto" w:fill="auto"/>
            <w:noWrap/>
            <w:vAlign w:val="bottom"/>
            <w:hideMark/>
          </w:tcPr>
          <w:p w14:paraId="4343D11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128.6</w:t>
            </w:r>
          </w:p>
        </w:tc>
        <w:tc>
          <w:tcPr>
            <w:tcW w:w="0" w:type="auto"/>
            <w:tcBorders>
              <w:top w:val="nil"/>
              <w:left w:val="nil"/>
              <w:bottom w:val="nil"/>
              <w:right w:val="nil"/>
            </w:tcBorders>
            <w:shd w:val="clear" w:color="auto" w:fill="auto"/>
            <w:noWrap/>
            <w:vAlign w:val="bottom"/>
            <w:hideMark/>
          </w:tcPr>
          <w:p w14:paraId="1BB9188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100.6</w:t>
            </w:r>
          </w:p>
        </w:tc>
        <w:tc>
          <w:tcPr>
            <w:tcW w:w="707" w:type="dxa"/>
            <w:tcBorders>
              <w:top w:val="nil"/>
              <w:left w:val="nil"/>
              <w:bottom w:val="nil"/>
              <w:right w:val="nil"/>
            </w:tcBorders>
            <w:shd w:val="clear" w:color="auto" w:fill="auto"/>
            <w:noWrap/>
            <w:vAlign w:val="bottom"/>
            <w:hideMark/>
          </w:tcPr>
          <w:p w14:paraId="26EEBD3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151.6</w:t>
            </w:r>
          </w:p>
        </w:tc>
      </w:tr>
      <w:tr w:rsidR="0084302E" w:rsidRPr="000B52EF" w14:paraId="708AFEA4" w14:textId="77777777" w:rsidTr="0084302E">
        <w:trPr>
          <w:trHeight w:val="300"/>
        </w:trPr>
        <w:tc>
          <w:tcPr>
            <w:tcW w:w="0" w:type="auto"/>
            <w:tcBorders>
              <w:top w:val="nil"/>
              <w:left w:val="nil"/>
              <w:bottom w:val="nil"/>
              <w:right w:val="nil"/>
            </w:tcBorders>
            <w:shd w:val="clear" w:color="auto" w:fill="auto"/>
            <w:noWrap/>
            <w:vAlign w:val="bottom"/>
            <w:hideMark/>
          </w:tcPr>
          <w:p w14:paraId="73B7D12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Nb</w:t>
            </w:r>
          </w:p>
        </w:tc>
        <w:tc>
          <w:tcPr>
            <w:tcW w:w="0" w:type="auto"/>
            <w:tcBorders>
              <w:top w:val="nil"/>
              <w:left w:val="nil"/>
              <w:bottom w:val="nil"/>
              <w:right w:val="nil"/>
            </w:tcBorders>
            <w:shd w:val="clear" w:color="auto" w:fill="auto"/>
            <w:noWrap/>
            <w:vAlign w:val="bottom"/>
            <w:hideMark/>
          </w:tcPr>
          <w:p w14:paraId="6DE051A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3.5</w:t>
            </w:r>
          </w:p>
        </w:tc>
        <w:tc>
          <w:tcPr>
            <w:tcW w:w="0" w:type="auto"/>
            <w:tcBorders>
              <w:top w:val="nil"/>
              <w:left w:val="nil"/>
              <w:bottom w:val="nil"/>
              <w:right w:val="nil"/>
            </w:tcBorders>
            <w:shd w:val="clear" w:color="auto" w:fill="auto"/>
            <w:noWrap/>
            <w:vAlign w:val="bottom"/>
            <w:hideMark/>
          </w:tcPr>
          <w:p w14:paraId="51A8AD2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w:t>
            </w:r>
          </w:p>
        </w:tc>
        <w:tc>
          <w:tcPr>
            <w:tcW w:w="0" w:type="auto"/>
            <w:tcBorders>
              <w:top w:val="nil"/>
              <w:left w:val="nil"/>
              <w:bottom w:val="nil"/>
              <w:right w:val="nil"/>
            </w:tcBorders>
            <w:shd w:val="clear" w:color="auto" w:fill="auto"/>
            <w:noWrap/>
            <w:vAlign w:val="bottom"/>
            <w:hideMark/>
          </w:tcPr>
          <w:p w14:paraId="4F07DAB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c>
          <w:tcPr>
            <w:tcW w:w="0" w:type="auto"/>
            <w:tcBorders>
              <w:top w:val="nil"/>
              <w:left w:val="nil"/>
              <w:bottom w:val="nil"/>
              <w:right w:val="nil"/>
            </w:tcBorders>
            <w:shd w:val="clear" w:color="auto" w:fill="auto"/>
            <w:noWrap/>
            <w:vAlign w:val="bottom"/>
            <w:hideMark/>
          </w:tcPr>
          <w:p w14:paraId="7B5F13C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w:t>
            </w:r>
          </w:p>
        </w:tc>
        <w:tc>
          <w:tcPr>
            <w:tcW w:w="0" w:type="auto"/>
            <w:tcBorders>
              <w:top w:val="nil"/>
              <w:left w:val="nil"/>
              <w:bottom w:val="nil"/>
              <w:right w:val="nil"/>
            </w:tcBorders>
            <w:shd w:val="clear" w:color="auto" w:fill="auto"/>
            <w:noWrap/>
            <w:vAlign w:val="bottom"/>
            <w:hideMark/>
          </w:tcPr>
          <w:p w14:paraId="0987471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w:t>
            </w:r>
          </w:p>
        </w:tc>
        <w:tc>
          <w:tcPr>
            <w:tcW w:w="0" w:type="auto"/>
            <w:tcBorders>
              <w:top w:val="nil"/>
              <w:left w:val="nil"/>
              <w:bottom w:val="nil"/>
              <w:right w:val="nil"/>
            </w:tcBorders>
            <w:shd w:val="clear" w:color="auto" w:fill="auto"/>
            <w:noWrap/>
            <w:vAlign w:val="bottom"/>
            <w:hideMark/>
          </w:tcPr>
          <w:p w14:paraId="25BFDA7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w:t>
            </w:r>
          </w:p>
        </w:tc>
        <w:tc>
          <w:tcPr>
            <w:tcW w:w="0" w:type="auto"/>
            <w:tcBorders>
              <w:top w:val="nil"/>
              <w:left w:val="nil"/>
              <w:bottom w:val="nil"/>
              <w:right w:val="nil"/>
            </w:tcBorders>
            <w:shd w:val="clear" w:color="auto" w:fill="auto"/>
            <w:noWrap/>
            <w:vAlign w:val="bottom"/>
            <w:hideMark/>
          </w:tcPr>
          <w:p w14:paraId="4C2C99D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w:t>
            </w:r>
          </w:p>
        </w:tc>
        <w:tc>
          <w:tcPr>
            <w:tcW w:w="0" w:type="auto"/>
            <w:tcBorders>
              <w:top w:val="nil"/>
              <w:left w:val="nil"/>
              <w:bottom w:val="nil"/>
              <w:right w:val="nil"/>
            </w:tcBorders>
            <w:shd w:val="clear" w:color="auto" w:fill="auto"/>
            <w:noWrap/>
            <w:vAlign w:val="bottom"/>
            <w:hideMark/>
          </w:tcPr>
          <w:p w14:paraId="66159C3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4.9</w:t>
            </w:r>
          </w:p>
        </w:tc>
        <w:tc>
          <w:tcPr>
            <w:tcW w:w="0" w:type="auto"/>
            <w:tcBorders>
              <w:top w:val="nil"/>
              <w:left w:val="nil"/>
              <w:bottom w:val="nil"/>
              <w:right w:val="nil"/>
            </w:tcBorders>
            <w:shd w:val="clear" w:color="auto" w:fill="auto"/>
            <w:noWrap/>
            <w:vAlign w:val="bottom"/>
            <w:hideMark/>
          </w:tcPr>
          <w:p w14:paraId="66162FF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4.3</w:t>
            </w:r>
          </w:p>
        </w:tc>
        <w:tc>
          <w:tcPr>
            <w:tcW w:w="0" w:type="auto"/>
            <w:tcBorders>
              <w:top w:val="nil"/>
              <w:left w:val="nil"/>
              <w:bottom w:val="nil"/>
              <w:right w:val="nil"/>
            </w:tcBorders>
            <w:shd w:val="clear" w:color="auto" w:fill="auto"/>
            <w:noWrap/>
            <w:vAlign w:val="bottom"/>
            <w:hideMark/>
          </w:tcPr>
          <w:p w14:paraId="7C3BC01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3.2</w:t>
            </w:r>
          </w:p>
        </w:tc>
        <w:tc>
          <w:tcPr>
            <w:tcW w:w="707" w:type="dxa"/>
            <w:tcBorders>
              <w:top w:val="nil"/>
              <w:left w:val="nil"/>
              <w:bottom w:val="nil"/>
              <w:right w:val="nil"/>
            </w:tcBorders>
            <w:shd w:val="clear" w:color="auto" w:fill="auto"/>
            <w:noWrap/>
            <w:vAlign w:val="bottom"/>
            <w:hideMark/>
          </w:tcPr>
          <w:p w14:paraId="1B463C7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3.5</w:t>
            </w:r>
          </w:p>
        </w:tc>
      </w:tr>
      <w:tr w:rsidR="0084302E" w:rsidRPr="000B52EF" w14:paraId="2D66D5C6" w14:textId="77777777" w:rsidTr="0084302E">
        <w:trPr>
          <w:trHeight w:val="300"/>
        </w:trPr>
        <w:tc>
          <w:tcPr>
            <w:tcW w:w="0" w:type="auto"/>
            <w:tcBorders>
              <w:top w:val="nil"/>
              <w:left w:val="nil"/>
              <w:bottom w:val="nil"/>
              <w:right w:val="nil"/>
            </w:tcBorders>
            <w:shd w:val="clear" w:color="auto" w:fill="auto"/>
            <w:noWrap/>
            <w:vAlign w:val="bottom"/>
            <w:hideMark/>
          </w:tcPr>
          <w:p w14:paraId="1F57D01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Ba</w:t>
            </w:r>
          </w:p>
        </w:tc>
        <w:tc>
          <w:tcPr>
            <w:tcW w:w="0" w:type="auto"/>
            <w:tcBorders>
              <w:top w:val="nil"/>
              <w:left w:val="nil"/>
              <w:bottom w:val="nil"/>
              <w:right w:val="nil"/>
            </w:tcBorders>
            <w:shd w:val="clear" w:color="auto" w:fill="auto"/>
            <w:noWrap/>
            <w:vAlign w:val="bottom"/>
            <w:hideMark/>
          </w:tcPr>
          <w:p w14:paraId="06D7D02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21.7</w:t>
            </w:r>
          </w:p>
        </w:tc>
        <w:tc>
          <w:tcPr>
            <w:tcW w:w="0" w:type="auto"/>
            <w:tcBorders>
              <w:top w:val="nil"/>
              <w:left w:val="nil"/>
              <w:bottom w:val="nil"/>
              <w:right w:val="nil"/>
            </w:tcBorders>
            <w:shd w:val="clear" w:color="auto" w:fill="auto"/>
            <w:noWrap/>
            <w:vAlign w:val="bottom"/>
            <w:hideMark/>
          </w:tcPr>
          <w:p w14:paraId="205996C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7.9</w:t>
            </w:r>
          </w:p>
        </w:tc>
        <w:tc>
          <w:tcPr>
            <w:tcW w:w="0" w:type="auto"/>
            <w:tcBorders>
              <w:top w:val="nil"/>
              <w:left w:val="nil"/>
              <w:bottom w:val="nil"/>
              <w:right w:val="nil"/>
            </w:tcBorders>
            <w:shd w:val="clear" w:color="auto" w:fill="auto"/>
            <w:noWrap/>
            <w:vAlign w:val="bottom"/>
            <w:hideMark/>
          </w:tcPr>
          <w:p w14:paraId="27F9262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5.2</w:t>
            </w:r>
          </w:p>
        </w:tc>
        <w:tc>
          <w:tcPr>
            <w:tcW w:w="0" w:type="auto"/>
            <w:tcBorders>
              <w:top w:val="nil"/>
              <w:left w:val="nil"/>
              <w:bottom w:val="nil"/>
              <w:right w:val="nil"/>
            </w:tcBorders>
            <w:shd w:val="clear" w:color="auto" w:fill="auto"/>
            <w:noWrap/>
            <w:vAlign w:val="bottom"/>
            <w:hideMark/>
          </w:tcPr>
          <w:p w14:paraId="1C38ACC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12.4</w:t>
            </w:r>
          </w:p>
        </w:tc>
        <w:tc>
          <w:tcPr>
            <w:tcW w:w="0" w:type="auto"/>
            <w:tcBorders>
              <w:top w:val="nil"/>
              <w:left w:val="nil"/>
              <w:bottom w:val="nil"/>
              <w:right w:val="nil"/>
            </w:tcBorders>
            <w:shd w:val="clear" w:color="auto" w:fill="auto"/>
            <w:noWrap/>
            <w:vAlign w:val="bottom"/>
            <w:hideMark/>
          </w:tcPr>
          <w:p w14:paraId="45496AF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11.3</w:t>
            </w:r>
          </w:p>
        </w:tc>
        <w:tc>
          <w:tcPr>
            <w:tcW w:w="0" w:type="auto"/>
            <w:tcBorders>
              <w:top w:val="nil"/>
              <w:left w:val="nil"/>
              <w:bottom w:val="nil"/>
              <w:right w:val="nil"/>
            </w:tcBorders>
            <w:shd w:val="clear" w:color="auto" w:fill="auto"/>
            <w:noWrap/>
            <w:vAlign w:val="bottom"/>
            <w:hideMark/>
          </w:tcPr>
          <w:p w14:paraId="2C997EA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11.6</w:t>
            </w:r>
          </w:p>
        </w:tc>
        <w:tc>
          <w:tcPr>
            <w:tcW w:w="0" w:type="auto"/>
            <w:tcBorders>
              <w:top w:val="nil"/>
              <w:left w:val="nil"/>
              <w:bottom w:val="nil"/>
              <w:right w:val="nil"/>
            </w:tcBorders>
            <w:shd w:val="clear" w:color="auto" w:fill="auto"/>
            <w:noWrap/>
            <w:vAlign w:val="bottom"/>
            <w:hideMark/>
          </w:tcPr>
          <w:p w14:paraId="179D200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16.4</w:t>
            </w:r>
          </w:p>
        </w:tc>
        <w:tc>
          <w:tcPr>
            <w:tcW w:w="0" w:type="auto"/>
            <w:tcBorders>
              <w:top w:val="nil"/>
              <w:left w:val="nil"/>
              <w:bottom w:val="nil"/>
              <w:right w:val="nil"/>
            </w:tcBorders>
            <w:shd w:val="clear" w:color="auto" w:fill="auto"/>
            <w:noWrap/>
            <w:vAlign w:val="bottom"/>
            <w:hideMark/>
          </w:tcPr>
          <w:p w14:paraId="01E3092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28.7</w:t>
            </w:r>
          </w:p>
        </w:tc>
        <w:tc>
          <w:tcPr>
            <w:tcW w:w="0" w:type="auto"/>
            <w:tcBorders>
              <w:top w:val="nil"/>
              <w:left w:val="nil"/>
              <w:bottom w:val="nil"/>
              <w:right w:val="nil"/>
            </w:tcBorders>
            <w:shd w:val="clear" w:color="auto" w:fill="auto"/>
            <w:noWrap/>
            <w:vAlign w:val="bottom"/>
            <w:hideMark/>
          </w:tcPr>
          <w:p w14:paraId="7DE22D9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25.2</w:t>
            </w:r>
          </w:p>
        </w:tc>
        <w:tc>
          <w:tcPr>
            <w:tcW w:w="0" w:type="auto"/>
            <w:tcBorders>
              <w:top w:val="nil"/>
              <w:left w:val="nil"/>
              <w:bottom w:val="nil"/>
              <w:right w:val="nil"/>
            </w:tcBorders>
            <w:shd w:val="clear" w:color="auto" w:fill="auto"/>
            <w:noWrap/>
            <w:vAlign w:val="bottom"/>
            <w:hideMark/>
          </w:tcPr>
          <w:p w14:paraId="68FC350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17.5</w:t>
            </w:r>
          </w:p>
        </w:tc>
        <w:tc>
          <w:tcPr>
            <w:tcW w:w="707" w:type="dxa"/>
            <w:tcBorders>
              <w:top w:val="nil"/>
              <w:left w:val="nil"/>
              <w:bottom w:val="nil"/>
              <w:right w:val="nil"/>
            </w:tcBorders>
            <w:shd w:val="clear" w:color="auto" w:fill="auto"/>
            <w:noWrap/>
            <w:vAlign w:val="bottom"/>
            <w:hideMark/>
          </w:tcPr>
          <w:p w14:paraId="2E8B346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18.8</w:t>
            </w:r>
          </w:p>
        </w:tc>
      </w:tr>
      <w:tr w:rsidR="0084302E" w:rsidRPr="000B52EF" w14:paraId="6DDBCC50" w14:textId="77777777" w:rsidTr="0084302E">
        <w:trPr>
          <w:trHeight w:val="300"/>
        </w:trPr>
        <w:tc>
          <w:tcPr>
            <w:tcW w:w="0" w:type="auto"/>
            <w:tcBorders>
              <w:top w:val="nil"/>
              <w:left w:val="nil"/>
              <w:bottom w:val="nil"/>
              <w:right w:val="nil"/>
            </w:tcBorders>
            <w:shd w:val="clear" w:color="auto" w:fill="auto"/>
            <w:noWrap/>
            <w:vAlign w:val="bottom"/>
            <w:hideMark/>
          </w:tcPr>
          <w:p w14:paraId="5D23CBC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La</w:t>
            </w:r>
          </w:p>
        </w:tc>
        <w:tc>
          <w:tcPr>
            <w:tcW w:w="0" w:type="auto"/>
            <w:tcBorders>
              <w:top w:val="nil"/>
              <w:left w:val="nil"/>
              <w:bottom w:val="nil"/>
              <w:right w:val="nil"/>
            </w:tcBorders>
            <w:shd w:val="clear" w:color="auto" w:fill="auto"/>
            <w:noWrap/>
            <w:vAlign w:val="bottom"/>
            <w:hideMark/>
          </w:tcPr>
          <w:p w14:paraId="414E13C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4.3</w:t>
            </w:r>
          </w:p>
        </w:tc>
        <w:tc>
          <w:tcPr>
            <w:tcW w:w="0" w:type="auto"/>
            <w:tcBorders>
              <w:top w:val="nil"/>
              <w:left w:val="nil"/>
              <w:bottom w:val="nil"/>
              <w:right w:val="nil"/>
            </w:tcBorders>
            <w:shd w:val="clear" w:color="auto" w:fill="auto"/>
            <w:noWrap/>
            <w:vAlign w:val="bottom"/>
            <w:hideMark/>
          </w:tcPr>
          <w:p w14:paraId="6B5A45E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w:t>
            </w:r>
          </w:p>
        </w:tc>
        <w:tc>
          <w:tcPr>
            <w:tcW w:w="0" w:type="auto"/>
            <w:tcBorders>
              <w:top w:val="nil"/>
              <w:left w:val="nil"/>
              <w:bottom w:val="nil"/>
              <w:right w:val="nil"/>
            </w:tcBorders>
            <w:shd w:val="clear" w:color="auto" w:fill="auto"/>
            <w:noWrap/>
            <w:vAlign w:val="bottom"/>
            <w:hideMark/>
          </w:tcPr>
          <w:p w14:paraId="0138DC7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w:t>
            </w:r>
          </w:p>
        </w:tc>
        <w:tc>
          <w:tcPr>
            <w:tcW w:w="0" w:type="auto"/>
            <w:tcBorders>
              <w:top w:val="nil"/>
              <w:left w:val="nil"/>
              <w:bottom w:val="nil"/>
              <w:right w:val="nil"/>
            </w:tcBorders>
            <w:shd w:val="clear" w:color="auto" w:fill="auto"/>
            <w:noWrap/>
            <w:vAlign w:val="bottom"/>
            <w:hideMark/>
          </w:tcPr>
          <w:p w14:paraId="7D6E1BB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4.1</w:t>
            </w:r>
          </w:p>
        </w:tc>
        <w:tc>
          <w:tcPr>
            <w:tcW w:w="0" w:type="auto"/>
            <w:tcBorders>
              <w:top w:val="nil"/>
              <w:left w:val="nil"/>
              <w:bottom w:val="nil"/>
              <w:right w:val="nil"/>
            </w:tcBorders>
            <w:shd w:val="clear" w:color="auto" w:fill="auto"/>
            <w:noWrap/>
            <w:vAlign w:val="bottom"/>
            <w:hideMark/>
          </w:tcPr>
          <w:p w14:paraId="04292F1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4.8</w:t>
            </w:r>
          </w:p>
        </w:tc>
        <w:tc>
          <w:tcPr>
            <w:tcW w:w="0" w:type="auto"/>
            <w:tcBorders>
              <w:top w:val="nil"/>
              <w:left w:val="nil"/>
              <w:bottom w:val="nil"/>
              <w:right w:val="nil"/>
            </w:tcBorders>
            <w:shd w:val="clear" w:color="auto" w:fill="auto"/>
            <w:noWrap/>
            <w:vAlign w:val="bottom"/>
            <w:hideMark/>
          </w:tcPr>
          <w:p w14:paraId="3AFF756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5.1</w:t>
            </w:r>
          </w:p>
        </w:tc>
        <w:tc>
          <w:tcPr>
            <w:tcW w:w="0" w:type="auto"/>
            <w:tcBorders>
              <w:top w:val="nil"/>
              <w:left w:val="nil"/>
              <w:bottom w:val="nil"/>
              <w:right w:val="nil"/>
            </w:tcBorders>
            <w:shd w:val="clear" w:color="auto" w:fill="auto"/>
            <w:noWrap/>
            <w:vAlign w:val="bottom"/>
            <w:hideMark/>
          </w:tcPr>
          <w:p w14:paraId="7548665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4.3</w:t>
            </w:r>
          </w:p>
        </w:tc>
        <w:tc>
          <w:tcPr>
            <w:tcW w:w="0" w:type="auto"/>
            <w:tcBorders>
              <w:top w:val="nil"/>
              <w:left w:val="nil"/>
              <w:bottom w:val="nil"/>
              <w:right w:val="nil"/>
            </w:tcBorders>
            <w:shd w:val="clear" w:color="auto" w:fill="auto"/>
            <w:noWrap/>
            <w:vAlign w:val="bottom"/>
            <w:hideMark/>
          </w:tcPr>
          <w:p w14:paraId="758AAA4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6.1</w:t>
            </w:r>
          </w:p>
        </w:tc>
        <w:tc>
          <w:tcPr>
            <w:tcW w:w="0" w:type="auto"/>
            <w:tcBorders>
              <w:top w:val="nil"/>
              <w:left w:val="nil"/>
              <w:bottom w:val="nil"/>
              <w:right w:val="nil"/>
            </w:tcBorders>
            <w:shd w:val="clear" w:color="auto" w:fill="auto"/>
            <w:noWrap/>
            <w:vAlign w:val="bottom"/>
            <w:hideMark/>
          </w:tcPr>
          <w:p w14:paraId="63B2AF0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6.0</w:t>
            </w:r>
          </w:p>
        </w:tc>
        <w:tc>
          <w:tcPr>
            <w:tcW w:w="0" w:type="auto"/>
            <w:tcBorders>
              <w:top w:val="nil"/>
              <w:left w:val="nil"/>
              <w:bottom w:val="nil"/>
              <w:right w:val="nil"/>
            </w:tcBorders>
            <w:shd w:val="clear" w:color="auto" w:fill="auto"/>
            <w:noWrap/>
            <w:vAlign w:val="bottom"/>
            <w:hideMark/>
          </w:tcPr>
          <w:p w14:paraId="58F1353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4.8</w:t>
            </w:r>
          </w:p>
        </w:tc>
        <w:tc>
          <w:tcPr>
            <w:tcW w:w="707" w:type="dxa"/>
            <w:tcBorders>
              <w:top w:val="nil"/>
              <w:left w:val="nil"/>
              <w:bottom w:val="nil"/>
              <w:right w:val="nil"/>
            </w:tcBorders>
            <w:shd w:val="clear" w:color="auto" w:fill="auto"/>
            <w:noWrap/>
            <w:vAlign w:val="bottom"/>
            <w:hideMark/>
          </w:tcPr>
          <w:p w14:paraId="3892ABF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6.1</w:t>
            </w:r>
          </w:p>
        </w:tc>
      </w:tr>
      <w:tr w:rsidR="0084302E" w:rsidRPr="000B52EF" w14:paraId="026F17E8" w14:textId="77777777" w:rsidTr="0084302E">
        <w:trPr>
          <w:trHeight w:val="300"/>
        </w:trPr>
        <w:tc>
          <w:tcPr>
            <w:tcW w:w="0" w:type="auto"/>
            <w:tcBorders>
              <w:top w:val="nil"/>
              <w:left w:val="nil"/>
              <w:bottom w:val="nil"/>
              <w:right w:val="nil"/>
            </w:tcBorders>
            <w:shd w:val="clear" w:color="auto" w:fill="auto"/>
            <w:noWrap/>
            <w:vAlign w:val="bottom"/>
            <w:hideMark/>
          </w:tcPr>
          <w:p w14:paraId="243A120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Ce</w:t>
            </w:r>
          </w:p>
        </w:tc>
        <w:tc>
          <w:tcPr>
            <w:tcW w:w="0" w:type="auto"/>
            <w:tcBorders>
              <w:top w:val="nil"/>
              <w:left w:val="nil"/>
              <w:bottom w:val="nil"/>
              <w:right w:val="nil"/>
            </w:tcBorders>
            <w:shd w:val="clear" w:color="auto" w:fill="auto"/>
            <w:noWrap/>
            <w:vAlign w:val="bottom"/>
            <w:hideMark/>
          </w:tcPr>
          <w:p w14:paraId="62D1441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12.8</w:t>
            </w:r>
          </w:p>
        </w:tc>
        <w:tc>
          <w:tcPr>
            <w:tcW w:w="0" w:type="auto"/>
            <w:tcBorders>
              <w:top w:val="nil"/>
              <w:left w:val="nil"/>
              <w:bottom w:val="nil"/>
              <w:right w:val="nil"/>
            </w:tcBorders>
            <w:shd w:val="clear" w:color="auto" w:fill="auto"/>
            <w:noWrap/>
            <w:vAlign w:val="bottom"/>
            <w:hideMark/>
          </w:tcPr>
          <w:p w14:paraId="112D379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6.8</w:t>
            </w:r>
          </w:p>
        </w:tc>
        <w:tc>
          <w:tcPr>
            <w:tcW w:w="0" w:type="auto"/>
            <w:tcBorders>
              <w:top w:val="nil"/>
              <w:left w:val="nil"/>
              <w:bottom w:val="nil"/>
              <w:right w:val="nil"/>
            </w:tcBorders>
            <w:shd w:val="clear" w:color="auto" w:fill="auto"/>
            <w:noWrap/>
            <w:vAlign w:val="bottom"/>
            <w:hideMark/>
          </w:tcPr>
          <w:p w14:paraId="0EBB4A0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6.0</w:t>
            </w:r>
          </w:p>
        </w:tc>
        <w:tc>
          <w:tcPr>
            <w:tcW w:w="0" w:type="auto"/>
            <w:tcBorders>
              <w:top w:val="nil"/>
              <w:left w:val="nil"/>
              <w:bottom w:val="nil"/>
              <w:right w:val="nil"/>
            </w:tcBorders>
            <w:shd w:val="clear" w:color="auto" w:fill="auto"/>
            <w:noWrap/>
            <w:vAlign w:val="bottom"/>
            <w:hideMark/>
          </w:tcPr>
          <w:p w14:paraId="421450D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12.6</w:t>
            </w:r>
          </w:p>
        </w:tc>
        <w:tc>
          <w:tcPr>
            <w:tcW w:w="0" w:type="auto"/>
            <w:tcBorders>
              <w:top w:val="nil"/>
              <w:left w:val="nil"/>
              <w:bottom w:val="nil"/>
              <w:right w:val="nil"/>
            </w:tcBorders>
            <w:shd w:val="clear" w:color="auto" w:fill="auto"/>
            <w:noWrap/>
            <w:vAlign w:val="bottom"/>
            <w:hideMark/>
          </w:tcPr>
          <w:p w14:paraId="206D9DC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14.8</w:t>
            </w:r>
          </w:p>
        </w:tc>
        <w:tc>
          <w:tcPr>
            <w:tcW w:w="0" w:type="auto"/>
            <w:tcBorders>
              <w:top w:val="nil"/>
              <w:left w:val="nil"/>
              <w:bottom w:val="nil"/>
              <w:right w:val="nil"/>
            </w:tcBorders>
            <w:shd w:val="clear" w:color="auto" w:fill="auto"/>
            <w:noWrap/>
            <w:vAlign w:val="bottom"/>
            <w:hideMark/>
          </w:tcPr>
          <w:p w14:paraId="284A76B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15.4</w:t>
            </w:r>
          </w:p>
        </w:tc>
        <w:tc>
          <w:tcPr>
            <w:tcW w:w="0" w:type="auto"/>
            <w:tcBorders>
              <w:top w:val="nil"/>
              <w:left w:val="nil"/>
              <w:bottom w:val="nil"/>
              <w:right w:val="nil"/>
            </w:tcBorders>
            <w:shd w:val="clear" w:color="auto" w:fill="auto"/>
            <w:noWrap/>
            <w:vAlign w:val="bottom"/>
            <w:hideMark/>
          </w:tcPr>
          <w:p w14:paraId="4BB936C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13.2</w:t>
            </w:r>
          </w:p>
        </w:tc>
        <w:tc>
          <w:tcPr>
            <w:tcW w:w="0" w:type="auto"/>
            <w:tcBorders>
              <w:top w:val="nil"/>
              <w:left w:val="nil"/>
              <w:bottom w:val="nil"/>
              <w:right w:val="nil"/>
            </w:tcBorders>
            <w:shd w:val="clear" w:color="auto" w:fill="auto"/>
            <w:noWrap/>
            <w:vAlign w:val="bottom"/>
            <w:hideMark/>
          </w:tcPr>
          <w:p w14:paraId="1B764FA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17.6</w:t>
            </w:r>
          </w:p>
        </w:tc>
        <w:tc>
          <w:tcPr>
            <w:tcW w:w="0" w:type="auto"/>
            <w:tcBorders>
              <w:top w:val="nil"/>
              <w:left w:val="nil"/>
              <w:bottom w:val="nil"/>
              <w:right w:val="nil"/>
            </w:tcBorders>
            <w:shd w:val="clear" w:color="auto" w:fill="auto"/>
            <w:noWrap/>
            <w:vAlign w:val="bottom"/>
            <w:hideMark/>
          </w:tcPr>
          <w:p w14:paraId="24DA5C5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17.9</w:t>
            </w:r>
          </w:p>
        </w:tc>
        <w:tc>
          <w:tcPr>
            <w:tcW w:w="0" w:type="auto"/>
            <w:tcBorders>
              <w:top w:val="nil"/>
              <w:left w:val="nil"/>
              <w:bottom w:val="nil"/>
              <w:right w:val="nil"/>
            </w:tcBorders>
            <w:shd w:val="clear" w:color="auto" w:fill="auto"/>
            <w:noWrap/>
            <w:vAlign w:val="bottom"/>
            <w:hideMark/>
          </w:tcPr>
          <w:p w14:paraId="6816131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13.5</w:t>
            </w:r>
          </w:p>
        </w:tc>
        <w:tc>
          <w:tcPr>
            <w:tcW w:w="707" w:type="dxa"/>
            <w:tcBorders>
              <w:top w:val="nil"/>
              <w:left w:val="nil"/>
              <w:bottom w:val="nil"/>
              <w:right w:val="nil"/>
            </w:tcBorders>
            <w:shd w:val="clear" w:color="auto" w:fill="auto"/>
            <w:noWrap/>
            <w:vAlign w:val="bottom"/>
            <w:hideMark/>
          </w:tcPr>
          <w:p w14:paraId="31E6E86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18.9</w:t>
            </w:r>
          </w:p>
        </w:tc>
      </w:tr>
      <w:tr w:rsidR="0084302E" w:rsidRPr="000B52EF" w14:paraId="3D368FA3" w14:textId="77777777" w:rsidTr="0084302E">
        <w:trPr>
          <w:trHeight w:val="300"/>
        </w:trPr>
        <w:tc>
          <w:tcPr>
            <w:tcW w:w="0" w:type="auto"/>
            <w:tcBorders>
              <w:top w:val="nil"/>
              <w:left w:val="nil"/>
              <w:bottom w:val="nil"/>
              <w:right w:val="nil"/>
            </w:tcBorders>
            <w:shd w:val="clear" w:color="auto" w:fill="auto"/>
            <w:noWrap/>
            <w:vAlign w:val="bottom"/>
            <w:hideMark/>
          </w:tcPr>
          <w:p w14:paraId="7AF4DA3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Pr</w:t>
            </w:r>
          </w:p>
        </w:tc>
        <w:tc>
          <w:tcPr>
            <w:tcW w:w="0" w:type="auto"/>
            <w:tcBorders>
              <w:top w:val="nil"/>
              <w:left w:val="nil"/>
              <w:bottom w:val="nil"/>
              <w:right w:val="nil"/>
            </w:tcBorders>
            <w:shd w:val="clear" w:color="auto" w:fill="auto"/>
            <w:noWrap/>
            <w:vAlign w:val="bottom"/>
            <w:hideMark/>
          </w:tcPr>
          <w:p w14:paraId="1E65A13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1.9</w:t>
            </w:r>
          </w:p>
        </w:tc>
        <w:tc>
          <w:tcPr>
            <w:tcW w:w="0" w:type="auto"/>
            <w:tcBorders>
              <w:top w:val="nil"/>
              <w:left w:val="nil"/>
              <w:bottom w:val="nil"/>
              <w:right w:val="nil"/>
            </w:tcBorders>
            <w:shd w:val="clear" w:color="auto" w:fill="auto"/>
            <w:noWrap/>
            <w:vAlign w:val="bottom"/>
            <w:hideMark/>
          </w:tcPr>
          <w:p w14:paraId="3BE6B55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1CC795D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2FCBF44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1.9</w:t>
            </w:r>
          </w:p>
        </w:tc>
        <w:tc>
          <w:tcPr>
            <w:tcW w:w="0" w:type="auto"/>
            <w:tcBorders>
              <w:top w:val="nil"/>
              <w:left w:val="nil"/>
              <w:bottom w:val="nil"/>
              <w:right w:val="nil"/>
            </w:tcBorders>
            <w:shd w:val="clear" w:color="auto" w:fill="auto"/>
            <w:noWrap/>
            <w:vAlign w:val="bottom"/>
            <w:hideMark/>
          </w:tcPr>
          <w:p w14:paraId="3E682BB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2.1</w:t>
            </w:r>
          </w:p>
        </w:tc>
        <w:tc>
          <w:tcPr>
            <w:tcW w:w="0" w:type="auto"/>
            <w:tcBorders>
              <w:top w:val="nil"/>
              <w:left w:val="nil"/>
              <w:bottom w:val="nil"/>
              <w:right w:val="nil"/>
            </w:tcBorders>
            <w:shd w:val="clear" w:color="auto" w:fill="auto"/>
            <w:noWrap/>
            <w:vAlign w:val="bottom"/>
            <w:hideMark/>
          </w:tcPr>
          <w:p w14:paraId="3D616A4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w:t>
            </w:r>
          </w:p>
        </w:tc>
        <w:tc>
          <w:tcPr>
            <w:tcW w:w="0" w:type="auto"/>
            <w:tcBorders>
              <w:top w:val="nil"/>
              <w:left w:val="nil"/>
              <w:bottom w:val="nil"/>
              <w:right w:val="nil"/>
            </w:tcBorders>
            <w:shd w:val="clear" w:color="auto" w:fill="auto"/>
            <w:noWrap/>
            <w:vAlign w:val="bottom"/>
            <w:hideMark/>
          </w:tcPr>
          <w:p w14:paraId="5D3760D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w:t>
            </w:r>
          </w:p>
        </w:tc>
        <w:tc>
          <w:tcPr>
            <w:tcW w:w="0" w:type="auto"/>
            <w:tcBorders>
              <w:top w:val="nil"/>
              <w:left w:val="nil"/>
              <w:bottom w:val="nil"/>
              <w:right w:val="nil"/>
            </w:tcBorders>
            <w:shd w:val="clear" w:color="auto" w:fill="auto"/>
            <w:noWrap/>
            <w:vAlign w:val="bottom"/>
            <w:hideMark/>
          </w:tcPr>
          <w:p w14:paraId="3089F3C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w:t>
            </w:r>
          </w:p>
        </w:tc>
        <w:tc>
          <w:tcPr>
            <w:tcW w:w="0" w:type="auto"/>
            <w:tcBorders>
              <w:top w:val="nil"/>
              <w:left w:val="nil"/>
              <w:bottom w:val="nil"/>
              <w:right w:val="nil"/>
            </w:tcBorders>
            <w:shd w:val="clear" w:color="auto" w:fill="auto"/>
            <w:noWrap/>
            <w:vAlign w:val="bottom"/>
            <w:hideMark/>
          </w:tcPr>
          <w:p w14:paraId="375A594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w:t>
            </w:r>
          </w:p>
        </w:tc>
        <w:tc>
          <w:tcPr>
            <w:tcW w:w="0" w:type="auto"/>
            <w:tcBorders>
              <w:top w:val="nil"/>
              <w:left w:val="nil"/>
              <w:bottom w:val="nil"/>
              <w:right w:val="nil"/>
            </w:tcBorders>
            <w:shd w:val="clear" w:color="auto" w:fill="auto"/>
            <w:noWrap/>
            <w:vAlign w:val="bottom"/>
            <w:hideMark/>
          </w:tcPr>
          <w:p w14:paraId="201F20C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w:t>
            </w:r>
          </w:p>
        </w:tc>
        <w:tc>
          <w:tcPr>
            <w:tcW w:w="707" w:type="dxa"/>
            <w:tcBorders>
              <w:top w:val="nil"/>
              <w:left w:val="nil"/>
              <w:bottom w:val="nil"/>
              <w:right w:val="nil"/>
            </w:tcBorders>
            <w:shd w:val="clear" w:color="auto" w:fill="auto"/>
            <w:noWrap/>
            <w:vAlign w:val="bottom"/>
            <w:hideMark/>
          </w:tcPr>
          <w:p w14:paraId="6538558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w:t>
            </w:r>
          </w:p>
        </w:tc>
      </w:tr>
      <w:tr w:rsidR="0084302E" w:rsidRPr="000B52EF" w14:paraId="21515411" w14:textId="77777777" w:rsidTr="0084302E">
        <w:trPr>
          <w:trHeight w:val="300"/>
        </w:trPr>
        <w:tc>
          <w:tcPr>
            <w:tcW w:w="0" w:type="auto"/>
            <w:tcBorders>
              <w:top w:val="nil"/>
              <w:left w:val="nil"/>
              <w:bottom w:val="nil"/>
              <w:right w:val="nil"/>
            </w:tcBorders>
            <w:shd w:val="clear" w:color="auto" w:fill="auto"/>
            <w:noWrap/>
            <w:vAlign w:val="bottom"/>
            <w:hideMark/>
          </w:tcPr>
          <w:p w14:paraId="7131276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Nd</w:t>
            </w:r>
          </w:p>
        </w:tc>
        <w:tc>
          <w:tcPr>
            <w:tcW w:w="0" w:type="auto"/>
            <w:tcBorders>
              <w:top w:val="nil"/>
              <w:left w:val="nil"/>
              <w:bottom w:val="nil"/>
              <w:right w:val="nil"/>
            </w:tcBorders>
            <w:shd w:val="clear" w:color="auto" w:fill="auto"/>
            <w:noWrap/>
            <w:vAlign w:val="bottom"/>
            <w:hideMark/>
          </w:tcPr>
          <w:p w14:paraId="05C13CF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9.3</w:t>
            </w:r>
          </w:p>
        </w:tc>
        <w:tc>
          <w:tcPr>
            <w:tcW w:w="0" w:type="auto"/>
            <w:tcBorders>
              <w:top w:val="nil"/>
              <w:left w:val="nil"/>
              <w:bottom w:val="nil"/>
              <w:right w:val="nil"/>
            </w:tcBorders>
            <w:shd w:val="clear" w:color="auto" w:fill="auto"/>
            <w:noWrap/>
            <w:vAlign w:val="bottom"/>
            <w:hideMark/>
          </w:tcPr>
          <w:p w14:paraId="614C792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5.6</w:t>
            </w:r>
          </w:p>
        </w:tc>
        <w:tc>
          <w:tcPr>
            <w:tcW w:w="0" w:type="auto"/>
            <w:tcBorders>
              <w:top w:val="nil"/>
              <w:left w:val="nil"/>
              <w:bottom w:val="nil"/>
              <w:right w:val="nil"/>
            </w:tcBorders>
            <w:shd w:val="clear" w:color="auto" w:fill="auto"/>
            <w:noWrap/>
            <w:vAlign w:val="bottom"/>
            <w:hideMark/>
          </w:tcPr>
          <w:p w14:paraId="4DD12B4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5.7</w:t>
            </w:r>
          </w:p>
        </w:tc>
        <w:tc>
          <w:tcPr>
            <w:tcW w:w="0" w:type="auto"/>
            <w:tcBorders>
              <w:top w:val="nil"/>
              <w:left w:val="nil"/>
              <w:bottom w:val="nil"/>
              <w:right w:val="nil"/>
            </w:tcBorders>
            <w:shd w:val="clear" w:color="auto" w:fill="auto"/>
            <w:noWrap/>
            <w:vAlign w:val="bottom"/>
            <w:hideMark/>
          </w:tcPr>
          <w:p w14:paraId="6C75452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9.7</w:t>
            </w:r>
          </w:p>
        </w:tc>
        <w:tc>
          <w:tcPr>
            <w:tcW w:w="0" w:type="auto"/>
            <w:tcBorders>
              <w:top w:val="nil"/>
              <w:left w:val="nil"/>
              <w:bottom w:val="nil"/>
              <w:right w:val="nil"/>
            </w:tcBorders>
            <w:shd w:val="clear" w:color="auto" w:fill="auto"/>
            <w:noWrap/>
            <w:vAlign w:val="bottom"/>
            <w:hideMark/>
          </w:tcPr>
          <w:p w14:paraId="69EA387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10.3</w:t>
            </w:r>
          </w:p>
        </w:tc>
        <w:tc>
          <w:tcPr>
            <w:tcW w:w="0" w:type="auto"/>
            <w:tcBorders>
              <w:top w:val="nil"/>
              <w:left w:val="nil"/>
              <w:bottom w:val="nil"/>
              <w:right w:val="nil"/>
            </w:tcBorders>
            <w:shd w:val="clear" w:color="auto" w:fill="auto"/>
            <w:noWrap/>
            <w:vAlign w:val="bottom"/>
            <w:hideMark/>
          </w:tcPr>
          <w:p w14:paraId="598504A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10.9</w:t>
            </w:r>
          </w:p>
        </w:tc>
        <w:tc>
          <w:tcPr>
            <w:tcW w:w="0" w:type="auto"/>
            <w:tcBorders>
              <w:top w:val="nil"/>
              <w:left w:val="nil"/>
              <w:bottom w:val="nil"/>
              <w:right w:val="nil"/>
            </w:tcBorders>
            <w:shd w:val="clear" w:color="auto" w:fill="auto"/>
            <w:noWrap/>
            <w:vAlign w:val="bottom"/>
            <w:hideMark/>
          </w:tcPr>
          <w:p w14:paraId="5F11135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10.1</w:t>
            </w:r>
          </w:p>
        </w:tc>
        <w:tc>
          <w:tcPr>
            <w:tcW w:w="0" w:type="auto"/>
            <w:tcBorders>
              <w:top w:val="nil"/>
              <w:left w:val="nil"/>
              <w:bottom w:val="nil"/>
              <w:right w:val="nil"/>
            </w:tcBorders>
            <w:shd w:val="clear" w:color="auto" w:fill="auto"/>
            <w:noWrap/>
            <w:vAlign w:val="bottom"/>
            <w:hideMark/>
          </w:tcPr>
          <w:p w14:paraId="2D20278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13.4</w:t>
            </w:r>
          </w:p>
        </w:tc>
        <w:tc>
          <w:tcPr>
            <w:tcW w:w="0" w:type="auto"/>
            <w:tcBorders>
              <w:top w:val="nil"/>
              <w:left w:val="nil"/>
              <w:bottom w:val="nil"/>
              <w:right w:val="nil"/>
            </w:tcBorders>
            <w:shd w:val="clear" w:color="auto" w:fill="auto"/>
            <w:noWrap/>
            <w:vAlign w:val="bottom"/>
            <w:hideMark/>
          </w:tcPr>
          <w:p w14:paraId="4598687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13.5</w:t>
            </w:r>
          </w:p>
        </w:tc>
        <w:tc>
          <w:tcPr>
            <w:tcW w:w="0" w:type="auto"/>
            <w:tcBorders>
              <w:top w:val="nil"/>
              <w:left w:val="nil"/>
              <w:bottom w:val="nil"/>
              <w:right w:val="nil"/>
            </w:tcBorders>
            <w:shd w:val="clear" w:color="auto" w:fill="auto"/>
            <w:noWrap/>
            <w:vAlign w:val="bottom"/>
            <w:hideMark/>
          </w:tcPr>
          <w:p w14:paraId="02EC669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10.1</w:t>
            </w:r>
          </w:p>
        </w:tc>
        <w:tc>
          <w:tcPr>
            <w:tcW w:w="707" w:type="dxa"/>
            <w:tcBorders>
              <w:top w:val="nil"/>
              <w:left w:val="nil"/>
              <w:bottom w:val="nil"/>
              <w:right w:val="nil"/>
            </w:tcBorders>
            <w:shd w:val="clear" w:color="auto" w:fill="auto"/>
            <w:noWrap/>
            <w:vAlign w:val="bottom"/>
            <w:hideMark/>
          </w:tcPr>
          <w:p w14:paraId="42285BA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15.7</w:t>
            </w:r>
          </w:p>
        </w:tc>
      </w:tr>
      <w:tr w:rsidR="0084302E" w:rsidRPr="000B52EF" w14:paraId="1D9BECC4" w14:textId="77777777" w:rsidTr="0084302E">
        <w:trPr>
          <w:trHeight w:val="300"/>
        </w:trPr>
        <w:tc>
          <w:tcPr>
            <w:tcW w:w="0" w:type="auto"/>
            <w:tcBorders>
              <w:top w:val="nil"/>
              <w:left w:val="nil"/>
              <w:bottom w:val="nil"/>
              <w:right w:val="nil"/>
            </w:tcBorders>
            <w:shd w:val="clear" w:color="auto" w:fill="auto"/>
            <w:noWrap/>
            <w:vAlign w:val="bottom"/>
            <w:hideMark/>
          </w:tcPr>
          <w:p w14:paraId="4812C95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Sm</w:t>
            </w:r>
          </w:p>
        </w:tc>
        <w:tc>
          <w:tcPr>
            <w:tcW w:w="0" w:type="auto"/>
            <w:tcBorders>
              <w:top w:val="nil"/>
              <w:left w:val="nil"/>
              <w:bottom w:val="nil"/>
              <w:right w:val="nil"/>
            </w:tcBorders>
            <w:shd w:val="clear" w:color="auto" w:fill="auto"/>
            <w:noWrap/>
            <w:vAlign w:val="bottom"/>
            <w:hideMark/>
          </w:tcPr>
          <w:p w14:paraId="13C3258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w:t>
            </w:r>
          </w:p>
        </w:tc>
        <w:tc>
          <w:tcPr>
            <w:tcW w:w="0" w:type="auto"/>
            <w:tcBorders>
              <w:top w:val="nil"/>
              <w:left w:val="nil"/>
              <w:bottom w:val="nil"/>
              <w:right w:val="nil"/>
            </w:tcBorders>
            <w:shd w:val="clear" w:color="auto" w:fill="auto"/>
            <w:noWrap/>
            <w:vAlign w:val="bottom"/>
            <w:hideMark/>
          </w:tcPr>
          <w:p w14:paraId="4082E5B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1.9</w:t>
            </w:r>
          </w:p>
        </w:tc>
        <w:tc>
          <w:tcPr>
            <w:tcW w:w="0" w:type="auto"/>
            <w:tcBorders>
              <w:top w:val="nil"/>
              <w:left w:val="nil"/>
              <w:bottom w:val="nil"/>
              <w:right w:val="nil"/>
            </w:tcBorders>
            <w:shd w:val="clear" w:color="auto" w:fill="auto"/>
            <w:noWrap/>
            <w:vAlign w:val="bottom"/>
            <w:hideMark/>
          </w:tcPr>
          <w:p w14:paraId="78B2554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w:t>
            </w:r>
          </w:p>
        </w:tc>
        <w:tc>
          <w:tcPr>
            <w:tcW w:w="0" w:type="auto"/>
            <w:tcBorders>
              <w:top w:val="nil"/>
              <w:left w:val="nil"/>
              <w:bottom w:val="nil"/>
              <w:right w:val="nil"/>
            </w:tcBorders>
            <w:shd w:val="clear" w:color="auto" w:fill="auto"/>
            <w:noWrap/>
            <w:vAlign w:val="bottom"/>
            <w:hideMark/>
          </w:tcPr>
          <w:p w14:paraId="6C7E2B1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w:t>
            </w:r>
          </w:p>
        </w:tc>
        <w:tc>
          <w:tcPr>
            <w:tcW w:w="0" w:type="auto"/>
            <w:tcBorders>
              <w:top w:val="nil"/>
              <w:left w:val="nil"/>
              <w:bottom w:val="nil"/>
              <w:right w:val="nil"/>
            </w:tcBorders>
            <w:shd w:val="clear" w:color="auto" w:fill="auto"/>
            <w:noWrap/>
            <w:vAlign w:val="bottom"/>
            <w:hideMark/>
          </w:tcPr>
          <w:p w14:paraId="3F47979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w:t>
            </w:r>
          </w:p>
        </w:tc>
        <w:tc>
          <w:tcPr>
            <w:tcW w:w="0" w:type="auto"/>
            <w:tcBorders>
              <w:top w:val="nil"/>
              <w:left w:val="nil"/>
              <w:bottom w:val="nil"/>
              <w:right w:val="nil"/>
            </w:tcBorders>
            <w:shd w:val="clear" w:color="auto" w:fill="auto"/>
            <w:noWrap/>
            <w:vAlign w:val="bottom"/>
            <w:hideMark/>
          </w:tcPr>
          <w:p w14:paraId="388EBF3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w:t>
            </w:r>
          </w:p>
        </w:tc>
        <w:tc>
          <w:tcPr>
            <w:tcW w:w="0" w:type="auto"/>
            <w:tcBorders>
              <w:top w:val="nil"/>
              <w:left w:val="nil"/>
              <w:bottom w:val="nil"/>
              <w:right w:val="nil"/>
            </w:tcBorders>
            <w:shd w:val="clear" w:color="auto" w:fill="auto"/>
            <w:noWrap/>
            <w:vAlign w:val="bottom"/>
            <w:hideMark/>
          </w:tcPr>
          <w:p w14:paraId="574B630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w:t>
            </w:r>
          </w:p>
        </w:tc>
        <w:tc>
          <w:tcPr>
            <w:tcW w:w="0" w:type="auto"/>
            <w:tcBorders>
              <w:top w:val="nil"/>
              <w:left w:val="nil"/>
              <w:bottom w:val="nil"/>
              <w:right w:val="nil"/>
            </w:tcBorders>
            <w:shd w:val="clear" w:color="auto" w:fill="auto"/>
            <w:noWrap/>
            <w:vAlign w:val="bottom"/>
            <w:hideMark/>
          </w:tcPr>
          <w:p w14:paraId="0222AB2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4.0</w:t>
            </w:r>
          </w:p>
        </w:tc>
        <w:tc>
          <w:tcPr>
            <w:tcW w:w="0" w:type="auto"/>
            <w:tcBorders>
              <w:top w:val="nil"/>
              <w:left w:val="nil"/>
              <w:bottom w:val="nil"/>
              <w:right w:val="nil"/>
            </w:tcBorders>
            <w:shd w:val="clear" w:color="auto" w:fill="auto"/>
            <w:noWrap/>
            <w:vAlign w:val="bottom"/>
            <w:hideMark/>
          </w:tcPr>
          <w:p w14:paraId="070DE0E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4.0</w:t>
            </w:r>
          </w:p>
        </w:tc>
        <w:tc>
          <w:tcPr>
            <w:tcW w:w="0" w:type="auto"/>
            <w:tcBorders>
              <w:top w:val="nil"/>
              <w:left w:val="nil"/>
              <w:bottom w:val="nil"/>
              <w:right w:val="nil"/>
            </w:tcBorders>
            <w:shd w:val="clear" w:color="auto" w:fill="auto"/>
            <w:noWrap/>
            <w:vAlign w:val="bottom"/>
            <w:hideMark/>
          </w:tcPr>
          <w:p w14:paraId="3A7A961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w:t>
            </w:r>
          </w:p>
        </w:tc>
        <w:tc>
          <w:tcPr>
            <w:tcW w:w="707" w:type="dxa"/>
            <w:tcBorders>
              <w:top w:val="nil"/>
              <w:left w:val="nil"/>
              <w:bottom w:val="nil"/>
              <w:right w:val="nil"/>
            </w:tcBorders>
            <w:shd w:val="clear" w:color="auto" w:fill="auto"/>
            <w:noWrap/>
            <w:vAlign w:val="bottom"/>
            <w:hideMark/>
          </w:tcPr>
          <w:p w14:paraId="0BDC4DA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4.9</w:t>
            </w:r>
          </w:p>
        </w:tc>
      </w:tr>
      <w:tr w:rsidR="0084302E" w:rsidRPr="000B52EF" w14:paraId="0133D7D8" w14:textId="77777777" w:rsidTr="0084302E">
        <w:trPr>
          <w:trHeight w:val="300"/>
        </w:trPr>
        <w:tc>
          <w:tcPr>
            <w:tcW w:w="0" w:type="auto"/>
            <w:tcBorders>
              <w:top w:val="nil"/>
              <w:left w:val="nil"/>
              <w:bottom w:val="nil"/>
              <w:right w:val="nil"/>
            </w:tcBorders>
            <w:shd w:val="clear" w:color="auto" w:fill="auto"/>
            <w:noWrap/>
            <w:vAlign w:val="bottom"/>
            <w:hideMark/>
          </w:tcPr>
          <w:p w14:paraId="01D6E0A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Eu</w:t>
            </w:r>
          </w:p>
        </w:tc>
        <w:tc>
          <w:tcPr>
            <w:tcW w:w="0" w:type="auto"/>
            <w:tcBorders>
              <w:top w:val="nil"/>
              <w:left w:val="nil"/>
              <w:bottom w:val="nil"/>
              <w:right w:val="nil"/>
            </w:tcBorders>
            <w:shd w:val="clear" w:color="auto" w:fill="auto"/>
            <w:noWrap/>
            <w:vAlign w:val="bottom"/>
            <w:hideMark/>
          </w:tcPr>
          <w:p w14:paraId="2B759BD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59E88F4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0.8</w:t>
            </w:r>
          </w:p>
        </w:tc>
        <w:tc>
          <w:tcPr>
            <w:tcW w:w="0" w:type="auto"/>
            <w:tcBorders>
              <w:top w:val="nil"/>
              <w:left w:val="nil"/>
              <w:bottom w:val="nil"/>
              <w:right w:val="nil"/>
            </w:tcBorders>
            <w:shd w:val="clear" w:color="auto" w:fill="auto"/>
            <w:noWrap/>
            <w:vAlign w:val="bottom"/>
            <w:hideMark/>
          </w:tcPr>
          <w:p w14:paraId="49CC7CA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0.8</w:t>
            </w:r>
          </w:p>
        </w:tc>
        <w:tc>
          <w:tcPr>
            <w:tcW w:w="0" w:type="auto"/>
            <w:tcBorders>
              <w:top w:val="nil"/>
              <w:left w:val="nil"/>
              <w:bottom w:val="nil"/>
              <w:right w:val="nil"/>
            </w:tcBorders>
            <w:shd w:val="clear" w:color="auto" w:fill="auto"/>
            <w:noWrap/>
            <w:vAlign w:val="bottom"/>
            <w:hideMark/>
          </w:tcPr>
          <w:p w14:paraId="44D76D9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w:t>
            </w:r>
          </w:p>
        </w:tc>
        <w:tc>
          <w:tcPr>
            <w:tcW w:w="0" w:type="auto"/>
            <w:tcBorders>
              <w:top w:val="nil"/>
              <w:left w:val="nil"/>
              <w:bottom w:val="nil"/>
              <w:right w:val="nil"/>
            </w:tcBorders>
            <w:shd w:val="clear" w:color="auto" w:fill="auto"/>
            <w:noWrap/>
            <w:vAlign w:val="bottom"/>
            <w:hideMark/>
          </w:tcPr>
          <w:p w14:paraId="1794CA1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w:t>
            </w:r>
          </w:p>
        </w:tc>
        <w:tc>
          <w:tcPr>
            <w:tcW w:w="0" w:type="auto"/>
            <w:tcBorders>
              <w:top w:val="nil"/>
              <w:left w:val="nil"/>
              <w:bottom w:val="nil"/>
              <w:right w:val="nil"/>
            </w:tcBorders>
            <w:shd w:val="clear" w:color="auto" w:fill="auto"/>
            <w:noWrap/>
            <w:vAlign w:val="bottom"/>
            <w:hideMark/>
          </w:tcPr>
          <w:p w14:paraId="4218EA8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w:t>
            </w:r>
          </w:p>
        </w:tc>
        <w:tc>
          <w:tcPr>
            <w:tcW w:w="0" w:type="auto"/>
            <w:tcBorders>
              <w:top w:val="nil"/>
              <w:left w:val="nil"/>
              <w:bottom w:val="nil"/>
              <w:right w:val="nil"/>
            </w:tcBorders>
            <w:shd w:val="clear" w:color="auto" w:fill="auto"/>
            <w:noWrap/>
            <w:vAlign w:val="bottom"/>
            <w:hideMark/>
          </w:tcPr>
          <w:p w14:paraId="50EB378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w:t>
            </w:r>
          </w:p>
        </w:tc>
        <w:tc>
          <w:tcPr>
            <w:tcW w:w="0" w:type="auto"/>
            <w:tcBorders>
              <w:top w:val="nil"/>
              <w:left w:val="nil"/>
              <w:bottom w:val="nil"/>
              <w:right w:val="nil"/>
            </w:tcBorders>
            <w:shd w:val="clear" w:color="auto" w:fill="auto"/>
            <w:noWrap/>
            <w:vAlign w:val="bottom"/>
            <w:hideMark/>
          </w:tcPr>
          <w:p w14:paraId="6ABD3B9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1.4</w:t>
            </w:r>
          </w:p>
        </w:tc>
        <w:tc>
          <w:tcPr>
            <w:tcW w:w="0" w:type="auto"/>
            <w:tcBorders>
              <w:top w:val="nil"/>
              <w:left w:val="nil"/>
              <w:bottom w:val="nil"/>
              <w:right w:val="nil"/>
            </w:tcBorders>
            <w:shd w:val="clear" w:color="auto" w:fill="auto"/>
            <w:noWrap/>
            <w:vAlign w:val="bottom"/>
            <w:hideMark/>
          </w:tcPr>
          <w:p w14:paraId="78A4B12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1.4</w:t>
            </w:r>
          </w:p>
        </w:tc>
        <w:tc>
          <w:tcPr>
            <w:tcW w:w="0" w:type="auto"/>
            <w:tcBorders>
              <w:top w:val="nil"/>
              <w:left w:val="nil"/>
              <w:bottom w:val="nil"/>
              <w:right w:val="nil"/>
            </w:tcBorders>
            <w:shd w:val="clear" w:color="auto" w:fill="auto"/>
            <w:noWrap/>
            <w:vAlign w:val="bottom"/>
            <w:hideMark/>
          </w:tcPr>
          <w:p w14:paraId="612D0B1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w:t>
            </w:r>
          </w:p>
        </w:tc>
        <w:tc>
          <w:tcPr>
            <w:tcW w:w="707" w:type="dxa"/>
            <w:tcBorders>
              <w:top w:val="nil"/>
              <w:left w:val="nil"/>
              <w:bottom w:val="nil"/>
              <w:right w:val="nil"/>
            </w:tcBorders>
            <w:shd w:val="clear" w:color="auto" w:fill="auto"/>
            <w:noWrap/>
            <w:vAlign w:val="bottom"/>
            <w:hideMark/>
          </w:tcPr>
          <w:p w14:paraId="180E8C9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w:t>
            </w:r>
          </w:p>
        </w:tc>
      </w:tr>
      <w:tr w:rsidR="0084302E" w:rsidRPr="000B52EF" w14:paraId="731B0CCA" w14:textId="77777777" w:rsidTr="0084302E">
        <w:trPr>
          <w:trHeight w:val="300"/>
        </w:trPr>
        <w:tc>
          <w:tcPr>
            <w:tcW w:w="0" w:type="auto"/>
            <w:tcBorders>
              <w:top w:val="nil"/>
              <w:left w:val="nil"/>
              <w:bottom w:val="nil"/>
              <w:right w:val="nil"/>
            </w:tcBorders>
            <w:shd w:val="clear" w:color="auto" w:fill="auto"/>
            <w:noWrap/>
            <w:vAlign w:val="bottom"/>
            <w:hideMark/>
          </w:tcPr>
          <w:p w14:paraId="3CEC374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Gd</w:t>
            </w:r>
          </w:p>
        </w:tc>
        <w:tc>
          <w:tcPr>
            <w:tcW w:w="0" w:type="auto"/>
            <w:tcBorders>
              <w:top w:val="nil"/>
              <w:left w:val="nil"/>
              <w:bottom w:val="nil"/>
              <w:right w:val="nil"/>
            </w:tcBorders>
            <w:shd w:val="clear" w:color="auto" w:fill="auto"/>
            <w:noWrap/>
            <w:vAlign w:val="bottom"/>
            <w:hideMark/>
          </w:tcPr>
          <w:p w14:paraId="4D11BFB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w:t>
            </w:r>
          </w:p>
        </w:tc>
        <w:tc>
          <w:tcPr>
            <w:tcW w:w="0" w:type="auto"/>
            <w:tcBorders>
              <w:top w:val="nil"/>
              <w:left w:val="nil"/>
              <w:bottom w:val="nil"/>
              <w:right w:val="nil"/>
            </w:tcBorders>
            <w:shd w:val="clear" w:color="auto" w:fill="auto"/>
            <w:noWrap/>
            <w:vAlign w:val="bottom"/>
            <w:hideMark/>
          </w:tcPr>
          <w:p w14:paraId="3CF5A14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w:t>
            </w:r>
          </w:p>
        </w:tc>
        <w:tc>
          <w:tcPr>
            <w:tcW w:w="0" w:type="auto"/>
            <w:tcBorders>
              <w:top w:val="nil"/>
              <w:left w:val="nil"/>
              <w:bottom w:val="nil"/>
              <w:right w:val="nil"/>
            </w:tcBorders>
            <w:shd w:val="clear" w:color="auto" w:fill="auto"/>
            <w:noWrap/>
            <w:vAlign w:val="bottom"/>
            <w:hideMark/>
          </w:tcPr>
          <w:p w14:paraId="3638348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3.1</w:t>
            </w:r>
          </w:p>
        </w:tc>
        <w:tc>
          <w:tcPr>
            <w:tcW w:w="0" w:type="auto"/>
            <w:tcBorders>
              <w:top w:val="nil"/>
              <w:left w:val="nil"/>
              <w:bottom w:val="nil"/>
              <w:right w:val="nil"/>
            </w:tcBorders>
            <w:shd w:val="clear" w:color="auto" w:fill="auto"/>
            <w:noWrap/>
            <w:vAlign w:val="bottom"/>
            <w:hideMark/>
          </w:tcPr>
          <w:p w14:paraId="2543C07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w:t>
            </w:r>
          </w:p>
        </w:tc>
        <w:tc>
          <w:tcPr>
            <w:tcW w:w="0" w:type="auto"/>
            <w:tcBorders>
              <w:top w:val="nil"/>
              <w:left w:val="nil"/>
              <w:bottom w:val="nil"/>
              <w:right w:val="nil"/>
            </w:tcBorders>
            <w:shd w:val="clear" w:color="auto" w:fill="auto"/>
            <w:noWrap/>
            <w:vAlign w:val="bottom"/>
            <w:hideMark/>
          </w:tcPr>
          <w:p w14:paraId="333B492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w:t>
            </w:r>
          </w:p>
        </w:tc>
        <w:tc>
          <w:tcPr>
            <w:tcW w:w="0" w:type="auto"/>
            <w:tcBorders>
              <w:top w:val="nil"/>
              <w:left w:val="nil"/>
              <w:bottom w:val="nil"/>
              <w:right w:val="nil"/>
            </w:tcBorders>
            <w:shd w:val="clear" w:color="auto" w:fill="auto"/>
            <w:noWrap/>
            <w:vAlign w:val="bottom"/>
            <w:hideMark/>
          </w:tcPr>
          <w:p w14:paraId="047258A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w:t>
            </w:r>
          </w:p>
        </w:tc>
        <w:tc>
          <w:tcPr>
            <w:tcW w:w="0" w:type="auto"/>
            <w:tcBorders>
              <w:top w:val="nil"/>
              <w:left w:val="nil"/>
              <w:bottom w:val="nil"/>
              <w:right w:val="nil"/>
            </w:tcBorders>
            <w:shd w:val="clear" w:color="auto" w:fill="auto"/>
            <w:noWrap/>
            <w:vAlign w:val="bottom"/>
            <w:hideMark/>
          </w:tcPr>
          <w:p w14:paraId="31BFBF5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4.0</w:t>
            </w:r>
          </w:p>
        </w:tc>
        <w:tc>
          <w:tcPr>
            <w:tcW w:w="0" w:type="auto"/>
            <w:tcBorders>
              <w:top w:val="nil"/>
              <w:left w:val="nil"/>
              <w:bottom w:val="nil"/>
              <w:right w:val="nil"/>
            </w:tcBorders>
            <w:shd w:val="clear" w:color="auto" w:fill="auto"/>
            <w:noWrap/>
            <w:vAlign w:val="bottom"/>
            <w:hideMark/>
          </w:tcPr>
          <w:p w14:paraId="241BF05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5.3</w:t>
            </w:r>
          </w:p>
        </w:tc>
        <w:tc>
          <w:tcPr>
            <w:tcW w:w="0" w:type="auto"/>
            <w:tcBorders>
              <w:top w:val="nil"/>
              <w:left w:val="nil"/>
              <w:bottom w:val="nil"/>
              <w:right w:val="nil"/>
            </w:tcBorders>
            <w:shd w:val="clear" w:color="auto" w:fill="auto"/>
            <w:noWrap/>
            <w:vAlign w:val="bottom"/>
            <w:hideMark/>
          </w:tcPr>
          <w:p w14:paraId="5EE089A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5.4</w:t>
            </w:r>
          </w:p>
        </w:tc>
        <w:tc>
          <w:tcPr>
            <w:tcW w:w="0" w:type="auto"/>
            <w:tcBorders>
              <w:top w:val="nil"/>
              <w:left w:val="nil"/>
              <w:bottom w:val="nil"/>
              <w:right w:val="nil"/>
            </w:tcBorders>
            <w:shd w:val="clear" w:color="auto" w:fill="auto"/>
            <w:noWrap/>
            <w:vAlign w:val="bottom"/>
            <w:hideMark/>
          </w:tcPr>
          <w:p w14:paraId="670EC20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4.0</w:t>
            </w:r>
          </w:p>
        </w:tc>
        <w:tc>
          <w:tcPr>
            <w:tcW w:w="707" w:type="dxa"/>
            <w:tcBorders>
              <w:top w:val="nil"/>
              <w:left w:val="nil"/>
              <w:bottom w:val="nil"/>
              <w:right w:val="nil"/>
            </w:tcBorders>
            <w:shd w:val="clear" w:color="auto" w:fill="auto"/>
            <w:noWrap/>
            <w:vAlign w:val="bottom"/>
            <w:hideMark/>
          </w:tcPr>
          <w:p w14:paraId="3C35B2D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6.7</w:t>
            </w:r>
          </w:p>
        </w:tc>
      </w:tr>
      <w:tr w:rsidR="0084302E" w:rsidRPr="000B52EF" w14:paraId="463AF317" w14:textId="77777777" w:rsidTr="0084302E">
        <w:trPr>
          <w:trHeight w:val="300"/>
        </w:trPr>
        <w:tc>
          <w:tcPr>
            <w:tcW w:w="0" w:type="auto"/>
            <w:tcBorders>
              <w:top w:val="nil"/>
              <w:left w:val="nil"/>
              <w:bottom w:val="nil"/>
              <w:right w:val="nil"/>
            </w:tcBorders>
            <w:shd w:val="clear" w:color="auto" w:fill="auto"/>
            <w:noWrap/>
            <w:vAlign w:val="bottom"/>
            <w:hideMark/>
          </w:tcPr>
          <w:p w14:paraId="6FC6990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Tb</w:t>
            </w:r>
          </w:p>
        </w:tc>
        <w:tc>
          <w:tcPr>
            <w:tcW w:w="0" w:type="auto"/>
            <w:tcBorders>
              <w:top w:val="nil"/>
              <w:left w:val="nil"/>
              <w:bottom w:val="nil"/>
              <w:right w:val="nil"/>
            </w:tcBorders>
            <w:shd w:val="clear" w:color="auto" w:fill="auto"/>
            <w:noWrap/>
            <w:vAlign w:val="bottom"/>
            <w:hideMark/>
          </w:tcPr>
          <w:p w14:paraId="30EA17F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1FA6E20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0.6</w:t>
            </w:r>
          </w:p>
        </w:tc>
        <w:tc>
          <w:tcPr>
            <w:tcW w:w="0" w:type="auto"/>
            <w:tcBorders>
              <w:top w:val="nil"/>
              <w:left w:val="nil"/>
              <w:bottom w:val="nil"/>
              <w:right w:val="nil"/>
            </w:tcBorders>
            <w:shd w:val="clear" w:color="auto" w:fill="auto"/>
            <w:noWrap/>
            <w:vAlign w:val="bottom"/>
            <w:hideMark/>
          </w:tcPr>
          <w:p w14:paraId="603B262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0.6</w:t>
            </w:r>
          </w:p>
        </w:tc>
        <w:tc>
          <w:tcPr>
            <w:tcW w:w="0" w:type="auto"/>
            <w:tcBorders>
              <w:top w:val="nil"/>
              <w:left w:val="nil"/>
              <w:bottom w:val="nil"/>
              <w:right w:val="nil"/>
            </w:tcBorders>
            <w:shd w:val="clear" w:color="auto" w:fill="auto"/>
            <w:noWrap/>
            <w:vAlign w:val="bottom"/>
            <w:hideMark/>
          </w:tcPr>
          <w:p w14:paraId="5834662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6D41111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743A388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7898BA9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163BEBD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13D3194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247D9CE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707" w:type="dxa"/>
            <w:tcBorders>
              <w:top w:val="nil"/>
              <w:left w:val="nil"/>
              <w:bottom w:val="nil"/>
              <w:right w:val="nil"/>
            </w:tcBorders>
            <w:shd w:val="clear" w:color="auto" w:fill="auto"/>
            <w:noWrap/>
            <w:vAlign w:val="bottom"/>
            <w:hideMark/>
          </w:tcPr>
          <w:p w14:paraId="01F8F0C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1.2</w:t>
            </w:r>
          </w:p>
        </w:tc>
      </w:tr>
      <w:tr w:rsidR="0084302E" w:rsidRPr="000B52EF" w14:paraId="12A3B647" w14:textId="77777777" w:rsidTr="0084302E">
        <w:trPr>
          <w:trHeight w:val="300"/>
        </w:trPr>
        <w:tc>
          <w:tcPr>
            <w:tcW w:w="0" w:type="auto"/>
            <w:tcBorders>
              <w:top w:val="nil"/>
              <w:left w:val="nil"/>
              <w:bottom w:val="nil"/>
              <w:right w:val="nil"/>
            </w:tcBorders>
            <w:shd w:val="clear" w:color="auto" w:fill="auto"/>
            <w:noWrap/>
            <w:vAlign w:val="bottom"/>
            <w:hideMark/>
          </w:tcPr>
          <w:p w14:paraId="5E8C948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Dy</w:t>
            </w:r>
          </w:p>
        </w:tc>
        <w:tc>
          <w:tcPr>
            <w:tcW w:w="0" w:type="auto"/>
            <w:tcBorders>
              <w:top w:val="nil"/>
              <w:left w:val="nil"/>
              <w:bottom w:val="nil"/>
              <w:right w:val="nil"/>
            </w:tcBorders>
            <w:shd w:val="clear" w:color="auto" w:fill="auto"/>
            <w:noWrap/>
            <w:vAlign w:val="bottom"/>
            <w:hideMark/>
          </w:tcPr>
          <w:p w14:paraId="522B8B8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4.6</w:t>
            </w:r>
          </w:p>
        </w:tc>
        <w:tc>
          <w:tcPr>
            <w:tcW w:w="0" w:type="auto"/>
            <w:tcBorders>
              <w:top w:val="nil"/>
              <w:left w:val="nil"/>
              <w:bottom w:val="nil"/>
              <w:right w:val="nil"/>
            </w:tcBorders>
            <w:shd w:val="clear" w:color="auto" w:fill="auto"/>
            <w:noWrap/>
            <w:vAlign w:val="bottom"/>
            <w:hideMark/>
          </w:tcPr>
          <w:p w14:paraId="6B93F37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4.6</w:t>
            </w:r>
          </w:p>
        </w:tc>
        <w:tc>
          <w:tcPr>
            <w:tcW w:w="0" w:type="auto"/>
            <w:tcBorders>
              <w:top w:val="nil"/>
              <w:left w:val="nil"/>
              <w:bottom w:val="nil"/>
              <w:right w:val="nil"/>
            </w:tcBorders>
            <w:shd w:val="clear" w:color="auto" w:fill="auto"/>
            <w:noWrap/>
            <w:vAlign w:val="bottom"/>
            <w:hideMark/>
          </w:tcPr>
          <w:p w14:paraId="25EFCBA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3.9</w:t>
            </w:r>
          </w:p>
        </w:tc>
        <w:tc>
          <w:tcPr>
            <w:tcW w:w="0" w:type="auto"/>
            <w:tcBorders>
              <w:top w:val="nil"/>
              <w:left w:val="nil"/>
              <w:bottom w:val="nil"/>
              <w:right w:val="nil"/>
            </w:tcBorders>
            <w:shd w:val="clear" w:color="auto" w:fill="auto"/>
            <w:noWrap/>
            <w:vAlign w:val="bottom"/>
            <w:hideMark/>
          </w:tcPr>
          <w:p w14:paraId="7B64EB7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4.5</w:t>
            </w:r>
          </w:p>
        </w:tc>
        <w:tc>
          <w:tcPr>
            <w:tcW w:w="0" w:type="auto"/>
            <w:tcBorders>
              <w:top w:val="nil"/>
              <w:left w:val="nil"/>
              <w:bottom w:val="nil"/>
              <w:right w:val="nil"/>
            </w:tcBorders>
            <w:shd w:val="clear" w:color="auto" w:fill="auto"/>
            <w:noWrap/>
            <w:vAlign w:val="bottom"/>
            <w:hideMark/>
          </w:tcPr>
          <w:p w14:paraId="69AACCC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4.2</w:t>
            </w:r>
          </w:p>
        </w:tc>
        <w:tc>
          <w:tcPr>
            <w:tcW w:w="0" w:type="auto"/>
            <w:tcBorders>
              <w:top w:val="nil"/>
              <w:left w:val="nil"/>
              <w:bottom w:val="nil"/>
              <w:right w:val="nil"/>
            </w:tcBorders>
            <w:shd w:val="clear" w:color="auto" w:fill="auto"/>
            <w:noWrap/>
            <w:vAlign w:val="bottom"/>
            <w:hideMark/>
          </w:tcPr>
          <w:p w14:paraId="587E311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4.5</w:t>
            </w:r>
          </w:p>
        </w:tc>
        <w:tc>
          <w:tcPr>
            <w:tcW w:w="0" w:type="auto"/>
            <w:tcBorders>
              <w:top w:val="nil"/>
              <w:left w:val="nil"/>
              <w:bottom w:val="nil"/>
              <w:right w:val="nil"/>
            </w:tcBorders>
            <w:shd w:val="clear" w:color="auto" w:fill="auto"/>
            <w:noWrap/>
            <w:vAlign w:val="bottom"/>
            <w:hideMark/>
          </w:tcPr>
          <w:p w14:paraId="7C2D96B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4.6</w:t>
            </w:r>
          </w:p>
        </w:tc>
        <w:tc>
          <w:tcPr>
            <w:tcW w:w="0" w:type="auto"/>
            <w:tcBorders>
              <w:top w:val="nil"/>
              <w:left w:val="nil"/>
              <w:bottom w:val="nil"/>
              <w:right w:val="nil"/>
            </w:tcBorders>
            <w:shd w:val="clear" w:color="auto" w:fill="auto"/>
            <w:noWrap/>
            <w:vAlign w:val="bottom"/>
            <w:hideMark/>
          </w:tcPr>
          <w:p w14:paraId="7BFCE5F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6.1</w:t>
            </w:r>
          </w:p>
        </w:tc>
        <w:tc>
          <w:tcPr>
            <w:tcW w:w="0" w:type="auto"/>
            <w:tcBorders>
              <w:top w:val="nil"/>
              <w:left w:val="nil"/>
              <w:bottom w:val="nil"/>
              <w:right w:val="nil"/>
            </w:tcBorders>
            <w:shd w:val="clear" w:color="auto" w:fill="auto"/>
            <w:noWrap/>
            <w:vAlign w:val="bottom"/>
            <w:hideMark/>
          </w:tcPr>
          <w:p w14:paraId="30101B9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6.1</w:t>
            </w:r>
          </w:p>
        </w:tc>
        <w:tc>
          <w:tcPr>
            <w:tcW w:w="0" w:type="auto"/>
            <w:tcBorders>
              <w:top w:val="nil"/>
              <w:left w:val="nil"/>
              <w:bottom w:val="nil"/>
              <w:right w:val="nil"/>
            </w:tcBorders>
            <w:shd w:val="clear" w:color="auto" w:fill="auto"/>
            <w:noWrap/>
            <w:vAlign w:val="bottom"/>
            <w:hideMark/>
          </w:tcPr>
          <w:p w14:paraId="74FE388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4.7</w:t>
            </w:r>
          </w:p>
        </w:tc>
        <w:tc>
          <w:tcPr>
            <w:tcW w:w="707" w:type="dxa"/>
            <w:tcBorders>
              <w:top w:val="nil"/>
              <w:left w:val="nil"/>
              <w:bottom w:val="nil"/>
              <w:right w:val="nil"/>
            </w:tcBorders>
            <w:shd w:val="clear" w:color="auto" w:fill="auto"/>
            <w:noWrap/>
            <w:vAlign w:val="bottom"/>
            <w:hideMark/>
          </w:tcPr>
          <w:p w14:paraId="57CA9AD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7.8</w:t>
            </w:r>
          </w:p>
        </w:tc>
      </w:tr>
      <w:tr w:rsidR="0084302E" w:rsidRPr="000B52EF" w14:paraId="02219E26" w14:textId="77777777" w:rsidTr="0084302E">
        <w:trPr>
          <w:trHeight w:val="300"/>
        </w:trPr>
        <w:tc>
          <w:tcPr>
            <w:tcW w:w="0" w:type="auto"/>
            <w:tcBorders>
              <w:top w:val="nil"/>
              <w:left w:val="nil"/>
              <w:bottom w:val="nil"/>
              <w:right w:val="nil"/>
            </w:tcBorders>
            <w:shd w:val="clear" w:color="auto" w:fill="auto"/>
            <w:noWrap/>
            <w:vAlign w:val="bottom"/>
            <w:hideMark/>
          </w:tcPr>
          <w:p w14:paraId="2D9478C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Ho</w:t>
            </w:r>
          </w:p>
        </w:tc>
        <w:tc>
          <w:tcPr>
            <w:tcW w:w="0" w:type="auto"/>
            <w:tcBorders>
              <w:top w:val="nil"/>
              <w:left w:val="nil"/>
              <w:bottom w:val="nil"/>
              <w:right w:val="nil"/>
            </w:tcBorders>
            <w:shd w:val="clear" w:color="auto" w:fill="auto"/>
            <w:noWrap/>
            <w:vAlign w:val="bottom"/>
            <w:hideMark/>
          </w:tcPr>
          <w:p w14:paraId="33EAC3A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506101E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1.1</w:t>
            </w:r>
          </w:p>
        </w:tc>
        <w:tc>
          <w:tcPr>
            <w:tcW w:w="0" w:type="auto"/>
            <w:tcBorders>
              <w:top w:val="nil"/>
              <w:left w:val="nil"/>
              <w:bottom w:val="nil"/>
              <w:right w:val="nil"/>
            </w:tcBorders>
            <w:shd w:val="clear" w:color="auto" w:fill="auto"/>
            <w:noWrap/>
            <w:vAlign w:val="bottom"/>
            <w:hideMark/>
          </w:tcPr>
          <w:p w14:paraId="3493277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c>
          <w:tcPr>
            <w:tcW w:w="0" w:type="auto"/>
            <w:tcBorders>
              <w:top w:val="nil"/>
              <w:left w:val="nil"/>
              <w:bottom w:val="nil"/>
              <w:right w:val="nil"/>
            </w:tcBorders>
            <w:shd w:val="clear" w:color="auto" w:fill="auto"/>
            <w:noWrap/>
            <w:vAlign w:val="bottom"/>
            <w:hideMark/>
          </w:tcPr>
          <w:p w14:paraId="0C5E596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c>
          <w:tcPr>
            <w:tcW w:w="0" w:type="auto"/>
            <w:tcBorders>
              <w:top w:val="nil"/>
              <w:left w:val="nil"/>
              <w:bottom w:val="nil"/>
              <w:right w:val="nil"/>
            </w:tcBorders>
            <w:shd w:val="clear" w:color="auto" w:fill="auto"/>
            <w:noWrap/>
            <w:vAlign w:val="bottom"/>
            <w:hideMark/>
          </w:tcPr>
          <w:p w14:paraId="1A977A7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c>
          <w:tcPr>
            <w:tcW w:w="0" w:type="auto"/>
            <w:tcBorders>
              <w:top w:val="nil"/>
              <w:left w:val="nil"/>
              <w:bottom w:val="nil"/>
              <w:right w:val="nil"/>
            </w:tcBorders>
            <w:shd w:val="clear" w:color="auto" w:fill="auto"/>
            <w:noWrap/>
            <w:vAlign w:val="bottom"/>
            <w:hideMark/>
          </w:tcPr>
          <w:p w14:paraId="4042D33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c>
          <w:tcPr>
            <w:tcW w:w="0" w:type="auto"/>
            <w:tcBorders>
              <w:top w:val="nil"/>
              <w:left w:val="nil"/>
              <w:bottom w:val="nil"/>
              <w:right w:val="nil"/>
            </w:tcBorders>
            <w:shd w:val="clear" w:color="auto" w:fill="auto"/>
            <w:noWrap/>
            <w:vAlign w:val="bottom"/>
            <w:hideMark/>
          </w:tcPr>
          <w:p w14:paraId="5EAED67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0" w:type="auto"/>
            <w:tcBorders>
              <w:top w:val="nil"/>
              <w:left w:val="nil"/>
              <w:bottom w:val="nil"/>
              <w:right w:val="nil"/>
            </w:tcBorders>
            <w:shd w:val="clear" w:color="auto" w:fill="auto"/>
            <w:noWrap/>
            <w:vAlign w:val="bottom"/>
            <w:hideMark/>
          </w:tcPr>
          <w:p w14:paraId="7465ED5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1.3</w:t>
            </w:r>
          </w:p>
        </w:tc>
        <w:tc>
          <w:tcPr>
            <w:tcW w:w="0" w:type="auto"/>
            <w:tcBorders>
              <w:top w:val="nil"/>
              <w:left w:val="nil"/>
              <w:bottom w:val="nil"/>
              <w:right w:val="nil"/>
            </w:tcBorders>
            <w:shd w:val="clear" w:color="auto" w:fill="auto"/>
            <w:noWrap/>
            <w:vAlign w:val="bottom"/>
            <w:hideMark/>
          </w:tcPr>
          <w:p w14:paraId="054E19B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1.3</w:t>
            </w:r>
          </w:p>
        </w:tc>
        <w:tc>
          <w:tcPr>
            <w:tcW w:w="0" w:type="auto"/>
            <w:tcBorders>
              <w:top w:val="nil"/>
              <w:left w:val="nil"/>
              <w:bottom w:val="nil"/>
              <w:right w:val="nil"/>
            </w:tcBorders>
            <w:shd w:val="clear" w:color="auto" w:fill="auto"/>
            <w:noWrap/>
            <w:vAlign w:val="bottom"/>
            <w:hideMark/>
          </w:tcPr>
          <w:p w14:paraId="203D3A8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1.0</w:t>
            </w:r>
          </w:p>
        </w:tc>
        <w:tc>
          <w:tcPr>
            <w:tcW w:w="707" w:type="dxa"/>
            <w:tcBorders>
              <w:top w:val="nil"/>
              <w:left w:val="nil"/>
              <w:bottom w:val="nil"/>
              <w:right w:val="nil"/>
            </w:tcBorders>
            <w:shd w:val="clear" w:color="auto" w:fill="auto"/>
            <w:noWrap/>
            <w:vAlign w:val="bottom"/>
            <w:hideMark/>
          </w:tcPr>
          <w:p w14:paraId="67FA231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1.6</w:t>
            </w:r>
          </w:p>
        </w:tc>
      </w:tr>
      <w:tr w:rsidR="0084302E" w:rsidRPr="000B52EF" w14:paraId="467607BF" w14:textId="77777777" w:rsidTr="0084302E">
        <w:trPr>
          <w:trHeight w:val="300"/>
        </w:trPr>
        <w:tc>
          <w:tcPr>
            <w:tcW w:w="0" w:type="auto"/>
            <w:tcBorders>
              <w:top w:val="nil"/>
              <w:left w:val="nil"/>
              <w:bottom w:val="nil"/>
              <w:right w:val="nil"/>
            </w:tcBorders>
            <w:shd w:val="clear" w:color="auto" w:fill="auto"/>
            <w:noWrap/>
            <w:vAlign w:val="bottom"/>
            <w:hideMark/>
          </w:tcPr>
          <w:p w14:paraId="5EBCDB6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Er</w:t>
            </w:r>
          </w:p>
        </w:tc>
        <w:tc>
          <w:tcPr>
            <w:tcW w:w="0" w:type="auto"/>
            <w:tcBorders>
              <w:top w:val="nil"/>
              <w:left w:val="nil"/>
              <w:bottom w:val="nil"/>
              <w:right w:val="nil"/>
            </w:tcBorders>
            <w:shd w:val="clear" w:color="auto" w:fill="auto"/>
            <w:noWrap/>
            <w:vAlign w:val="bottom"/>
            <w:hideMark/>
          </w:tcPr>
          <w:p w14:paraId="0E395F0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w:t>
            </w:r>
          </w:p>
        </w:tc>
        <w:tc>
          <w:tcPr>
            <w:tcW w:w="0" w:type="auto"/>
            <w:tcBorders>
              <w:top w:val="nil"/>
              <w:left w:val="nil"/>
              <w:bottom w:val="nil"/>
              <w:right w:val="nil"/>
            </w:tcBorders>
            <w:shd w:val="clear" w:color="auto" w:fill="auto"/>
            <w:noWrap/>
            <w:vAlign w:val="bottom"/>
            <w:hideMark/>
          </w:tcPr>
          <w:p w14:paraId="49FF55E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3.2</w:t>
            </w:r>
          </w:p>
        </w:tc>
        <w:tc>
          <w:tcPr>
            <w:tcW w:w="0" w:type="auto"/>
            <w:tcBorders>
              <w:top w:val="nil"/>
              <w:left w:val="nil"/>
              <w:bottom w:val="nil"/>
              <w:right w:val="nil"/>
            </w:tcBorders>
            <w:shd w:val="clear" w:color="auto" w:fill="auto"/>
            <w:noWrap/>
            <w:vAlign w:val="bottom"/>
            <w:hideMark/>
          </w:tcPr>
          <w:p w14:paraId="638F47E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w:t>
            </w:r>
          </w:p>
        </w:tc>
        <w:tc>
          <w:tcPr>
            <w:tcW w:w="0" w:type="auto"/>
            <w:tcBorders>
              <w:top w:val="nil"/>
              <w:left w:val="nil"/>
              <w:bottom w:val="nil"/>
              <w:right w:val="nil"/>
            </w:tcBorders>
            <w:shd w:val="clear" w:color="auto" w:fill="auto"/>
            <w:noWrap/>
            <w:vAlign w:val="bottom"/>
            <w:hideMark/>
          </w:tcPr>
          <w:p w14:paraId="0AC6194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w:t>
            </w:r>
          </w:p>
        </w:tc>
        <w:tc>
          <w:tcPr>
            <w:tcW w:w="0" w:type="auto"/>
            <w:tcBorders>
              <w:top w:val="nil"/>
              <w:left w:val="nil"/>
              <w:bottom w:val="nil"/>
              <w:right w:val="nil"/>
            </w:tcBorders>
            <w:shd w:val="clear" w:color="auto" w:fill="auto"/>
            <w:noWrap/>
            <w:vAlign w:val="bottom"/>
            <w:hideMark/>
          </w:tcPr>
          <w:p w14:paraId="6CC365C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2.5</w:t>
            </w:r>
          </w:p>
        </w:tc>
        <w:tc>
          <w:tcPr>
            <w:tcW w:w="0" w:type="auto"/>
            <w:tcBorders>
              <w:top w:val="nil"/>
              <w:left w:val="nil"/>
              <w:bottom w:val="nil"/>
              <w:right w:val="nil"/>
            </w:tcBorders>
            <w:shd w:val="clear" w:color="auto" w:fill="auto"/>
            <w:noWrap/>
            <w:vAlign w:val="bottom"/>
            <w:hideMark/>
          </w:tcPr>
          <w:p w14:paraId="1F2509C5"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w:t>
            </w:r>
          </w:p>
        </w:tc>
        <w:tc>
          <w:tcPr>
            <w:tcW w:w="0" w:type="auto"/>
            <w:tcBorders>
              <w:top w:val="nil"/>
              <w:left w:val="nil"/>
              <w:bottom w:val="nil"/>
              <w:right w:val="nil"/>
            </w:tcBorders>
            <w:shd w:val="clear" w:color="auto" w:fill="auto"/>
            <w:noWrap/>
            <w:vAlign w:val="bottom"/>
            <w:hideMark/>
          </w:tcPr>
          <w:p w14:paraId="6AF4892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w:t>
            </w:r>
          </w:p>
        </w:tc>
        <w:tc>
          <w:tcPr>
            <w:tcW w:w="0" w:type="auto"/>
            <w:tcBorders>
              <w:top w:val="nil"/>
              <w:left w:val="nil"/>
              <w:bottom w:val="nil"/>
              <w:right w:val="nil"/>
            </w:tcBorders>
            <w:shd w:val="clear" w:color="auto" w:fill="auto"/>
            <w:noWrap/>
            <w:vAlign w:val="bottom"/>
            <w:hideMark/>
          </w:tcPr>
          <w:p w14:paraId="423DAA8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w:t>
            </w:r>
          </w:p>
        </w:tc>
        <w:tc>
          <w:tcPr>
            <w:tcW w:w="0" w:type="auto"/>
            <w:tcBorders>
              <w:top w:val="nil"/>
              <w:left w:val="nil"/>
              <w:bottom w:val="nil"/>
              <w:right w:val="nil"/>
            </w:tcBorders>
            <w:shd w:val="clear" w:color="auto" w:fill="auto"/>
            <w:noWrap/>
            <w:vAlign w:val="bottom"/>
            <w:hideMark/>
          </w:tcPr>
          <w:p w14:paraId="52C3DA7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w:t>
            </w:r>
          </w:p>
        </w:tc>
        <w:tc>
          <w:tcPr>
            <w:tcW w:w="0" w:type="auto"/>
            <w:tcBorders>
              <w:top w:val="nil"/>
              <w:left w:val="nil"/>
              <w:bottom w:val="nil"/>
              <w:right w:val="nil"/>
            </w:tcBorders>
            <w:shd w:val="clear" w:color="auto" w:fill="auto"/>
            <w:noWrap/>
            <w:vAlign w:val="bottom"/>
            <w:hideMark/>
          </w:tcPr>
          <w:p w14:paraId="3EA1679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2.9</w:t>
            </w:r>
          </w:p>
        </w:tc>
        <w:tc>
          <w:tcPr>
            <w:tcW w:w="707" w:type="dxa"/>
            <w:tcBorders>
              <w:top w:val="nil"/>
              <w:left w:val="nil"/>
              <w:bottom w:val="nil"/>
              <w:right w:val="nil"/>
            </w:tcBorders>
            <w:shd w:val="clear" w:color="auto" w:fill="auto"/>
            <w:noWrap/>
            <w:vAlign w:val="bottom"/>
            <w:hideMark/>
          </w:tcPr>
          <w:p w14:paraId="510EF91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4.8</w:t>
            </w:r>
          </w:p>
        </w:tc>
      </w:tr>
      <w:tr w:rsidR="0084302E" w:rsidRPr="000B52EF" w14:paraId="7772ADDD" w14:textId="77777777" w:rsidTr="0084302E">
        <w:trPr>
          <w:trHeight w:val="300"/>
        </w:trPr>
        <w:tc>
          <w:tcPr>
            <w:tcW w:w="0" w:type="auto"/>
            <w:tcBorders>
              <w:top w:val="nil"/>
              <w:left w:val="nil"/>
              <w:bottom w:val="nil"/>
              <w:right w:val="nil"/>
            </w:tcBorders>
            <w:shd w:val="clear" w:color="auto" w:fill="auto"/>
            <w:noWrap/>
            <w:vAlign w:val="bottom"/>
            <w:hideMark/>
          </w:tcPr>
          <w:p w14:paraId="39140CE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Tm</w:t>
            </w:r>
          </w:p>
        </w:tc>
        <w:tc>
          <w:tcPr>
            <w:tcW w:w="0" w:type="auto"/>
            <w:tcBorders>
              <w:top w:val="nil"/>
              <w:left w:val="nil"/>
              <w:bottom w:val="nil"/>
              <w:right w:val="nil"/>
            </w:tcBorders>
            <w:shd w:val="clear" w:color="auto" w:fill="auto"/>
            <w:noWrap/>
            <w:vAlign w:val="bottom"/>
            <w:hideMark/>
          </w:tcPr>
          <w:p w14:paraId="514067B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0.5</w:t>
            </w:r>
          </w:p>
        </w:tc>
        <w:tc>
          <w:tcPr>
            <w:tcW w:w="0" w:type="auto"/>
            <w:tcBorders>
              <w:top w:val="nil"/>
              <w:left w:val="nil"/>
              <w:bottom w:val="nil"/>
              <w:right w:val="nil"/>
            </w:tcBorders>
            <w:shd w:val="clear" w:color="auto" w:fill="auto"/>
            <w:noWrap/>
            <w:vAlign w:val="bottom"/>
            <w:hideMark/>
          </w:tcPr>
          <w:p w14:paraId="2ED8ABB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0.5</w:t>
            </w:r>
          </w:p>
        </w:tc>
        <w:tc>
          <w:tcPr>
            <w:tcW w:w="0" w:type="auto"/>
            <w:tcBorders>
              <w:top w:val="nil"/>
              <w:left w:val="nil"/>
              <w:bottom w:val="nil"/>
              <w:right w:val="nil"/>
            </w:tcBorders>
            <w:shd w:val="clear" w:color="auto" w:fill="auto"/>
            <w:noWrap/>
            <w:vAlign w:val="bottom"/>
            <w:hideMark/>
          </w:tcPr>
          <w:p w14:paraId="4940F84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5C80AED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4FC0C7D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31BFA3D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1FFCC73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3F747D7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0.6</w:t>
            </w:r>
          </w:p>
        </w:tc>
        <w:tc>
          <w:tcPr>
            <w:tcW w:w="0" w:type="auto"/>
            <w:tcBorders>
              <w:top w:val="nil"/>
              <w:left w:val="nil"/>
              <w:bottom w:val="nil"/>
              <w:right w:val="nil"/>
            </w:tcBorders>
            <w:shd w:val="clear" w:color="auto" w:fill="auto"/>
            <w:noWrap/>
            <w:vAlign w:val="bottom"/>
            <w:hideMark/>
          </w:tcPr>
          <w:p w14:paraId="72FD7C2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0.6</w:t>
            </w:r>
          </w:p>
        </w:tc>
        <w:tc>
          <w:tcPr>
            <w:tcW w:w="0" w:type="auto"/>
            <w:tcBorders>
              <w:top w:val="nil"/>
              <w:left w:val="nil"/>
              <w:bottom w:val="nil"/>
              <w:right w:val="nil"/>
            </w:tcBorders>
            <w:shd w:val="clear" w:color="auto" w:fill="auto"/>
            <w:noWrap/>
            <w:vAlign w:val="bottom"/>
            <w:hideMark/>
          </w:tcPr>
          <w:p w14:paraId="0190695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707" w:type="dxa"/>
            <w:tcBorders>
              <w:top w:val="nil"/>
              <w:left w:val="nil"/>
              <w:bottom w:val="nil"/>
              <w:right w:val="nil"/>
            </w:tcBorders>
            <w:shd w:val="clear" w:color="auto" w:fill="auto"/>
            <w:noWrap/>
            <w:vAlign w:val="bottom"/>
            <w:hideMark/>
          </w:tcPr>
          <w:p w14:paraId="1C25F69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r>
      <w:tr w:rsidR="0084302E" w:rsidRPr="000B52EF" w14:paraId="5EA3087D" w14:textId="77777777" w:rsidTr="0084302E">
        <w:trPr>
          <w:trHeight w:val="300"/>
        </w:trPr>
        <w:tc>
          <w:tcPr>
            <w:tcW w:w="0" w:type="auto"/>
            <w:tcBorders>
              <w:top w:val="nil"/>
              <w:left w:val="nil"/>
              <w:bottom w:val="nil"/>
              <w:right w:val="nil"/>
            </w:tcBorders>
            <w:shd w:val="clear" w:color="auto" w:fill="auto"/>
            <w:noWrap/>
            <w:vAlign w:val="bottom"/>
            <w:hideMark/>
          </w:tcPr>
          <w:p w14:paraId="0584F1E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Yb</w:t>
            </w:r>
          </w:p>
        </w:tc>
        <w:tc>
          <w:tcPr>
            <w:tcW w:w="0" w:type="auto"/>
            <w:tcBorders>
              <w:top w:val="nil"/>
              <w:left w:val="nil"/>
              <w:bottom w:val="nil"/>
              <w:right w:val="nil"/>
            </w:tcBorders>
            <w:shd w:val="clear" w:color="auto" w:fill="auto"/>
            <w:noWrap/>
            <w:vAlign w:val="bottom"/>
            <w:hideMark/>
          </w:tcPr>
          <w:p w14:paraId="584121D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w:t>
            </w:r>
          </w:p>
        </w:tc>
        <w:tc>
          <w:tcPr>
            <w:tcW w:w="0" w:type="auto"/>
            <w:tcBorders>
              <w:top w:val="nil"/>
              <w:left w:val="nil"/>
              <w:bottom w:val="nil"/>
              <w:right w:val="nil"/>
            </w:tcBorders>
            <w:shd w:val="clear" w:color="auto" w:fill="auto"/>
            <w:noWrap/>
            <w:vAlign w:val="bottom"/>
            <w:hideMark/>
          </w:tcPr>
          <w:p w14:paraId="55BBA5F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3.5</w:t>
            </w:r>
          </w:p>
        </w:tc>
        <w:tc>
          <w:tcPr>
            <w:tcW w:w="0" w:type="auto"/>
            <w:tcBorders>
              <w:top w:val="nil"/>
              <w:left w:val="nil"/>
              <w:bottom w:val="nil"/>
              <w:right w:val="nil"/>
            </w:tcBorders>
            <w:shd w:val="clear" w:color="auto" w:fill="auto"/>
            <w:noWrap/>
            <w:vAlign w:val="bottom"/>
            <w:hideMark/>
          </w:tcPr>
          <w:p w14:paraId="1ADB00C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w:t>
            </w:r>
          </w:p>
        </w:tc>
        <w:tc>
          <w:tcPr>
            <w:tcW w:w="0" w:type="auto"/>
            <w:tcBorders>
              <w:top w:val="nil"/>
              <w:left w:val="nil"/>
              <w:bottom w:val="nil"/>
              <w:right w:val="nil"/>
            </w:tcBorders>
            <w:shd w:val="clear" w:color="auto" w:fill="auto"/>
            <w:noWrap/>
            <w:vAlign w:val="bottom"/>
            <w:hideMark/>
          </w:tcPr>
          <w:p w14:paraId="5EB9721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w:t>
            </w:r>
          </w:p>
        </w:tc>
        <w:tc>
          <w:tcPr>
            <w:tcW w:w="0" w:type="auto"/>
            <w:tcBorders>
              <w:top w:val="nil"/>
              <w:left w:val="nil"/>
              <w:bottom w:val="nil"/>
              <w:right w:val="nil"/>
            </w:tcBorders>
            <w:shd w:val="clear" w:color="auto" w:fill="auto"/>
            <w:noWrap/>
            <w:vAlign w:val="bottom"/>
            <w:hideMark/>
          </w:tcPr>
          <w:p w14:paraId="0B59AA4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2.4</w:t>
            </w:r>
          </w:p>
        </w:tc>
        <w:tc>
          <w:tcPr>
            <w:tcW w:w="0" w:type="auto"/>
            <w:tcBorders>
              <w:top w:val="nil"/>
              <w:left w:val="nil"/>
              <w:bottom w:val="nil"/>
              <w:right w:val="nil"/>
            </w:tcBorders>
            <w:shd w:val="clear" w:color="auto" w:fill="auto"/>
            <w:noWrap/>
            <w:vAlign w:val="bottom"/>
            <w:hideMark/>
          </w:tcPr>
          <w:p w14:paraId="09E53C4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2.6</w:t>
            </w:r>
          </w:p>
        </w:tc>
        <w:tc>
          <w:tcPr>
            <w:tcW w:w="0" w:type="auto"/>
            <w:tcBorders>
              <w:top w:val="nil"/>
              <w:left w:val="nil"/>
              <w:bottom w:val="nil"/>
              <w:right w:val="nil"/>
            </w:tcBorders>
            <w:shd w:val="clear" w:color="auto" w:fill="auto"/>
            <w:noWrap/>
            <w:vAlign w:val="bottom"/>
            <w:hideMark/>
          </w:tcPr>
          <w:p w14:paraId="3A475B1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2.7</w:t>
            </w:r>
          </w:p>
        </w:tc>
        <w:tc>
          <w:tcPr>
            <w:tcW w:w="0" w:type="auto"/>
            <w:tcBorders>
              <w:top w:val="nil"/>
              <w:left w:val="nil"/>
              <w:bottom w:val="nil"/>
              <w:right w:val="nil"/>
            </w:tcBorders>
            <w:shd w:val="clear" w:color="auto" w:fill="auto"/>
            <w:noWrap/>
            <w:vAlign w:val="bottom"/>
            <w:hideMark/>
          </w:tcPr>
          <w:p w14:paraId="5E7F857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w:t>
            </w:r>
          </w:p>
        </w:tc>
        <w:tc>
          <w:tcPr>
            <w:tcW w:w="0" w:type="auto"/>
            <w:tcBorders>
              <w:top w:val="nil"/>
              <w:left w:val="nil"/>
              <w:bottom w:val="nil"/>
              <w:right w:val="nil"/>
            </w:tcBorders>
            <w:shd w:val="clear" w:color="auto" w:fill="auto"/>
            <w:noWrap/>
            <w:vAlign w:val="bottom"/>
            <w:hideMark/>
          </w:tcPr>
          <w:p w14:paraId="5D30BBF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3.7</w:t>
            </w:r>
          </w:p>
        </w:tc>
        <w:tc>
          <w:tcPr>
            <w:tcW w:w="0" w:type="auto"/>
            <w:tcBorders>
              <w:top w:val="nil"/>
              <w:left w:val="nil"/>
              <w:bottom w:val="nil"/>
              <w:right w:val="nil"/>
            </w:tcBorders>
            <w:shd w:val="clear" w:color="auto" w:fill="auto"/>
            <w:noWrap/>
            <w:vAlign w:val="bottom"/>
            <w:hideMark/>
          </w:tcPr>
          <w:p w14:paraId="31A8BFD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2.8</w:t>
            </w:r>
          </w:p>
        </w:tc>
        <w:tc>
          <w:tcPr>
            <w:tcW w:w="707" w:type="dxa"/>
            <w:tcBorders>
              <w:top w:val="nil"/>
              <w:left w:val="nil"/>
              <w:bottom w:val="nil"/>
              <w:right w:val="nil"/>
            </w:tcBorders>
            <w:shd w:val="clear" w:color="auto" w:fill="auto"/>
            <w:noWrap/>
            <w:vAlign w:val="bottom"/>
            <w:hideMark/>
          </w:tcPr>
          <w:p w14:paraId="31D54AC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4.6</w:t>
            </w:r>
          </w:p>
        </w:tc>
      </w:tr>
      <w:tr w:rsidR="0084302E" w:rsidRPr="000B52EF" w14:paraId="08877815" w14:textId="77777777" w:rsidTr="0084302E">
        <w:trPr>
          <w:trHeight w:val="300"/>
        </w:trPr>
        <w:tc>
          <w:tcPr>
            <w:tcW w:w="0" w:type="auto"/>
            <w:tcBorders>
              <w:top w:val="nil"/>
              <w:left w:val="nil"/>
              <w:bottom w:val="nil"/>
              <w:right w:val="nil"/>
            </w:tcBorders>
            <w:shd w:val="clear" w:color="auto" w:fill="auto"/>
            <w:noWrap/>
            <w:vAlign w:val="bottom"/>
            <w:hideMark/>
          </w:tcPr>
          <w:p w14:paraId="2F898CD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Lu</w:t>
            </w:r>
          </w:p>
        </w:tc>
        <w:tc>
          <w:tcPr>
            <w:tcW w:w="0" w:type="auto"/>
            <w:tcBorders>
              <w:top w:val="nil"/>
              <w:left w:val="nil"/>
              <w:bottom w:val="nil"/>
              <w:right w:val="nil"/>
            </w:tcBorders>
            <w:shd w:val="clear" w:color="auto" w:fill="auto"/>
            <w:noWrap/>
            <w:vAlign w:val="bottom"/>
            <w:hideMark/>
          </w:tcPr>
          <w:p w14:paraId="4AECB70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0.5</w:t>
            </w:r>
          </w:p>
        </w:tc>
        <w:tc>
          <w:tcPr>
            <w:tcW w:w="0" w:type="auto"/>
            <w:tcBorders>
              <w:top w:val="nil"/>
              <w:left w:val="nil"/>
              <w:bottom w:val="nil"/>
              <w:right w:val="nil"/>
            </w:tcBorders>
            <w:shd w:val="clear" w:color="auto" w:fill="auto"/>
            <w:noWrap/>
            <w:vAlign w:val="bottom"/>
            <w:hideMark/>
          </w:tcPr>
          <w:p w14:paraId="76362D6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0.5</w:t>
            </w:r>
          </w:p>
        </w:tc>
        <w:tc>
          <w:tcPr>
            <w:tcW w:w="0" w:type="auto"/>
            <w:tcBorders>
              <w:top w:val="nil"/>
              <w:left w:val="nil"/>
              <w:bottom w:val="nil"/>
              <w:right w:val="nil"/>
            </w:tcBorders>
            <w:shd w:val="clear" w:color="auto" w:fill="auto"/>
            <w:noWrap/>
            <w:vAlign w:val="bottom"/>
            <w:hideMark/>
          </w:tcPr>
          <w:p w14:paraId="1777D80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6BA74CB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0C3645C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192063C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0AA0736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4878136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0.5</w:t>
            </w:r>
          </w:p>
        </w:tc>
        <w:tc>
          <w:tcPr>
            <w:tcW w:w="0" w:type="auto"/>
            <w:tcBorders>
              <w:top w:val="nil"/>
              <w:left w:val="nil"/>
              <w:bottom w:val="nil"/>
              <w:right w:val="nil"/>
            </w:tcBorders>
            <w:shd w:val="clear" w:color="auto" w:fill="auto"/>
            <w:noWrap/>
            <w:vAlign w:val="bottom"/>
            <w:hideMark/>
          </w:tcPr>
          <w:p w14:paraId="418D403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0.5</w:t>
            </w:r>
          </w:p>
        </w:tc>
        <w:tc>
          <w:tcPr>
            <w:tcW w:w="0" w:type="auto"/>
            <w:tcBorders>
              <w:top w:val="nil"/>
              <w:left w:val="nil"/>
              <w:bottom w:val="nil"/>
              <w:right w:val="nil"/>
            </w:tcBorders>
            <w:shd w:val="clear" w:color="auto" w:fill="auto"/>
            <w:noWrap/>
            <w:vAlign w:val="bottom"/>
            <w:hideMark/>
          </w:tcPr>
          <w:p w14:paraId="62E56A1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707" w:type="dxa"/>
            <w:tcBorders>
              <w:top w:val="nil"/>
              <w:left w:val="nil"/>
              <w:bottom w:val="nil"/>
              <w:right w:val="nil"/>
            </w:tcBorders>
            <w:shd w:val="clear" w:color="auto" w:fill="auto"/>
            <w:noWrap/>
            <w:vAlign w:val="bottom"/>
            <w:hideMark/>
          </w:tcPr>
          <w:p w14:paraId="1624456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r>
      <w:tr w:rsidR="0084302E" w:rsidRPr="000B52EF" w14:paraId="14A5B45D" w14:textId="77777777" w:rsidTr="0084302E">
        <w:trPr>
          <w:trHeight w:val="300"/>
        </w:trPr>
        <w:tc>
          <w:tcPr>
            <w:tcW w:w="0" w:type="auto"/>
            <w:tcBorders>
              <w:top w:val="nil"/>
              <w:left w:val="nil"/>
              <w:bottom w:val="nil"/>
              <w:right w:val="nil"/>
            </w:tcBorders>
            <w:shd w:val="clear" w:color="auto" w:fill="auto"/>
            <w:noWrap/>
            <w:vAlign w:val="bottom"/>
            <w:hideMark/>
          </w:tcPr>
          <w:p w14:paraId="5016742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Hf</w:t>
            </w:r>
          </w:p>
        </w:tc>
        <w:tc>
          <w:tcPr>
            <w:tcW w:w="0" w:type="auto"/>
            <w:tcBorders>
              <w:top w:val="nil"/>
              <w:left w:val="nil"/>
              <w:bottom w:val="nil"/>
              <w:right w:val="nil"/>
            </w:tcBorders>
            <w:shd w:val="clear" w:color="auto" w:fill="auto"/>
            <w:noWrap/>
            <w:vAlign w:val="bottom"/>
            <w:hideMark/>
          </w:tcPr>
          <w:p w14:paraId="0873C52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2.0</w:t>
            </w:r>
          </w:p>
        </w:tc>
        <w:tc>
          <w:tcPr>
            <w:tcW w:w="0" w:type="auto"/>
            <w:tcBorders>
              <w:top w:val="nil"/>
              <w:left w:val="nil"/>
              <w:bottom w:val="nil"/>
              <w:right w:val="nil"/>
            </w:tcBorders>
            <w:shd w:val="clear" w:color="auto" w:fill="auto"/>
            <w:noWrap/>
            <w:vAlign w:val="bottom"/>
            <w:hideMark/>
          </w:tcPr>
          <w:p w14:paraId="5C603F9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1.4</w:t>
            </w:r>
          </w:p>
        </w:tc>
        <w:tc>
          <w:tcPr>
            <w:tcW w:w="0" w:type="auto"/>
            <w:tcBorders>
              <w:top w:val="nil"/>
              <w:left w:val="nil"/>
              <w:bottom w:val="nil"/>
              <w:right w:val="nil"/>
            </w:tcBorders>
            <w:shd w:val="clear" w:color="auto" w:fill="auto"/>
            <w:noWrap/>
            <w:vAlign w:val="bottom"/>
            <w:hideMark/>
          </w:tcPr>
          <w:p w14:paraId="73746170"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1.3</w:t>
            </w:r>
          </w:p>
        </w:tc>
        <w:tc>
          <w:tcPr>
            <w:tcW w:w="0" w:type="auto"/>
            <w:tcBorders>
              <w:top w:val="nil"/>
              <w:left w:val="nil"/>
              <w:bottom w:val="nil"/>
              <w:right w:val="nil"/>
            </w:tcBorders>
            <w:shd w:val="clear" w:color="auto" w:fill="auto"/>
            <w:noWrap/>
            <w:vAlign w:val="bottom"/>
            <w:hideMark/>
          </w:tcPr>
          <w:p w14:paraId="52CB00D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w:t>
            </w:r>
          </w:p>
        </w:tc>
        <w:tc>
          <w:tcPr>
            <w:tcW w:w="0" w:type="auto"/>
            <w:tcBorders>
              <w:top w:val="nil"/>
              <w:left w:val="nil"/>
              <w:bottom w:val="nil"/>
              <w:right w:val="nil"/>
            </w:tcBorders>
            <w:shd w:val="clear" w:color="auto" w:fill="auto"/>
            <w:noWrap/>
            <w:vAlign w:val="bottom"/>
            <w:hideMark/>
          </w:tcPr>
          <w:p w14:paraId="50ED362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w:t>
            </w:r>
          </w:p>
        </w:tc>
        <w:tc>
          <w:tcPr>
            <w:tcW w:w="0" w:type="auto"/>
            <w:tcBorders>
              <w:top w:val="nil"/>
              <w:left w:val="nil"/>
              <w:bottom w:val="nil"/>
              <w:right w:val="nil"/>
            </w:tcBorders>
            <w:shd w:val="clear" w:color="auto" w:fill="auto"/>
            <w:noWrap/>
            <w:vAlign w:val="bottom"/>
            <w:hideMark/>
          </w:tcPr>
          <w:p w14:paraId="3743CA3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2.3</w:t>
            </w:r>
          </w:p>
        </w:tc>
        <w:tc>
          <w:tcPr>
            <w:tcW w:w="0" w:type="auto"/>
            <w:tcBorders>
              <w:top w:val="nil"/>
              <w:left w:val="nil"/>
              <w:bottom w:val="nil"/>
              <w:right w:val="nil"/>
            </w:tcBorders>
            <w:shd w:val="clear" w:color="auto" w:fill="auto"/>
            <w:noWrap/>
            <w:vAlign w:val="bottom"/>
            <w:hideMark/>
          </w:tcPr>
          <w:p w14:paraId="3EB17B7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2.1</w:t>
            </w:r>
          </w:p>
        </w:tc>
        <w:tc>
          <w:tcPr>
            <w:tcW w:w="0" w:type="auto"/>
            <w:tcBorders>
              <w:top w:val="nil"/>
              <w:left w:val="nil"/>
              <w:bottom w:val="nil"/>
              <w:right w:val="nil"/>
            </w:tcBorders>
            <w:shd w:val="clear" w:color="auto" w:fill="auto"/>
            <w:noWrap/>
            <w:vAlign w:val="bottom"/>
            <w:hideMark/>
          </w:tcPr>
          <w:p w14:paraId="39DA7C1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w:t>
            </w:r>
          </w:p>
        </w:tc>
        <w:tc>
          <w:tcPr>
            <w:tcW w:w="0" w:type="auto"/>
            <w:tcBorders>
              <w:top w:val="nil"/>
              <w:left w:val="nil"/>
              <w:bottom w:val="nil"/>
              <w:right w:val="nil"/>
            </w:tcBorders>
            <w:shd w:val="clear" w:color="auto" w:fill="auto"/>
            <w:noWrap/>
            <w:vAlign w:val="bottom"/>
            <w:hideMark/>
          </w:tcPr>
          <w:p w14:paraId="0DD8565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3.0</w:t>
            </w:r>
          </w:p>
        </w:tc>
        <w:tc>
          <w:tcPr>
            <w:tcW w:w="0" w:type="auto"/>
            <w:tcBorders>
              <w:top w:val="nil"/>
              <w:left w:val="nil"/>
              <w:bottom w:val="nil"/>
              <w:right w:val="nil"/>
            </w:tcBorders>
            <w:shd w:val="clear" w:color="auto" w:fill="auto"/>
            <w:noWrap/>
            <w:vAlign w:val="bottom"/>
            <w:hideMark/>
          </w:tcPr>
          <w:p w14:paraId="3F75912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2.2</w:t>
            </w:r>
          </w:p>
        </w:tc>
        <w:tc>
          <w:tcPr>
            <w:tcW w:w="707" w:type="dxa"/>
            <w:tcBorders>
              <w:top w:val="nil"/>
              <w:left w:val="nil"/>
              <w:bottom w:val="nil"/>
              <w:right w:val="nil"/>
            </w:tcBorders>
            <w:shd w:val="clear" w:color="auto" w:fill="auto"/>
            <w:noWrap/>
            <w:vAlign w:val="bottom"/>
            <w:hideMark/>
          </w:tcPr>
          <w:p w14:paraId="1C4EC34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3.8</w:t>
            </w:r>
          </w:p>
        </w:tc>
      </w:tr>
      <w:tr w:rsidR="0084302E" w:rsidRPr="000B52EF" w14:paraId="09F47F88" w14:textId="77777777" w:rsidTr="0084302E">
        <w:trPr>
          <w:trHeight w:val="300"/>
        </w:trPr>
        <w:tc>
          <w:tcPr>
            <w:tcW w:w="0" w:type="auto"/>
            <w:tcBorders>
              <w:top w:val="nil"/>
              <w:left w:val="nil"/>
              <w:bottom w:val="nil"/>
              <w:right w:val="nil"/>
            </w:tcBorders>
            <w:shd w:val="clear" w:color="auto" w:fill="auto"/>
            <w:noWrap/>
            <w:vAlign w:val="bottom"/>
            <w:hideMark/>
          </w:tcPr>
          <w:p w14:paraId="3405112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Ta</w:t>
            </w:r>
          </w:p>
        </w:tc>
        <w:tc>
          <w:tcPr>
            <w:tcW w:w="0" w:type="auto"/>
            <w:tcBorders>
              <w:top w:val="nil"/>
              <w:left w:val="nil"/>
              <w:bottom w:val="nil"/>
              <w:right w:val="nil"/>
            </w:tcBorders>
            <w:shd w:val="clear" w:color="auto" w:fill="auto"/>
            <w:noWrap/>
            <w:vAlign w:val="bottom"/>
            <w:hideMark/>
          </w:tcPr>
          <w:p w14:paraId="416FD5F1"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7A6F510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nil"/>
              <w:right w:val="nil"/>
            </w:tcBorders>
            <w:shd w:val="clear" w:color="auto" w:fill="auto"/>
            <w:noWrap/>
            <w:vAlign w:val="bottom"/>
            <w:hideMark/>
          </w:tcPr>
          <w:p w14:paraId="1B8512A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nil"/>
              <w:right w:val="nil"/>
            </w:tcBorders>
            <w:shd w:val="clear" w:color="auto" w:fill="auto"/>
            <w:noWrap/>
            <w:vAlign w:val="bottom"/>
            <w:hideMark/>
          </w:tcPr>
          <w:p w14:paraId="5B2A3E1A"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7E9D61AE"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76B9422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3C2C9CD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16893AD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0.3</w:t>
            </w:r>
          </w:p>
        </w:tc>
        <w:tc>
          <w:tcPr>
            <w:tcW w:w="0" w:type="auto"/>
            <w:tcBorders>
              <w:top w:val="nil"/>
              <w:left w:val="nil"/>
              <w:bottom w:val="nil"/>
              <w:right w:val="nil"/>
            </w:tcBorders>
            <w:shd w:val="clear" w:color="auto" w:fill="auto"/>
            <w:noWrap/>
            <w:vAlign w:val="bottom"/>
            <w:hideMark/>
          </w:tcPr>
          <w:p w14:paraId="29A260E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0.3</w:t>
            </w:r>
          </w:p>
        </w:tc>
        <w:tc>
          <w:tcPr>
            <w:tcW w:w="0" w:type="auto"/>
            <w:tcBorders>
              <w:top w:val="nil"/>
              <w:left w:val="nil"/>
              <w:bottom w:val="nil"/>
              <w:right w:val="nil"/>
            </w:tcBorders>
            <w:shd w:val="clear" w:color="auto" w:fill="auto"/>
            <w:noWrap/>
            <w:vAlign w:val="bottom"/>
            <w:hideMark/>
          </w:tcPr>
          <w:p w14:paraId="556C7D3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707" w:type="dxa"/>
            <w:tcBorders>
              <w:top w:val="nil"/>
              <w:left w:val="nil"/>
              <w:bottom w:val="nil"/>
              <w:right w:val="nil"/>
            </w:tcBorders>
            <w:shd w:val="clear" w:color="auto" w:fill="auto"/>
            <w:noWrap/>
            <w:vAlign w:val="bottom"/>
            <w:hideMark/>
          </w:tcPr>
          <w:p w14:paraId="3E0CBE7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r>
      <w:tr w:rsidR="0084302E" w:rsidRPr="000B52EF" w14:paraId="0D6A14A1" w14:textId="77777777" w:rsidTr="0084302E">
        <w:trPr>
          <w:trHeight w:val="300"/>
        </w:trPr>
        <w:tc>
          <w:tcPr>
            <w:tcW w:w="0" w:type="auto"/>
            <w:tcBorders>
              <w:top w:val="nil"/>
              <w:left w:val="nil"/>
              <w:bottom w:val="nil"/>
              <w:right w:val="nil"/>
            </w:tcBorders>
            <w:shd w:val="clear" w:color="auto" w:fill="auto"/>
            <w:noWrap/>
            <w:vAlign w:val="bottom"/>
            <w:hideMark/>
          </w:tcPr>
          <w:p w14:paraId="03CD27C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Pb</w:t>
            </w:r>
          </w:p>
        </w:tc>
        <w:tc>
          <w:tcPr>
            <w:tcW w:w="0" w:type="auto"/>
            <w:tcBorders>
              <w:top w:val="nil"/>
              <w:left w:val="nil"/>
              <w:bottom w:val="nil"/>
              <w:right w:val="nil"/>
            </w:tcBorders>
            <w:shd w:val="clear" w:color="auto" w:fill="auto"/>
            <w:noWrap/>
            <w:vAlign w:val="bottom"/>
            <w:hideMark/>
          </w:tcPr>
          <w:p w14:paraId="707BA69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52B258D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1F06879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0.3</w:t>
            </w:r>
          </w:p>
        </w:tc>
        <w:tc>
          <w:tcPr>
            <w:tcW w:w="0" w:type="auto"/>
            <w:tcBorders>
              <w:top w:val="nil"/>
              <w:left w:val="nil"/>
              <w:bottom w:val="nil"/>
              <w:right w:val="nil"/>
            </w:tcBorders>
            <w:shd w:val="clear" w:color="auto" w:fill="auto"/>
            <w:noWrap/>
            <w:vAlign w:val="bottom"/>
            <w:hideMark/>
          </w:tcPr>
          <w:p w14:paraId="588BBB9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03A94C2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0.8</w:t>
            </w:r>
          </w:p>
        </w:tc>
        <w:tc>
          <w:tcPr>
            <w:tcW w:w="0" w:type="auto"/>
            <w:tcBorders>
              <w:top w:val="nil"/>
              <w:left w:val="nil"/>
              <w:bottom w:val="nil"/>
              <w:right w:val="nil"/>
            </w:tcBorders>
            <w:shd w:val="clear" w:color="auto" w:fill="auto"/>
            <w:noWrap/>
            <w:vAlign w:val="bottom"/>
            <w:hideMark/>
          </w:tcPr>
          <w:p w14:paraId="10DA5C84"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0.8</w:t>
            </w:r>
          </w:p>
        </w:tc>
        <w:tc>
          <w:tcPr>
            <w:tcW w:w="0" w:type="auto"/>
            <w:tcBorders>
              <w:top w:val="nil"/>
              <w:left w:val="nil"/>
              <w:bottom w:val="nil"/>
              <w:right w:val="nil"/>
            </w:tcBorders>
            <w:shd w:val="clear" w:color="auto" w:fill="auto"/>
            <w:noWrap/>
            <w:vAlign w:val="bottom"/>
            <w:hideMark/>
          </w:tcPr>
          <w:p w14:paraId="241BF53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0" w:type="auto"/>
            <w:tcBorders>
              <w:top w:val="nil"/>
              <w:left w:val="nil"/>
              <w:bottom w:val="nil"/>
              <w:right w:val="nil"/>
            </w:tcBorders>
            <w:shd w:val="clear" w:color="auto" w:fill="auto"/>
            <w:noWrap/>
            <w:vAlign w:val="bottom"/>
            <w:hideMark/>
          </w:tcPr>
          <w:p w14:paraId="5F9B20D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c>
          <w:tcPr>
            <w:tcW w:w="0" w:type="auto"/>
            <w:tcBorders>
              <w:top w:val="nil"/>
              <w:left w:val="nil"/>
              <w:bottom w:val="nil"/>
              <w:right w:val="nil"/>
            </w:tcBorders>
            <w:shd w:val="clear" w:color="auto" w:fill="auto"/>
            <w:noWrap/>
            <w:vAlign w:val="bottom"/>
            <w:hideMark/>
          </w:tcPr>
          <w:p w14:paraId="5D47941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c>
          <w:tcPr>
            <w:tcW w:w="0" w:type="auto"/>
            <w:tcBorders>
              <w:top w:val="nil"/>
              <w:left w:val="nil"/>
              <w:bottom w:val="nil"/>
              <w:right w:val="nil"/>
            </w:tcBorders>
            <w:shd w:val="clear" w:color="auto" w:fill="auto"/>
            <w:noWrap/>
            <w:vAlign w:val="bottom"/>
            <w:hideMark/>
          </w:tcPr>
          <w:p w14:paraId="1E0A560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0.7</w:t>
            </w:r>
          </w:p>
        </w:tc>
        <w:tc>
          <w:tcPr>
            <w:tcW w:w="707" w:type="dxa"/>
            <w:tcBorders>
              <w:top w:val="nil"/>
              <w:left w:val="nil"/>
              <w:bottom w:val="nil"/>
              <w:right w:val="nil"/>
            </w:tcBorders>
            <w:shd w:val="clear" w:color="auto" w:fill="auto"/>
            <w:noWrap/>
            <w:vAlign w:val="bottom"/>
            <w:hideMark/>
          </w:tcPr>
          <w:p w14:paraId="0D944D6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0.9</w:t>
            </w:r>
          </w:p>
        </w:tc>
      </w:tr>
      <w:tr w:rsidR="0084302E" w:rsidRPr="000B52EF" w14:paraId="45607F3C" w14:textId="77777777" w:rsidTr="0084302E">
        <w:trPr>
          <w:trHeight w:val="300"/>
        </w:trPr>
        <w:tc>
          <w:tcPr>
            <w:tcW w:w="0" w:type="auto"/>
            <w:tcBorders>
              <w:top w:val="nil"/>
              <w:left w:val="nil"/>
              <w:bottom w:val="nil"/>
              <w:right w:val="nil"/>
            </w:tcBorders>
            <w:shd w:val="clear" w:color="auto" w:fill="auto"/>
            <w:noWrap/>
            <w:vAlign w:val="bottom"/>
            <w:hideMark/>
          </w:tcPr>
          <w:p w14:paraId="39A61E69"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Th</w:t>
            </w:r>
          </w:p>
        </w:tc>
        <w:tc>
          <w:tcPr>
            <w:tcW w:w="0" w:type="auto"/>
            <w:tcBorders>
              <w:top w:val="nil"/>
              <w:left w:val="nil"/>
              <w:bottom w:val="nil"/>
              <w:right w:val="nil"/>
            </w:tcBorders>
            <w:shd w:val="clear" w:color="auto" w:fill="auto"/>
            <w:noWrap/>
            <w:vAlign w:val="bottom"/>
            <w:hideMark/>
          </w:tcPr>
          <w:p w14:paraId="34E9654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0.3</w:t>
            </w:r>
          </w:p>
        </w:tc>
        <w:tc>
          <w:tcPr>
            <w:tcW w:w="0" w:type="auto"/>
            <w:tcBorders>
              <w:top w:val="nil"/>
              <w:left w:val="nil"/>
              <w:bottom w:val="nil"/>
              <w:right w:val="nil"/>
            </w:tcBorders>
            <w:shd w:val="clear" w:color="auto" w:fill="auto"/>
            <w:noWrap/>
            <w:vAlign w:val="bottom"/>
            <w:hideMark/>
          </w:tcPr>
          <w:p w14:paraId="78DF4B6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nil"/>
              <w:right w:val="nil"/>
            </w:tcBorders>
            <w:shd w:val="clear" w:color="auto" w:fill="auto"/>
            <w:noWrap/>
            <w:vAlign w:val="bottom"/>
            <w:hideMark/>
          </w:tcPr>
          <w:p w14:paraId="295C9CD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nil"/>
              <w:right w:val="nil"/>
            </w:tcBorders>
            <w:shd w:val="clear" w:color="auto" w:fill="auto"/>
            <w:noWrap/>
            <w:vAlign w:val="bottom"/>
            <w:hideMark/>
          </w:tcPr>
          <w:p w14:paraId="60FA9A3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08FBC25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3D5C706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1E521576"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0" w:type="auto"/>
            <w:tcBorders>
              <w:top w:val="nil"/>
              <w:left w:val="nil"/>
              <w:bottom w:val="nil"/>
              <w:right w:val="nil"/>
            </w:tcBorders>
            <w:shd w:val="clear" w:color="auto" w:fill="auto"/>
            <w:noWrap/>
            <w:vAlign w:val="bottom"/>
            <w:hideMark/>
          </w:tcPr>
          <w:p w14:paraId="4E0E201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0.4</w:t>
            </w:r>
          </w:p>
        </w:tc>
        <w:tc>
          <w:tcPr>
            <w:tcW w:w="0" w:type="auto"/>
            <w:tcBorders>
              <w:top w:val="nil"/>
              <w:left w:val="nil"/>
              <w:bottom w:val="nil"/>
              <w:right w:val="nil"/>
            </w:tcBorders>
            <w:shd w:val="clear" w:color="auto" w:fill="auto"/>
            <w:noWrap/>
            <w:vAlign w:val="bottom"/>
            <w:hideMark/>
          </w:tcPr>
          <w:p w14:paraId="0EF2E6F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0.3</w:t>
            </w:r>
          </w:p>
        </w:tc>
        <w:tc>
          <w:tcPr>
            <w:tcW w:w="0" w:type="auto"/>
            <w:tcBorders>
              <w:top w:val="nil"/>
              <w:left w:val="nil"/>
              <w:bottom w:val="nil"/>
              <w:right w:val="nil"/>
            </w:tcBorders>
            <w:shd w:val="clear" w:color="auto" w:fill="auto"/>
            <w:noWrap/>
            <w:vAlign w:val="bottom"/>
            <w:hideMark/>
          </w:tcPr>
          <w:p w14:paraId="1793FAF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0.2</w:t>
            </w:r>
          </w:p>
        </w:tc>
        <w:tc>
          <w:tcPr>
            <w:tcW w:w="707" w:type="dxa"/>
            <w:tcBorders>
              <w:top w:val="nil"/>
              <w:left w:val="nil"/>
              <w:bottom w:val="nil"/>
              <w:right w:val="nil"/>
            </w:tcBorders>
            <w:shd w:val="clear" w:color="auto" w:fill="auto"/>
            <w:noWrap/>
            <w:vAlign w:val="bottom"/>
            <w:hideMark/>
          </w:tcPr>
          <w:p w14:paraId="23105A2F"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0.3</w:t>
            </w:r>
          </w:p>
        </w:tc>
      </w:tr>
      <w:tr w:rsidR="0084302E" w:rsidRPr="000B52EF" w14:paraId="1BA31004" w14:textId="77777777" w:rsidTr="0084302E">
        <w:trPr>
          <w:trHeight w:val="300"/>
        </w:trPr>
        <w:tc>
          <w:tcPr>
            <w:tcW w:w="0" w:type="auto"/>
            <w:tcBorders>
              <w:top w:val="nil"/>
              <w:left w:val="nil"/>
              <w:bottom w:val="single" w:sz="4" w:space="0" w:color="auto"/>
              <w:right w:val="nil"/>
            </w:tcBorders>
            <w:shd w:val="clear" w:color="auto" w:fill="auto"/>
            <w:noWrap/>
            <w:vAlign w:val="bottom"/>
            <w:hideMark/>
          </w:tcPr>
          <w:p w14:paraId="21FE098C"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U</w:t>
            </w:r>
          </w:p>
        </w:tc>
        <w:tc>
          <w:tcPr>
            <w:tcW w:w="0" w:type="auto"/>
            <w:tcBorders>
              <w:top w:val="nil"/>
              <w:left w:val="nil"/>
              <w:bottom w:val="single" w:sz="4" w:space="0" w:color="auto"/>
              <w:right w:val="nil"/>
            </w:tcBorders>
            <w:shd w:val="clear" w:color="auto" w:fill="auto"/>
            <w:noWrap/>
            <w:vAlign w:val="bottom"/>
            <w:hideMark/>
          </w:tcPr>
          <w:p w14:paraId="29C1172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single" w:sz="4" w:space="0" w:color="auto"/>
              <w:right w:val="nil"/>
            </w:tcBorders>
            <w:shd w:val="clear" w:color="auto" w:fill="auto"/>
            <w:noWrap/>
            <w:vAlign w:val="bottom"/>
            <w:hideMark/>
          </w:tcPr>
          <w:p w14:paraId="6FA1FE1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0.0</w:t>
            </w:r>
          </w:p>
        </w:tc>
        <w:tc>
          <w:tcPr>
            <w:tcW w:w="0" w:type="auto"/>
            <w:tcBorders>
              <w:top w:val="nil"/>
              <w:left w:val="nil"/>
              <w:bottom w:val="single" w:sz="4" w:space="0" w:color="auto"/>
              <w:right w:val="nil"/>
            </w:tcBorders>
            <w:shd w:val="clear" w:color="auto" w:fill="auto"/>
            <w:noWrap/>
            <w:vAlign w:val="bottom"/>
            <w:hideMark/>
          </w:tcPr>
          <w:p w14:paraId="349DD123"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0.0</w:t>
            </w:r>
          </w:p>
        </w:tc>
        <w:tc>
          <w:tcPr>
            <w:tcW w:w="0" w:type="auto"/>
            <w:tcBorders>
              <w:top w:val="nil"/>
              <w:left w:val="nil"/>
              <w:bottom w:val="single" w:sz="4" w:space="0" w:color="auto"/>
              <w:right w:val="nil"/>
            </w:tcBorders>
            <w:shd w:val="clear" w:color="auto" w:fill="auto"/>
            <w:noWrap/>
            <w:vAlign w:val="bottom"/>
            <w:hideMark/>
          </w:tcPr>
          <w:p w14:paraId="256CED4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single" w:sz="4" w:space="0" w:color="auto"/>
              <w:right w:val="nil"/>
            </w:tcBorders>
            <w:shd w:val="clear" w:color="auto" w:fill="auto"/>
            <w:noWrap/>
            <w:vAlign w:val="bottom"/>
            <w:hideMark/>
          </w:tcPr>
          <w:p w14:paraId="5ED7942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single" w:sz="4" w:space="0" w:color="auto"/>
              <w:right w:val="nil"/>
            </w:tcBorders>
            <w:shd w:val="clear" w:color="auto" w:fill="auto"/>
            <w:noWrap/>
            <w:vAlign w:val="bottom"/>
            <w:hideMark/>
          </w:tcPr>
          <w:p w14:paraId="0F5BBACB"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single" w:sz="4" w:space="0" w:color="auto"/>
              <w:right w:val="nil"/>
            </w:tcBorders>
            <w:shd w:val="clear" w:color="auto" w:fill="auto"/>
            <w:noWrap/>
            <w:vAlign w:val="bottom"/>
            <w:hideMark/>
          </w:tcPr>
          <w:p w14:paraId="4D19C5AD"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single" w:sz="4" w:space="0" w:color="auto"/>
              <w:right w:val="nil"/>
            </w:tcBorders>
            <w:shd w:val="clear" w:color="auto" w:fill="auto"/>
            <w:noWrap/>
            <w:vAlign w:val="bottom"/>
            <w:hideMark/>
          </w:tcPr>
          <w:p w14:paraId="70C16612"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single" w:sz="4" w:space="0" w:color="auto"/>
              <w:right w:val="nil"/>
            </w:tcBorders>
            <w:shd w:val="clear" w:color="auto" w:fill="auto"/>
            <w:noWrap/>
            <w:vAlign w:val="bottom"/>
            <w:hideMark/>
          </w:tcPr>
          <w:p w14:paraId="4675B3C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0" w:type="auto"/>
            <w:tcBorders>
              <w:top w:val="nil"/>
              <w:left w:val="nil"/>
              <w:bottom w:val="single" w:sz="4" w:space="0" w:color="auto"/>
              <w:right w:val="nil"/>
            </w:tcBorders>
            <w:shd w:val="clear" w:color="auto" w:fill="auto"/>
            <w:noWrap/>
            <w:vAlign w:val="bottom"/>
            <w:hideMark/>
          </w:tcPr>
          <w:p w14:paraId="2C7EC138"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c>
          <w:tcPr>
            <w:tcW w:w="707" w:type="dxa"/>
            <w:tcBorders>
              <w:top w:val="nil"/>
              <w:left w:val="nil"/>
              <w:bottom w:val="single" w:sz="4" w:space="0" w:color="auto"/>
              <w:right w:val="nil"/>
            </w:tcBorders>
            <w:shd w:val="clear" w:color="auto" w:fill="auto"/>
            <w:noWrap/>
            <w:vAlign w:val="bottom"/>
            <w:hideMark/>
          </w:tcPr>
          <w:p w14:paraId="15C758B7" w14:textId="77777777" w:rsidR="000B52EF" w:rsidRPr="0084302E" w:rsidRDefault="000B52EF" w:rsidP="000B52EF">
            <w:pPr>
              <w:jc w:val="center"/>
              <w:rPr>
                <w:rFonts w:eastAsia="Times New Roman"/>
                <w:sz w:val="18"/>
                <w:szCs w:val="18"/>
                <w:lang w:val="fr-FR" w:eastAsia="fr-FR"/>
              </w:rPr>
            </w:pPr>
            <w:r w:rsidRPr="0084302E">
              <w:rPr>
                <w:rFonts w:eastAsia="Times New Roman"/>
                <w:sz w:val="18"/>
                <w:szCs w:val="18"/>
                <w:lang w:val="fr-FR" w:eastAsia="fr-FR"/>
              </w:rPr>
              <w:t>0.1</w:t>
            </w:r>
          </w:p>
        </w:tc>
      </w:tr>
    </w:tbl>
    <w:p w14:paraId="5E64AC02" w14:textId="77777777" w:rsidR="0053730C" w:rsidRDefault="0053730C" w:rsidP="001565A8">
      <w:pPr>
        <w:spacing w:after="120"/>
        <w:jc w:val="both"/>
        <w:rPr>
          <w:sz w:val="24"/>
        </w:rPr>
      </w:pPr>
    </w:p>
    <w:p w14:paraId="56B742B1" w14:textId="026FF17F" w:rsidR="00FB1336" w:rsidRDefault="00FB1336" w:rsidP="001565A8">
      <w:pPr>
        <w:spacing w:after="120"/>
        <w:jc w:val="both"/>
        <w:rPr>
          <w:sz w:val="24"/>
        </w:rPr>
      </w:pPr>
    </w:p>
    <w:p w14:paraId="13DBF7BB" w14:textId="77777777" w:rsidR="00E137B3" w:rsidRDefault="00E137B3" w:rsidP="001565A8">
      <w:pPr>
        <w:spacing w:after="120"/>
        <w:jc w:val="both"/>
        <w:rPr>
          <w:sz w:val="24"/>
        </w:rPr>
      </w:pPr>
    </w:p>
    <w:p w14:paraId="78BB815E" w14:textId="0A974113" w:rsidR="00E137B3" w:rsidRDefault="00E137B3" w:rsidP="001565A8">
      <w:pPr>
        <w:spacing w:after="120"/>
        <w:jc w:val="both"/>
        <w:rPr>
          <w:sz w:val="24"/>
        </w:rPr>
      </w:pPr>
      <w:r>
        <w:rPr>
          <w:noProof/>
          <w:sz w:val="24"/>
          <w:lang w:val="en-GB" w:eastAsia="en-GB"/>
        </w:rPr>
        <w:lastRenderedPageBreak/>
        <w:drawing>
          <wp:inline distT="0" distB="0" distL="0" distR="0" wp14:anchorId="3DE89C9A" wp14:editId="366CE4EE">
            <wp:extent cx="5923280" cy="4734560"/>
            <wp:effectExtent l="0" t="0" r="0" b="0"/>
            <wp:docPr id="4" name="Image 4" descr="Sans titre:Users:MarinePaquet:Documents:PhD:Sujet Basaltes - Stage M2:Papiers:Majeurs &amp; Traces:Figures:Traces_basal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ans titre:Users:MarinePaquet:Documents:PhD:Sujet Basaltes - Stage M2:Papiers:Majeurs &amp; Traces:Figures:Traces_basaltes.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23280" cy="4734560"/>
                    </a:xfrm>
                    <a:prstGeom prst="rect">
                      <a:avLst/>
                    </a:prstGeom>
                    <a:noFill/>
                    <a:ln>
                      <a:noFill/>
                    </a:ln>
                  </pic:spPr>
                </pic:pic>
              </a:graphicData>
            </a:graphic>
          </wp:inline>
        </w:drawing>
      </w:r>
    </w:p>
    <w:p w14:paraId="4C5EFB71" w14:textId="56FB2CF7" w:rsidR="00E137B3" w:rsidRPr="00362D52" w:rsidRDefault="00E137B3" w:rsidP="001565A8">
      <w:pPr>
        <w:spacing w:after="120"/>
        <w:jc w:val="both"/>
        <w:rPr>
          <w:sz w:val="32"/>
          <w:szCs w:val="24"/>
        </w:rPr>
      </w:pPr>
      <w:proofErr w:type="gramStart"/>
      <w:r w:rsidRPr="00E137B3">
        <w:rPr>
          <w:b/>
          <w:sz w:val="24"/>
          <w:szCs w:val="24"/>
        </w:rPr>
        <w:t xml:space="preserve">Figure </w:t>
      </w:r>
      <w:r>
        <w:rPr>
          <w:b/>
          <w:sz w:val="24"/>
          <w:szCs w:val="24"/>
        </w:rPr>
        <w:t>4</w:t>
      </w:r>
      <w:r w:rsidRPr="00E137B3">
        <w:rPr>
          <w:sz w:val="24"/>
          <w:szCs w:val="24"/>
        </w:rPr>
        <w:t>.</w:t>
      </w:r>
      <w:proofErr w:type="gramEnd"/>
      <w:r w:rsidRPr="00E137B3">
        <w:rPr>
          <w:sz w:val="24"/>
          <w:szCs w:val="24"/>
        </w:rPr>
        <w:t xml:space="preserve"> </w:t>
      </w:r>
      <w:r w:rsidR="00362D52" w:rsidRPr="00362D52">
        <w:rPr>
          <w:b/>
          <w:sz w:val="24"/>
        </w:rPr>
        <w:t xml:space="preserve">(a) </w:t>
      </w:r>
      <w:r w:rsidR="00362D52" w:rsidRPr="00362D52">
        <w:rPr>
          <w:sz w:val="24"/>
        </w:rPr>
        <w:t>Chondrites-normalized Rare Earth Element (REE) diagram for basalts of the 61° to 67°E region of the Southwest Indian Ridge. Ultramafic seafloor basalts are colored by dredge as in map of Figure 1. Volcanic seafloor basalts (</w:t>
      </w:r>
      <w:r w:rsidR="006F164E">
        <w:rPr>
          <w:sz w:val="24"/>
        </w:rPr>
        <w:t>this</w:t>
      </w:r>
      <w:r w:rsidR="006F164E" w:rsidRPr="00362D52">
        <w:rPr>
          <w:sz w:val="24"/>
        </w:rPr>
        <w:t xml:space="preserve"> </w:t>
      </w:r>
      <w:r w:rsidR="00362D52" w:rsidRPr="00362D52">
        <w:rPr>
          <w:sz w:val="24"/>
        </w:rPr>
        <w:t>study, and Meyzen et al., 2003) are shown as thinner lines and green field. (Ce/Sm</w:t>
      </w:r>
      <w:proofErr w:type="gramStart"/>
      <w:r w:rsidR="00362D52" w:rsidRPr="00362D52">
        <w:rPr>
          <w:sz w:val="24"/>
        </w:rPr>
        <w:t>)</w:t>
      </w:r>
      <w:r w:rsidR="00362D52" w:rsidRPr="00362D52">
        <w:rPr>
          <w:sz w:val="24"/>
          <w:vertAlign w:val="subscript"/>
        </w:rPr>
        <w:t>n</w:t>
      </w:r>
      <w:proofErr w:type="gramEnd"/>
      <w:r w:rsidR="00362D52" w:rsidRPr="00362D52">
        <w:rPr>
          <w:sz w:val="24"/>
        </w:rPr>
        <w:t xml:space="preserve"> </w:t>
      </w:r>
      <w:r w:rsidR="00362D52" w:rsidRPr="00362D52">
        <w:rPr>
          <w:b/>
          <w:sz w:val="24"/>
        </w:rPr>
        <w:t>(b)</w:t>
      </w:r>
      <w:r w:rsidR="00362D52" w:rsidRPr="00362D52">
        <w:rPr>
          <w:sz w:val="24"/>
        </w:rPr>
        <w:t xml:space="preserve"> and (Sm/Yb)</w:t>
      </w:r>
      <w:r w:rsidR="00362D52" w:rsidRPr="00362D52">
        <w:rPr>
          <w:sz w:val="24"/>
          <w:vertAlign w:val="subscript"/>
        </w:rPr>
        <w:t>n</w:t>
      </w:r>
      <w:r w:rsidR="00362D52" w:rsidRPr="00362D52">
        <w:rPr>
          <w:sz w:val="24"/>
        </w:rPr>
        <w:t xml:space="preserve"> </w:t>
      </w:r>
      <w:r w:rsidR="00362D52" w:rsidRPr="00362D52">
        <w:rPr>
          <w:b/>
          <w:sz w:val="24"/>
        </w:rPr>
        <w:t>(c)</w:t>
      </w:r>
      <w:r w:rsidR="00362D52" w:rsidRPr="00362D52">
        <w:rPr>
          <w:sz w:val="24"/>
        </w:rPr>
        <w:t xml:space="preserve"> (normalized to chondrites) as a function of CaO/Al</w:t>
      </w:r>
      <w:r w:rsidR="00362D52" w:rsidRPr="00362D52">
        <w:rPr>
          <w:sz w:val="24"/>
          <w:vertAlign w:val="subscript"/>
        </w:rPr>
        <w:t>2</w:t>
      </w:r>
      <w:r w:rsidR="00362D52" w:rsidRPr="00362D52">
        <w:rPr>
          <w:sz w:val="24"/>
        </w:rPr>
        <w:t>O</w:t>
      </w:r>
      <w:r w:rsidR="00362D52" w:rsidRPr="00362D52">
        <w:rPr>
          <w:sz w:val="24"/>
          <w:vertAlign w:val="subscript"/>
        </w:rPr>
        <w:t>3</w:t>
      </w:r>
      <w:r w:rsidR="00362D52" w:rsidRPr="00362D52">
        <w:rPr>
          <w:sz w:val="24"/>
        </w:rPr>
        <w:t xml:space="preserve"> (same symbols as in Figure 3). </w:t>
      </w:r>
      <w:proofErr w:type="gramStart"/>
      <w:r w:rsidR="00362D52" w:rsidRPr="00362D52">
        <w:rPr>
          <w:sz w:val="24"/>
        </w:rPr>
        <w:t>Normalizing values from McDonough and Sun (1995).</w:t>
      </w:r>
      <w:proofErr w:type="gramEnd"/>
      <w:r w:rsidR="00362D52" w:rsidRPr="00362D52">
        <w:rPr>
          <w:rFonts w:ascii="Lucida Grande" w:hAnsi="Lucida Grande" w:cs="Lucida Grande"/>
          <w:color w:val="1A1718"/>
          <w:szCs w:val="16"/>
        </w:rPr>
        <w:t xml:space="preserve"> </w:t>
      </w:r>
      <w:r w:rsidR="00362D52" w:rsidRPr="00362D52">
        <w:rPr>
          <w:sz w:val="24"/>
        </w:rPr>
        <w:t>The open and green circles and the crosses are basalts from the SWIR and global mid-ocean ridge (MOR) system, as in Figure 3.</w:t>
      </w:r>
    </w:p>
    <w:p w14:paraId="0BC5942D" w14:textId="77777777" w:rsidR="00E137B3" w:rsidRPr="00022B05" w:rsidRDefault="00E137B3" w:rsidP="001565A8">
      <w:pPr>
        <w:spacing w:after="120"/>
        <w:jc w:val="both"/>
        <w:rPr>
          <w:sz w:val="24"/>
        </w:rPr>
      </w:pPr>
    </w:p>
    <w:p w14:paraId="5FECC056" w14:textId="7ACE4F36" w:rsidR="001565A8" w:rsidRPr="00022B05" w:rsidRDefault="001565A8" w:rsidP="001565A8">
      <w:pPr>
        <w:spacing w:after="120"/>
        <w:jc w:val="both"/>
        <w:rPr>
          <w:sz w:val="24"/>
        </w:rPr>
      </w:pPr>
      <w:r w:rsidRPr="00022B05">
        <w:rPr>
          <w:sz w:val="24"/>
        </w:rPr>
        <w:tab/>
        <w:t xml:space="preserve">A stricking characteristic of the 61°-67°E SWIR basalts, which was also reported by </w:t>
      </w:r>
      <w:r w:rsidR="005A7C9F" w:rsidRPr="00022B05">
        <w:rPr>
          <w:i/>
          <w:sz w:val="24"/>
        </w:rPr>
        <w:t>Meyzen et al.</w:t>
      </w:r>
      <w:r w:rsidR="005A7C9F" w:rsidRPr="00022B05">
        <w:rPr>
          <w:sz w:val="24"/>
        </w:rPr>
        <w:t xml:space="preserve"> [2003]</w:t>
      </w:r>
      <w:r w:rsidRPr="00022B05">
        <w:rPr>
          <w:sz w:val="24"/>
        </w:rPr>
        <w:t>, is that the flat to slightly enriched REE patterns are nearly parallel. They do not, therefore, show evidence for a progression from less to more LREE-depleted samples, as would be expected for a suite of melts derived from different degrees of partial melting. Instead, the most enriched patterns, with rock to chondrite ratios ≥ 25 for most REE (Figure 4a) also present distinctly negative Eu anomalies (Figure 4a), suggesting significant fractionation of plagioclase. Among basalts from the nearly amagmatic domains, this is the case for samples from dredges SMS24, SMS26 and SMS31. By contrast, REE patterns for samples from dredges SMS16 (including the sample that plots at lower MgO than the other 4 analyzed samples; Figure 3), SMS23, and SMS28 have lower rock to chondrite ratios, and no Eu anomaly (Figure 4a).</w:t>
      </w:r>
    </w:p>
    <w:p w14:paraId="0C7F9244" w14:textId="5E150771" w:rsidR="00216CD7" w:rsidRPr="00022B05" w:rsidRDefault="001565A8" w:rsidP="001565A8">
      <w:pPr>
        <w:spacing w:after="120"/>
        <w:jc w:val="both"/>
        <w:rPr>
          <w:sz w:val="24"/>
        </w:rPr>
      </w:pPr>
      <w:r w:rsidRPr="00022B05">
        <w:rPr>
          <w:sz w:val="24"/>
        </w:rPr>
        <w:lastRenderedPageBreak/>
        <w:tab/>
        <w:t xml:space="preserve">The trace element abundances for the </w:t>
      </w:r>
      <w:r w:rsidR="00567384" w:rsidRPr="00022B05">
        <w:rPr>
          <w:sz w:val="24"/>
        </w:rPr>
        <w:t>61°</w:t>
      </w:r>
      <w:r w:rsidRPr="00022B05">
        <w:rPr>
          <w:sz w:val="24"/>
        </w:rPr>
        <w:t>-67°E SWIR basalts show the expected depletion for Rb, Ba, Th, U, Nb, Ta and Pb compared to LREE, as these trace elements are more incompatible than LREE. Ultramafic and volcanic seafloor basalts have similar contents in Sr (between 116 and 260 ppm), Sc (between 29 and 39.4 ppm) and Zr (between 49.9 and 152.7 ppm). Moreover, we note that the compositions measured in basalt samples from a given dredge are in most cases homogeneous.</w:t>
      </w:r>
    </w:p>
    <w:p w14:paraId="1BE1F109" w14:textId="03BA51D2" w:rsidR="001565A8" w:rsidRPr="00022B05" w:rsidRDefault="00AD1274" w:rsidP="001565A8">
      <w:pPr>
        <w:pStyle w:val="Heading-Secondary"/>
      </w:pPr>
      <w:r>
        <w:t>4</w:t>
      </w:r>
      <w:r w:rsidR="001565A8" w:rsidRPr="00022B05">
        <w:t>.3 Isotopic signature</w:t>
      </w:r>
    </w:p>
    <w:p w14:paraId="737CF578" w14:textId="067662F5" w:rsidR="001565A8" w:rsidRDefault="001D4A1B" w:rsidP="001D4A1B">
      <w:pPr>
        <w:tabs>
          <w:tab w:val="left" w:pos="912"/>
        </w:tabs>
        <w:spacing w:after="120"/>
        <w:jc w:val="both"/>
        <w:rPr>
          <w:sz w:val="24"/>
        </w:rPr>
      </w:pPr>
      <w:r w:rsidRPr="00022B05">
        <w:rPr>
          <w:sz w:val="24"/>
          <w:szCs w:val="26"/>
        </w:rPr>
        <w:tab/>
      </w:r>
      <w:proofErr w:type="gramStart"/>
      <w:r w:rsidRPr="00022B05">
        <w:rPr>
          <w:sz w:val="24"/>
          <w:szCs w:val="26"/>
        </w:rPr>
        <w:t>Pb,</w:t>
      </w:r>
      <w:proofErr w:type="gramEnd"/>
      <w:r w:rsidRPr="00022B05">
        <w:rPr>
          <w:sz w:val="24"/>
          <w:szCs w:val="26"/>
        </w:rPr>
        <w:t xml:space="preserve"> </w:t>
      </w:r>
      <w:r w:rsidR="0080520D">
        <w:rPr>
          <w:sz w:val="24"/>
          <w:szCs w:val="26"/>
        </w:rPr>
        <w:t xml:space="preserve">and </w:t>
      </w:r>
      <w:r w:rsidRPr="00022B05">
        <w:rPr>
          <w:sz w:val="24"/>
          <w:szCs w:val="26"/>
        </w:rPr>
        <w:t xml:space="preserve">Nd isotopic data for basalts dredged in nearly amagmatic corridors (Table </w:t>
      </w:r>
      <w:r w:rsidR="00A22676">
        <w:rPr>
          <w:sz w:val="24"/>
          <w:szCs w:val="26"/>
        </w:rPr>
        <w:t>3</w:t>
      </w:r>
      <w:r w:rsidRPr="00022B05">
        <w:rPr>
          <w:sz w:val="24"/>
          <w:szCs w:val="26"/>
        </w:rPr>
        <w:t>) are</w:t>
      </w:r>
      <w:r w:rsidR="00AD1274">
        <w:rPr>
          <w:sz w:val="24"/>
          <w:szCs w:val="26"/>
        </w:rPr>
        <w:t xml:space="preserve"> r</w:t>
      </w:r>
      <w:r w:rsidR="00FD6D7F">
        <w:rPr>
          <w:sz w:val="24"/>
          <w:szCs w:val="26"/>
        </w:rPr>
        <w:t>anging from 17.69</w:t>
      </w:r>
      <w:r w:rsidR="00AD1274">
        <w:rPr>
          <w:sz w:val="24"/>
          <w:szCs w:val="26"/>
        </w:rPr>
        <w:t xml:space="preserve"> to</w:t>
      </w:r>
      <w:r w:rsidR="00FD6D7F">
        <w:rPr>
          <w:sz w:val="24"/>
          <w:szCs w:val="26"/>
        </w:rPr>
        <w:t xml:space="preserve"> 17.79</w:t>
      </w:r>
      <w:r w:rsidR="00AD1274">
        <w:rPr>
          <w:sz w:val="24"/>
          <w:szCs w:val="26"/>
        </w:rPr>
        <w:t xml:space="preserve"> for </w:t>
      </w:r>
      <w:r w:rsidR="00FD6D7F" w:rsidRPr="00FD6D7F">
        <w:rPr>
          <w:sz w:val="24"/>
          <w:szCs w:val="26"/>
          <w:vertAlign w:val="superscript"/>
        </w:rPr>
        <w:t>206</w:t>
      </w:r>
      <w:r w:rsidR="00AD1274">
        <w:rPr>
          <w:sz w:val="24"/>
          <w:szCs w:val="26"/>
        </w:rPr>
        <w:t>Pb</w:t>
      </w:r>
      <w:r w:rsidR="00FD6D7F">
        <w:rPr>
          <w:sz w:val="24"/>
          <w:szCs w:val="26"/>
        </w:rPr>
        <w:t>/</w:t>
      </w:r>
      <w:r w:rsidR="00FD6D7F" w:rsidRPr="00FD6D7F">
        <w:rPr>
          <w:sz w:val="24"/>
          <w:szCs w:val="26"/>
          <w:vertAlign w:val="superscript"/>
        </w:rPr>
        <w:t>204</w:t>
      </w:r>
      <w:r w:rsidR="00FD6D7F">
        <w:rPr>
          <w:sz w:val="24"/>
          <w:szCs w:val="26"/>
        </w:rPr>
        <w:t xml:space="preserve">Pb, from 15.44 and 15.45 for </w:t>
      </w:r>
      <w:r w:rsidR="00FD6D7F" w:rsidRPr="00FD6D7F">
        <w:rPr>
          <w:sz w:val="24"/>
          <w:szCs w:val="26"/>
          <w:vertAlign w:val="superscript"/>
        </w:rPr>
        <w:t>207</w:t>
      </w:r>
      <w:r w:rsidR="00FD6D7F">
        <w:rPr>
          <w:sz w:val="24"/>
          <w:szCs w:val="26"/>
        </w:rPr>
        <w:t>Pb/</w:t>
      </w:r>
      <w:r w:rsidR="00FD6D7F" w:rsidRPr="00FD6D7F">
        <w:rPr>
          <w:sz w:val="24"/>
          <w:szCs w:val="26"/>
          <w:vertAlign w:val="superscript"/>
        </w:rPr>
        <w:t>204</w:t>
      </w:r>
      <w:r w:rsidR="00FD6D7F">
        <w:rPr>
          <w:sz w:val="24"/>
          <w:szCs w:val="26"/>
        </w:rPr>
        <w:t xml:space="preserve">Pb, from 37.5 and 37.59 for </w:t>
      </w:r>
      <w:r w:rsidR="00FD6D7F" w:rsidRPr="00FD6D7F">
        <w:rPr>
          <w:sz w:val="24"/>
          <w:szCs w:val="26"/>
          <w:vertAlign w:val="superscript"/>
        </w:rPr>
        <w:t>208</w:t>
      </w:r>
      <w:r w:rsidR="00FD6D7F">
        <w:rPr>
          <w:sz w:val="24"/>
          <w:szCs w:val="26"/>
        </w:rPr>
        <w:t>Pb/</w:t>
      </w:r>
      <w:r w:rsidR="00FD6D7F" w:rsidRPr="00FD6D7F">
        <w:rPr>
          <w:sz w:val="24"/>
          <w:szCs w:val="26"/>
          <w:vertAlign w:val="superscript"/>
        </w:rPr>
        <w:t>204</w:t>
      </w:r>
      <w:r w:rsidR="00FD6D7F">
        <w:rPr>
          <w:sz w:val="24"/>
          <w:szCs w:val="26"/>
        </w:rPr>
        <w:t>Pb,</w:t>
      </w:r>
      <w:r w:rsidR="00AD1274">
        <w:rPr>
          <w:sz w:val="24"/>
          <w:szCs w:val="26"/>
        </w:rPr>
        <w:t xml:space="preserve"> and </w:t>
      </w:r>
      <w:r w:rsidR="00FD6D7F">
        <w:rPr>
          <w:sz w:val="24"/>
          <w:szCs w:val="26"/>
        </w:rPr>
        <w:t>from 0.513082 to 0.513098</w:t>
      </w:r>
      <w:r w:rsidR="00AD1274">
        <w:rPr>
          <w:sz w:val="24"/>
          <w:szCs w:val="26"/>
        </w:rPr>
        <w:t xml:space="preserve"> for </w:t>
      </w:r>
      <w:r w:rsidR="00FD6D7F" w:rsidRPr="00FD6D7F">
        <w:rPr>
          <w:sz w:val="24"/>
          <w:szCs w:val="26"/>
          <w:vertAlign w:val="superscript"/>
        </w:rPr>
        <w:t>143</w:t>
      </w:r>
      <w:r w:rsidR="00AD1274">
        <w:rPr>
          <w:sz w:val="24"/>
          <w:szCs w:val="26"/>
        </w:rPr>
        <w:t>Nd</w:t>
      </w:r>
      <w:r w:rsidR="00FD6D7F">
        <w:rPr>
          <w:sz w:val="24"/>
          <w:szCs w:val="26"/>
        </w:rPr>
        <w:t>/</w:t>
      </w:r>
      <w:r w:rsidR="00FD6D7F" w:rsidRPr="00FD6D7F">
        <w:rPr>
          <w:sz w:val="24"/>
          <w:szCs w:val="26"/>
          <w:vertAlign w:val="superscript"/>
        </w:rPr>
        <w:t>144</w:t>
      </w:r>
      <w:r w:rsidR="00FD6D7F">
        <w:rPr>
          <w:sz w:val="24"/>
          <w:szCs w:val="26"/>
        </w:rPr>
        <w:t>Nd</w:t>
      </w:r>
      <w:r w:rsidR="00AD1274">
        <w:rPr>
          <w:sz w:val="24"/>
          <w:szCs w:val="26"/>
        </w:rPr>
        <w:t>,</w:t>
      </w:r>
      <w:r w:rsidRPr="00022B05">
        <w:rPr>
          <w:sz w:val="24"/>
          <w:szCs w:val="26"/>
        </w:rPr>
        <w:t xml:space="preserve"> </w:t>
      </w:r>
      <w:r w:rsidRPr="00022B05">
        <w:rPr>
          <w:sz w:val="24"/>
        </w:rPr>
        <w:t xml:space="preserve">similar to the isotopic compositions reported by </w:t>
      </w:r>
      <w:r w:rsidR="00DE47B6" w:rsidRPr="00022B05">
        <w:rPr>
          <w:i/>
          <w:sz w:val="24"/>
        </w:rPr>
        <w:t>Meyzen et al.</w:t>
      </w:r>
      <w:r w:rsidR="00DE47B6" w:rsidRPr="00022B05">
        <w:rPr>
          <w:sz w:val="24"/>
        </w:rPr>
        <w:t xml:space="preserve"> [2005] </w:t>
      </w:r>
      <w:r w:rsidRPr="00022B05">
        <w:rPr>
          <w:sz w:val="24"/>
        </w:rPr>
        <w:t>for volcanic seafloor basalts.</w:t>
      </w:r>
    </w:p>
    <w:p w14:paraId="26A00E4C" w14:textId="054CBE6F" w:rsidR="00A22676" w:rsidRDefault="00A22676" w:rsidP="00A22676">
      <w:pPr>
        <w:pStyle w:val="FigureorTableCaption"/>
        <w:rPr>
          <w:color w:val="000000"/>
        </w:rPr>
      </w:pPr>
      <w:proofErr w:type="gramStart"/>
      <w:r w:rsidRPr="00022B05">
        <w:rPr>
          <w:b/>
        </w:rPr>
        <w:t xml:space="preserve">Table </w:t>
      </w:r>
      <w:r>
        <w:rPr>
          <w:b/>
        </w:rPr>
        <w:t>3</w:t>
      </w:r>
      <w:r w:rsidRPr="00022B05">
        <w:rPr>
          <w:b/>
        </w:rPr>
        <w:t>.</w:t>
      </w:r>
      <w:proofErr w:type="gramEnd"/>
      <w:r w:rsidRPr="00022B05">
        <w:t xml:space="preserve"> </w:t>
      </w:r>
      <w:proofErr w:type="gramStart"/>
      <w:r>
        <w:rPr>
          <w:color w:val="000000"/>
        </w:rPr>
        <w:t>Isotopic</w:t>
      </w:r>
      <w:r w:rsidRPr="00FB1336">
        <w:rPr>
          <w:color w:val="000000"/>
        </w:rPr>
        <w:t xml:space="preserve"> compositions of representative</w:t>
      </w:r>
      <w:r w:rsidR="000B52EF">
        <w:rPr>
          <w:color w:val="000000"/>
        </w:rPr>
        <w:t xml:space="preserve"> on-axis</w:t>
      </w:r>
      <w:r w:rsidRPr="00FB1336">
        <w:rPr>
          <w:color w:val="000000"/>
        </w:rPr>
        <w:t xml:space="preserve"> ultramafic and volcanic seafloor basalts</w:t>
      </w:r>
      <w:r w:rsidR="000A39B6">
        <w:rPr>
          <w:color w:val="000000"/>
        </w:rPr>
        <w:t>.</w:t>
      </w:r>
      <w:proofErr w:type="gramEnd"/>
    </w:p>
    <w:tbl>
      <w:tblPr>
        <w:tblW w:w="5000" w:type="pct"/>
        <w:tblCellMar>
          <w:left w:w="70" w:type="dxa"/>
          <w:right w:w="70" w:type="dxa"/>
        </w:tblCellMar>
        <w:tblLook w:val="04A0" w:firstRow="1" w:lastRow="0" w:firstColumn="1" w:lastColumn="0" w:noHBand="0" w:noVBand="1"/>
      </w:tblPr>
      <w:tblGrid>
        <w:gridCol w:w="1594"/>
        <w:gridCol w:w="1155"/>
        <w:gridCol w:w="952"/>
        <w:gridCol w:w="1087"/>
        <w:gridCol w:w="846"/>
        <w:gridCol w:w="1087"/>
        <w:gridCol w:w="846"/>
        <w:gridCol w:w="1087"/>
        <w:gridCol w:w="846"/>
      </w:tblGrid>
      <w:tr w:rsidR="000B52EF" w:rsidRPr="007D5574" w14:paraId="17563A65" w14:textId="77777777" w:rsidTr="00BC0115">
        <w:trPr>
          <w:trHeight w:val="300"/>
        </w:trPr>
        <w:tc>
          <w:tcPr>
            <w:tcW w:w="839" w:type="pct"/>
            <w:tcBorders>
              <w:top w:val="single" w:sz="4" w:space="0" w:color="auto"/>
              <w:left w:val="nil"/>
              <w:bottom w:val="single" w:sz="4" w:space="0" w:color="auto"/>
              <w:right w:val="nil"/>
            </w:tcBorders>
            <w:shd w:val="clear" w:color="auto" w:fill="auto"/>
            <w:vAlign w:val="center"/>
            <w:hideMark/>
          </w:tcPr>
          <w:p w14:paraId="23CAB7A2"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Sample</w:t>
            </w:r>
          </w:p>
        </w:tc>
        <w:tc>
          <w:tcPr>
            <w:tcW w:w="608" w:type="pct"/>
            <w:tcBorders>
              <w:top w:val="single" w:sz="4" w:space="0" w:color="auto"/>
              <w:left w:val="nil"/>
              <w:bottom w:val="single" w:sz="4" w:space="0" w:color="auto"/>
              <w:right w:val="nil"/>
            </w:tcBorders>
            <w:shd w:val="clear" w:color="auto" w:fill="auto"/>
            <w:noWrap/>
            <w:vAlign w:val="center"/>
            <w:hideMark/>
          </w:tcPr>
          <w:p w14:paraId="756193FF"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vertAlign w:val="superscript"/>
                <w:lang w:val="fr-FR" w:eastAsia="fr-FR"/>
              </w:rPr>
              <w:t>143</w:t>
            </w:r>
            <w:r w:rsidRPr="007D5574">
              <w:rPr>
                <w:rFonts w:eastAsia="Times New Roman"/>
                <w:sz w:val="18"/>
                <w:szCs w:val="18"/>
                <w:lang w:val="fr-FR" w:eastAsia="fr-FR"/>
              </w:rPr>
              <w:t>Nd/</w:t>
            </w:r>
            <w:r w:rsidRPr="007D5574">
              <w:rPr>
                <w:rFonts w:eastAsia="Times New Roman"/>
                <w:sz w:val="18"/>
                <w:szCs w:val="18"/>
                <w:vertAlign w:val="superscript"/>
                <w:lang w:val="fr-FR" w:eastAsia="fr-FR"/>
              </w:rPr>
              <w:t>144</w:t>
            </w:r>
            <w:r w:rsidRPr="007D5574">
              <w:rPr>
                <w:rFonts w:eastAsia="Times New Roman"/>
                <w:sz w:val="18"/>
                <w:szCs w:val="18"/>
                <w:lang w:val="fr-FR" w:eastAsia="fr-FR"/>
              </w:rPr>
              <w:t>Nd</w:t>
            </w:r>
          </w:p>
        </w:tc>
        <w:tc>
          <w:tcPr>
            <w:tcW w:w="501" w:type="pct"/>
            <w:tcBorders>
              <w:top w:val="single" w:sz="4" w:space="0" w:color="auto"/>
              <w:left w:val="nil"/>
              <w:bottom w:val="single" w:sz="4" w:space="0" w:color="auto"/>
              <w:right w:val="nil"/>
            </w:tcBorders>
            <w:shd w:val="clear" w:color="auto" w:fill="auto"/>
            <w:noWrap/>
            <w:vAlign w:val="center"/>
            <w:hideMark/>
          </w:tcPr>
          <w:p w14:paraId="3B77A615"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2σ</w:t>
            </w:r>
          </w:p>
        </w:tc>
        <w:tc>
          <w:tcPr>
            <w:tcW w:w="572" w:type="pct"/>
            <w:tcBorders>
              <w:top w:val="single" w:sz="4" w:space="0" w:color="auto"/>
              <w:left w:val="nil"/>
              <w:bottom w:val="single" w:sz="4" w:space="0" w:color="auto"/>
              <w:right w:val="nil"/>
            </w:tcBorders>
            <w:shd w:val="clear" w:color="auto" w:fill="auto"/>
            <w:noWrap/>
            <w:vAlign w:val="center"/>
            <w:hideMark/>
          </w:tcPr>
          <w:p w14:paraId="782B44A0"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vertAlign w:val="superscript"/>
                <w:lang w:val="fr-FR" w:eastAsia="fr-FR"/>
              </w:rPr>
              <w:t>206</w:t>
            </w:r>
            <w:r w:rsidRPr="007D5574">
              <w:rPr>
                <w:rFonts w:eastAsia="Times New Roman"/>
                <w:sz w:val="18"/>
                <w:szCs w:val="18"/>
                <w:lang w:val="fr-FR" w:eastAsia="fr-FR"/>
              </w:rPr>
              <w:t>Pb/</w:t>
            </w:r>
            <w:r w:rsidRPr="007D5574">
              <w:rPr>
                <w:rFonts w:eastAsia="Times New Roman"/>
                <w:sz w:val="18"/>
                <w:szCs w:val="18"/>
                <w:vertAlign w:val="superscript"/>
                <w:lang w:val="fr-FR" w:eastAsia="fr-FR"/>
              </w:rPr>
              <w:t>204</w:t>
            </w:r>
            <w:r w:rsidRPr="007D5574">
              <w:rPr>
                <w:rFonts w:eastAsia="Times New Roman"/>
                <w:sz w:val="18"/>
                <w:szCs w:val="18"/>
                <w:lang w:val="fr-FR" w:eastAsia="fr-FR"/>
              </w:rPr>
              <w:t>Pb</w:t>
            </w:r>
          </w:p>
        </w:tc>
        <w:tc>
          <w:tcPr>
            <w:tcW w:w="445" w:type="pct"/>
            <w:tcBorders>
              <w:top w:val="single" w:sz="4" w:space="0" w:color="auto"/>
              <w:left w:val="nil"/>
              <w:bottom w:val="single" w:sz="4" w:space="0" w:color="auto"/>
              <w:right w:val="nil"/>
            </w:tcBorders>
            <w:shd w:val="clear" w:color="auto" w:fill="auto"/>
            <w:noWrap/>
            <w:vAlign w:val="center"/>
            <w:hideMark/>
          </w:tcPr>
          <w:p w14:paraId="2EF49587"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2σ</w:t>
            </w:r>
          </w:p>
        </w:tc>
        <w:tc>
          <w:tcPr>
            <w:tcW w:w="572" w:type="pct"/>
            <w:tcBorders>
              <w:top w:val="single" w:sz="4" w:space="0" w:color="auto"/>
              <w:left w:val="nil"/>
              <w:bottom w:val="single" w:sz="4" w:space="0" w:color="auto"/>
              <w:right w:val="nil"/>
            </w:tcBorders>
            <w:shd w:val="clear" w:color="auto" w:fill="auto"/>
            <w:noWrap/>
            <w:vAlign w:val="center"/>
            <w:hideMark/>
          </w:tcPr>
          <w:p w14:paraId="781928FE"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vertAlign w:val="superscript"/>
                <w:lang w:val="fr-FR" w:eastAsia="fr-FR"/>
              </w:rPr>
              <w:t>207</w:t>
            </w:r>
            <w:r w:rsidRPr="007D5574">
              <w:rPr>
                <w:rFonts w:eastAsia="Times New Roman"/>
                <w:sz w:val="18"/>
                <w:szCs w:val="18"/>
                <w:lang w:val="fr-FR" w:eastAsia="fr-FR"/>
              </w:rPr>
              <w:t>Pb/</w:t>
            </w:r>
            <w:r w:rsidRPr="007D5574">
              <w:rPr>
                <w:rFonts w:eastAsia="Times New Roman"/>
                <w:sz w:val="18"/>
                <w:szCs w:val="18"/>
                <w:vertAlign w:val="superscript"/>
                <w:lang w:val="fr-FR" w:eastAsia="fr-FR"/>
              </w:rPr>
              <w:t>204</w:t>
            </w:r>
            <w:r w:rsidRPr="007D5574">
              <w:rPr>
                <w:rFonts w:eastAsia="Times New Roman"/>
                <w:sz w:val="18"/>
                <w:szCs w:val="18"/>
                <w:lang w:val="fr-FR" w:eastAsia="fr-FR"/>
              </w:rPr>
              <w:t>Pb</w:t>
            </w:r>
          </w:p>
        </w:tc>
        <w:tc>
          <w:tcPr>
            <w:tcW w:w="445" w:type="pct"/>
            <w:tcBorders>
              <w:top w:val="single" w:sz="4" w:space="0" w:color="auto"/>
              <w:left w:val="nil"/>
              <w:bottom w:val="single" w:sz="4" w:space="0" w:color="auto"/>
              <w:right w:val="nil"/>
            </w:tcBorders>
            <w:shd w:val="clear" w:color="auto" w:fill="auto"/>
            <w:noWrap/>
            <w:vAlign w:val="center"/>
            <w:hideMark/>
          </w:tcPr>
          <w:p w14:paraId="78468704"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2σ</w:t>
            </w:r>
          </w:p>
        </w:tc>
        <w:tc>
          <w:tcPr>
            <w:tcW w:w="572" w:type="pct"/>
            <w:tcBorders>
              <w:top w:val="single" w:sz="4" w:space="0" w:color="auto"/>
              <w:left w:val="nil"/>
              <w:bottom w:val="single" w:sz="4" w:space="0" w:color="auto"/>
              <w:right w:val="nil"/>
            </w:tcBorders>
            <w:shd w:val="clear" w:color="auto" w:fill="auto"/>
            <w:noWrap/>
            <w:vAlign w:val="center"/>
            <w:hideMark/>
          </w:tcPr>
          <w:p w14:paraId="44B69046"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vertAlign w:val="superscript"/>
                <w:lang w:val="fr-FR" w:eastAsia="fr-FR"/>
              </w:rPr>
              <w:t>208</w:t>
            </w:r>
            <w:r w:rsidRPr="007D5574">
              <w:rPr>
                <w:rFonts w:eastAsia="Times New Roman"/>
                <w:sz w:val="18"/>
                <w:szCs w:val="18"/>
                <w:lang w:val="fr-FR" w:eastAsia="fr-FR"/>
              </w:rPr>
              <w:t>Pb/</w:t>
            </w:r>
            <w:r w:rsidRPr="007D5574">
              <w:rPr>
                <w:rFonts w:eastAsia="Times New Roman"/>
                <w:sz w:val="18"/>
                <w:szCs w:val="18"/>
                <w:vertAlign w:val="superscript"/>
                <w:lang w:val="fr-FR" w:eastAsia="fr-FR"/>
              </w:rPr>
              <w:t>204</w:t>
            </w:r>
            <w:r w:rsidRPr="007D5574">
              <w:rPr>
                <w:rFonts w:eastAsia="Times New Roman"/>
                <w:sz w:val="18"/>
                <w:szCs w:val="18"/>
                <w:lang w:val="fr-FR" w:eastAsia="fr-FR"/>
              </w:rPr>
              <w:t>Pb</w:t>
            </w:r>
          </w:p>
        </w:tc>
        <w:tc>
          <w:tcPr>
            <w:tcW w:w="445" w:type="pct"/>
            <w:tcBorders>
              <w:top w:val="single" w:sz="4" w:space="0" w:color="auto"/>
              <w:left w:val="nil"/>
              <w:bottom w:val="single" w:sz="4" w:space="0" w:color="auto"/>
              <w:right w:val="nil"/>
            </w:tcBorders>
            <w:shd w:val="clear" w:color="auto" w:fill="auto"/>
            <w:noWrap/>
            <w:vAlign w:val="center"/>
            <w:hideMark/>
          </w:tcPr>
          <w:p w14:paraId="2AC9B5F5"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2σ</w:t>
            </w:r>
          </w:p>
        </w:tc>
      </w:tr>
      <w:tr w:rsidR="000B52EF" w:rsidRPr="007D5574" w14:paraId="42DA7B11" w14:textId="77777777" w:rsidTr="00BC0115">
        <w:trPr>
          <w:trHeight w:val="300"/>
        </w:trPr>
        <w:tc>
          <w:tcPr>
            <w:tcW w:w="839" w:type="pct"/>
            <w:tcBorders>
              <w:top w:val="nil"/>
              <w:left w:val="nil"/>
              <w:bottom w:val="nil"/>
              <w:right w:val="nil"/>
            </w:tcBorders>
            <w:shd w:val="clear" w:color="auto" w:fill="auto"/>
            <w:noWrap/>
            <w:vAlign w:val="center"/>
            <w:hideMark/>
          </w:tcPr>
          <w:p w14:paraId="620AE59E"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ED DR8-1-2</w:t>
            </w:r>
          </w:p>
        </w:tc>
        <w:tc>
          <w:tcPr>
            <w:tcW w:w="608" w:type="pct"/>
            <w:tcBorders>
              <w:top w:val="nil"/>
              <w:left w:val="nil"/>
              <w:bottom w:val="nil"/>
              <w:right w:val="nil"/>
            </w:tcBorders>
            <w:shd w:val="clear" w:color="auto" w:fill="auto"/>
            <w:noWrap/>
            <w:vAlign w:val="center"/>
            <w:hideMark/>
          </w:tcPr>
          <w:p w14:paraId="3E9995FF"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0.513039</w:t>
            </w:r>
          </w:p>
        </w:tc>
        <w:tc>
          <w:tcPr>
            <w:tcW w:w="501" w:type="pct"/>
            <w:tcBorders>
              <w:top w:val="nil"/>
              <w:left w:val="nil"/>
              <w:bottom w:val="nil"/>
              <w:right w:val="nil"/>
            </w:tcBorders>
            <w:shd w:val="clear" w:color="auto" w:fill="auto"/>
            <w:noWrap/>
            <w:vAlign w:val="center"/>
            <w:hideMark/>
          </w:tcPr>
          <w:p w14:paraId="251C1F32"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0.000005</w:t>
            </w:r>
          </w:p>
        </w:tc>
        <w:tc>
          <w:tcPr>
            <w:tcW w:w="572" w:type="pct"/>
            <w:tcBorders>
              <w:top w:val="nil"/>
              <w:left w:val="nil"/>
              <w:bottom w:val="nil"/>
              <w:right w:val="nil"/>
            </w:tcBorders>
            <w:shd w:val="clear" w:color="auto" w:fill="auto"/>
            <w:noWrap/>
            <w:vAlign w:val="center"/>
            <w:hideMark/>
          </w:tcPr>
          <w:p w14:paraId="42E5868C"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17.78</w:t>
            </w:r>
          </w:p>
        </w:tc>
        <w:tc>
          <w:tcPr>
            <w:tcW w:w="445" w:type="pct"/>
            <w:tcBorders>
              <w:top w:val="nil"/>
              <w:left w:val="nil"/>
              <w:bottom w:val="nil"/>
              <w:right w:val="nil"/>
            </w:tcBorders>
            <w:shd w:val="clear" w:color="auto" w:fill="auto"/>
            <w:noWrap/>
            <w:vAlign w:val="center"/>
            <w:hideMark/>
          </w:tcPr>
          <w:p w14:paraId="7A678A56"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0.00050</w:t>
            </w:r>
          </w:p>
        </w:tc>
        <w:tc>
          <w:tcPr>
            <w:tcW w:w="572" w:type="pct"/>
            <w:tcBorders>
              <w:top w:val="nil"/>
              <w:left w:val="nil"/>
              <w:bottom w:val="nil"/>
              <w:right w:val="nil"/>
            </w:tcBorders>
            <w:shd w:val="clear" w:color="auto" w:fill="auto"/>
            <w:noWrap/>
            <w:vAlign w:val="center"/>
            <w:hideMark/>
          </w:tcPr>
          <w:p w14:paraId="71331181"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15.45</w:t>
            </w:r>
          </w:p>
        </w:tc>
        <w:tc>
          <w:tcPr>
            <w:tcW w:w="445" w:type="pct"/>
            <w:tcBorders>
              <w:top w:val="nil"/>
              <w:left w:val="nil"/>
              <w:bottom w:val="nil"/>
              <w:right w:val="nil"/>
            </w:tcBorders>
            <w:shd w:val="clear" w:color="auto" w:fill="auto"/>
            <w:noWrap/>
            <w:vAlign w:val="center"/>
            <w:hideMark/>
          </w:tcPr>
          <w:p w14:paraId="4F338344"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0.00044</w:t>
            </w:r>
          </w:p>
        </w:tc>
        <w:tc>
          <w:tcPr>
            <w:tcW w:w="572" w:type="pct"/>
            <w:tcBorders>
              <w:top w:val="nil"/>
              <w:left w:val="nil"/>
              <w:bottom w:val="nil"/>
              <w:right w:val="nil"/>
            </w:tcBorders>
            <w:shd w:val="clear" w:color="auto" w:fill="auto"/>
            <w:noWrap/>
            <w:vAlign w:val="center"/>
            <w:hideMark/>
          </w:tcPr>
          <w:p w14:paraId="063F95DB"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37.71</w:t>
            </w:r>
          </w:p>
        </w:tc>
        <w:tc>
          <w:tcPr>
            <w:tcW w:w="445" w:type="pct"/>
            <w:tcBorders>
              <w:top w:val="nil"/>
              <w:left w:val="nil"/>
              <w:bottom w:val="nil"/>
              <w:right w:val="nil"/>
            </w:tcBorders>
            <w:shd w:val="clear" w:color="auto" w:fill="auto"/>
            <w:noWrap/>
            <w:vAlign w:val="center"/>
            <w:hideMark/>
          </w:tcPr>
          <w:p w14:paraId="5064B758"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0.00110</w:t>
            </w:r>
          </w:p>
        </w:tc>
      </w:tr>
      <w:tr w:rsidR="000B52EF" w:rsidRPr="007D5574" w14:paraId="004FA436" w14:textId="77777777" w:rsidTr="00BC0115">
        <w:trPr>
          <w:trHeight w:val="300"/>
        </w:trPr>
        <w:tc>
          <w:tcPr>
            <w:tcW w:w="839" w:type="pct"/>
            <w:tcBorders>
              <w:top w:val="nil"/>
              <w:left w:val="nil"/>
              <w:bottom w:val="nil"/>
              <w:right w:val="nil"/>
            </w:tcBorders>
            <w:shd w:val="clear" w:color="auto" w:fill="auto"/>
            <w:noWrap/>
            <w:vAlign w:val="center"/>
            <w:hideMark/>
          </w:tcPr>
          <w:p w14:paraId="52B01BAF"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ED DR10-3-16</w:t>
            </w:r>
          </w:p>
        </w:tc>
        <w:tc>
          <w:tcPr>
            <w:tcW w:w="608" w:type="pct"/>
            <w:tcBorders>
              <w:top w:val="nil"/>
              <w:left w:val="nil"/>
              <w:bottom w:val="nil"/>
              <w:right w:val="nil"/>
            </w:tcBorders>
            <w:shd w:val="clear" w:color="auto" w:fill="auto"/>
            <w:noWrap/>
            <w:vAlign w:val="center"/>
            <w:hideMark/>
          </w:tcPr>
          <w:p w14:paraId="32139C62"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0.513044</w:t>
            </w:r>
          </w:p>
        </w:tc>
        <w:tc>
          <w:tcPr>
            <w:tcW w:w="501" w:type="pct"/>
            <w:tcBorders>
              <w:top w:val="nil"/>
              <w:left w:val="nil"/>
              <w:bottom w:val="nil"/>
              <w:right w:val="nil"/>
            </w:tcBorders>
            <w:shd w:val="clear" w:color="auto" w:fill="auto"/>
            <w:noWrap/>
            <w:vAlign w:val="center"/>
            <w:hideMark/>
          </w:tcPr>
          <w:p w14:paraId="35632362"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0.000005</w:t>
            </w:r>
          </w:p>
        </w:tc>
        <w:tc>
          <w:tcPr>
            <w:tcW w:w="572" w:type="pct"/>
            <w:tcBorders>
              <w:top w:val="nil"/>
              <w:left w:val="nil"/>
              <w:bottom w:val="nil"/>
              <w:right w:val="nil"/>
            </w:tcBorders>
            <w:shd w:val="clear" w:color="auto" w:fill="auto"/>
            <w:noWrap/>
            <w:vAlign w:val="center"/>
            <w:hideMark/>
          </w:tcPr>
          <w:p w14:paraId="375140E4"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17.80</w:t>
            </w:r>
          </w:p>
        </w:tc>
        <w:tc>
          <w:tcPr>
            <w:tcW w:w="445" w:type="pct"/>
            <w:tcBorders>
              <w:top w:val="nil"/>
              <w:left w:val="nil"/>
              <w:bottom w:val="nil"/>
              <w:right w:val="nil"/>
            </w:tcBorders>
            <w:shd w:val="clear" w:color="auto" w:fill="auto"/>
            <w:noWrap/>
            <w:vAlign w:val="center"/>
            <w:hideMark/>
          </w:tcPr>
          <w:p w14:paraId="43333FF2"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0.00054</w:t>
            </w:r>
          </w:p>
        </w:tc>
        <w:tc>
          <w:tcPr>
            <w:tcW w:w="572" w:type="pct"/>
            <w:tcBorders>
              <w:top w:val="nil"/>
              <w:left w:val="nil"/>
              <w:bottom w:val="nil"/>
              <w:right w:val="nil"/>
            </w:tcBorders>
            <w:shd w:val="clear" w:color="auto" w:fill="auto"/>
            <w:noWrap/>
            <w:vAlign w:val="center"/>
            <w:hideMark/>
          </w:tcPr>
          <w:p w14:paraId="20290DF1"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15.45</w:t>
            </w:r>
          </w:p>
        </w:tc>
        <w:tc>
          <w:tcPr>
            <w:tcW w:w="445" w:type="pct"/>
            <w:tcBorders>
              <w:top w:val="nil"/>
              <w:left w:val="nil"/>
              <w:bottom w:val="nil"/>
              <w:right w:val="nil"/>
            </w:tcBorders>
            <w:shd w:val="clear" w:color="auto" w:fill="auto"/>
            <w:noWrap/>
            <w:vAlign w:val="center"/>
            <w:hideMark/>
          </w:tcPr>
          <w:p w14:paraId="6208A706"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0.00049</w:t>
            </w:r>
          </w:p>
        </w:tc>
        <w:tc>
          <w:tcPr>
            <w:tcW w:w="572" w:type="pct"/>
            <w:tcBorders>
              <w:top w:val="nil"/>
              <w:left w:val="nil"/>
              <w:bottom w:val="nil"/>
              <w:right w:val="nil"/>
            </w:tcBorders>
            <w:shd w:val="clear" w:color="auto" w:fill="auto"/>
            <w:noWrap/>
            <w:vAlign w:val="center"/>
            <w:hideMark/>
          </w:tcPr>
          <w:p w14:paraId="00FC6E2B"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37.70</w:t>
            </w:r>
          </w:p>
        </w:tc>
        <w:tc>
          <w:tcPr>
            <w:tcW w:w="445" w:type="pct"/>
            <w:tcBorders>
              <w:top w:val="nil"/>
              <w:left w:val="nil"/>
              <w:bottom w:val="nil"/>
              <w:right w:val="nil"/>
            </w:tcBorders>
            <w:shd w:val="clear" w:color="auto" w:fill="auto"/>
            <w:noWrap/>
            <w:vAlign w:val="center"/>
            <w:hideMark/>
          </w:tcPr>
          <w:p w14:paraId="6F1B2B0E"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0.00120</w:t>
            </w:r>
          </w:p>
        </w:tc>
      </w:tr>
      <w:tr w:rsidR="000B52EF" w:rsidRPr="007D5574" w14:paraId="3242FAA6" w14:textId="77777777" w:rsidTr="00BC0115">
        <w:trPr>
          <w:trHeight w:val="300"/>
        </w:trPr>
        <w:tc>
          <w:tcPr>
            <w:tcW w:w="839" w:type="pct"/>
            <w:tcBorders>
              <w:top w:val="nil"/>
              <w:left w:val="nil"/>
              <w:bottom w:val="nil"/>
              <w:right w:val="nil"/>
            </w:tcBorders>
            <w:shd w:val="clear" w:color="auto" w:fill="auto"/>
            <w:noWrap/>
            <w:vAlign w:val="center"/>
            <w:hideMark/>
          </w:tcPr>
          <w:p w14:paraId="0A5B6ED5"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ED DR12-2-2</w:t>
            </w:r>
          </w:p>
        </w:tc>
        <w:tc>
          <w:tcPr>
            <w:tcW w:w="608" w:type="pct"/>
            <w:tcBorders>
              <w:top w:val="nil"/>
              <w:left w:val="nil"/>
              <w:bottom w:val="nil"/>
              <w:right w:val="nil"/>
            </w:tcBorders>
            <w:shd w:val="clear" w:color="auto" w:fill="auto"/>
            <w:noWrap/>
            <w:vAlign w:val="center"/>
            <w:hideMark/>
          </w:tcPr>
          <w:p w14:paraId="19BA1FAB"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0.513049</w:t>
            </w:r>
          </w:p>
        </w:tc>
        <w:tc>
          <w:tcPr>
            <w:tcW w:w="501" w:type="pct"/>
            <w:tcBorders>
              <w:top w:val="nil"/>
              <w:left w:val="nil"/>
              <w:bottom w:val="nil"/>
              <w:right w:val="nil"/>
            </w:tcBorders>
            <w:shd w:val="clear" w:color="auto" w:fill="auto"/>
            <w:noWrap/>
            <w:vAlign w:val="center"/>
            <w:hideMark/>
          </w:tcPr>
          <w:p w14:paraId="145D9015"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0.000004</w:t>
            </w:r>
          </w:p>
        </w:tc>
        <w:tc>
          <w:tcPr>
            <w:tcW w:w="572" w:type="pct"/>
            <w:tcBorders>
              <w:top w:val="nil"/>
              <w:left w:val="nil"/>
              <w:bottom w:val="nil"/>
              <w:right w:val="nil"/>
            </w:tcBorders>
            <w:shd w:val="clear" w:color="auto" w:fill="auto"/>
            <w:noWrap/>
            <w:vAlign w:val="center"/>
            <w:hideMark/>
          </w:tcPr>
          <w:p w14:paraId="646D2881"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17.89</w:t>
            </w:r>
          </w:p>
        </w:tc>
        <w:tc>
          <w:tcPr>
            <w:tcW w:w="445" w:type="pct"/>
            <w:tcBorders>
              <w:top w:val="nil"/>
              <w:left w:val="nil"/>
              <w:bottom w:val="nil"/>
              <w:right w:val="nil"/>
            </w:tcBorders>
            <w:shd w:val="clear" w:color="auto" w:fill="auto"/>
            <w:noWrap/>
            <w:vAlign w:val="center"/>
            <w:hideMark/>
          </w:tcPr>
          <w:p w14:paraId="4AB7C384"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0.00047</w:t>
            </w:r>
          </w:p>
        </w:tc>
        <w:tc>
          <w:tcPr>
            <w:tcW w:w="572" w:type="pct"/>
            <w:tcBorders>
              <w:top w:val="nil"/>
              <w:left w:val="nil"/>
              <w:bottom w:val="nil"/>
              <w:right w:val="nil"/>
            </w:tcBorders>
            <w:shd w:val="clear" w:color="auto" w:fill="auto"/>
            <w:noWrap/>
            <w:vAlign w:val="center"/>
            <w:hideMark/>
          </w:tcPr>
          <w:p w14:paraId="06D472F4"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15.46</w:t>
            </w:r>
          </w:p>
        </w:tc>
        <w:tc>
          <w:tcPr>
            <w:tcW w:w="445" w:type="pct"/>
            <w:tcBorders>
              <w:top w:val="nil"/>
              <w:left w:val="nil"/>
              <w:bottom w:val="nil"/>
              <w:right w:val="nil"/>
            </w:tcBorders>
            <w:shd w:val="clear" w:color="auto" w:fill="auto"/>
            <w:noWrap/>
            <w:vAlign w:val="center"/>
            <w:hideMark/>
          </w:tcPr>
          <w:p w14:paraId="1F4A9F82"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0.00041</w:t>
            </w:r>
          </w:p>
        </w:tc>
        <w:tc>
          <w:tcPr>
            <w:tcW w:w="572" w:type="pct"/>
            <w:tcBorders>
              <w:top w:val="nil"/>
              <w:left w:val="nil"/>
              <w:bottom w:val="nil"/>
              <w:right w:val="nil"/>
            </w:tcBorders>
            <w:shd w:val="clear" w:color="auto" w:fill="auto"/>
            <w:noWrap/>
            <w:vAlign w:val="center"/>
            <w:hideMark/>
          </w:tcPr>
          <w:p w14:paraId="0CD5FFCB"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37.81</w:t>
            </w:r>
          </w:p>
        </w:tc>
        <w:tc>
          <w:tcPr>
            <w:tcW w:w="445" w:type="pct"/>
            <w:tcBorders>
              <w:top w:val="nil"/>
              <w:left w:val="nil"/>
              <w:bottom w:val="nil"/>
              <w:right w:val="nil"/>
            </w:tcBorders>
            <w:shd w:val="clear" w:color="auto" w:fill="auto"/>
            <w:noWrap/>
            <w:vAlign w:val="center"/>
            <w:hideMark/>
          </w:tcPr>
          <w:p w14:paraId="08C2BFC1"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0.00107</w:t>
            </w:r>
          </w:p>
        </w:tc>
      </w:tr>
      <w:tr w:rsidR="000B52EF" w:rsidRPr="007D5574" w14:paraId="7981D932" w14:textId="77777777" w:rsidTr="00BC0115">
        <w:trPr>
          <w:trHeight w:val="300"/>
        </w:trPr>
        <w:tc>
          <w:tcPr>
            <w:tcW w:w="839" w:type="pct"/>
            <w:tcBorders>
              <w:top w:val="nil"/>
              <w:left w:val="nil"/>
              <w:bottom w:val="nil"/>
              <w:right w:val="nil"/>
            </w:tcBorders>
            <w:shd w:val="clear" w:color="auto" w:fill="auto"/>
            <w:noWrap/>
            <w:vAlign w:val="center"/>
            <w:hideMark/>
          </w:tcPr>
          <w:p w14:paraId="4E967A3C"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ED DR22-2-1</w:t>
            </w:r>
          </w:p>
        </w:tc>
        <w:tc>
          <w:tcPr>
            <w:tcW w:w="608" w:type="pct"/>
            <w:tcBorders>
              <w:top w:val="nil"/>
              <w:left w:val="nil"/>
              <w:bottom w:val="nil"/>
              <w:right w:val="nil"/>
            </w:tcBorders>
            <w:shd w:val="clear" w:color="auto" w:fill="auto"/>
            <w:noWrap/>
            <w:vAlign w:val="center"/>
            <w:hideMark/>
          </w:tcPr>
          <w:p w14:paraId="18E13C67"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0.513110</w:t>
            </w:r>
          </w:p>
        </w:tc>
        <w:tc>
          <w:tcPr>
            <w:tcW w:w="501" w:type="pct"/>
            <w:tcBorders>
              <w:top w:val="nil"/>
              <w:left w:val="nil"/>
              <w:bottom w:val="nil"/>
              <w:right w:val="nil"/>
            </w:tcBorders>
            <w:shd w:val="clear" w:color="auto" w:fill="auto"/>
            <w:noWrap/>
            <w:vAlign w:val="center"/>
            <w:hideMark/>
          </w:tcPr>
          <w:p w14:paraId="13D7035A"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0.000005</w:t>
            </w:r>
          </w:p>
        </w:tc>
        <w:tc>
          <w:tcPr>
            <w:tcW w:w="572" w:type="pct"/>
            <w:tcBorders>
              <w:top w:val="nil"/>
              <w:left w:val="nil"/>
              <w:bottom w:val="nil"/>
              <w:right w:val="nil"/>
            </w:tcBorders>
            <w:shd w:val="clear" w:color="auto" w:fill="auto"/>
            <w:noWrap/>
            <w:vAlign w:val="center"/>
            <w:hideMark/>
          </w:tcPr>
          <w:p w14:paraId="3AA8558F"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17.90</w:t>
            </w:r>
          </w:p>
        </w:tc>
        <w:tc>
          <w:tcPr>
            <w:tcW w:w="445" w:type="pct"/>
            <w:tcBorders>
              <w:top w:val="nil"/>
              <w:left w:val="nil"/>
              <w:bottom w:val="nil"/>
              <w:right w:val="nil"/>
            </w:tcBorders>
            <w:shd w:val="clear" w:color="auto" w:fill="auto"/>
            <w:noWrap/>
            <w:vAlign w:val="center"/>
            <w:hideMark/>
          </w:tcPr>
          <w:p w14:paraId="66E71BD3"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0.00062</w:t>
            </w:r>
          </w:p>
        </w:tc>
        <w:tc>
          <w:tcPr>
            <w:tcW w:w="572" w:type="pct"/>
            <w:tcBorders>
              <w:top w:val="nil"/>
              <w:left w:val="nil"/>
              <w:bottom w:val="nil"/>
              <w:right w:val="nil"/>
            </w:tcBorders>
            <w:shd w:val="clear" w:color="auto" w:fill="auto"/>
            <w:noWrap/>
            <w:vAlign w:val="center"/>
            <w:hideMark/>
          </w:tcPr>
          <w:p w14:paraId="4B23556D"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15.46</w:t>
            </w:r>
          </w:p>
        </w:tc>
        <w:tc>
          <w:tcPr>
            <w:tcW w:w="445" w:type="pct"/>
            <w:tcBorders>
              <w:top w:val="nil"/>
              <w:left w:val="nil"/>
              <w:bottom w:val="nil"/>
              <w:right w:val="nil"/>
            </w:tcBorders>
            <w:shd w:val="clear" w:color="auto" w:fill="auto"/>
            <w:noWrap/>
            <w:vAlign w:val="center"/>
            <w:hideMark/>
          </w:tcPr>
          <w:p w14:paraId="25912665"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0.00056</w:t>
            </w:r>
          </w:p>
        </w:tc>
        <w:tc>
          <w:tcPr>
            <w:tcW w:w="572" w:type="pct"/>
            <w:tcBorders>
              <w:top w:val="nil"/>
              <w:left w:val="nil"/>
              <w:bottom w:val="nil"/>
              <w:right w:val="nil"/>
            </w:tcBorders>
            <w:shd w:val="clear" w:color="auto" w:fill="auto"/>
            <w:noWrap/>
            <w:vAlign w:val="center"/>
            <w:hideMark/>
          </w:tcPr>
          <w:p w14:paraId="4C7AA477"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37.73</w:t>
            </w:r>
          </w:p>
        </w:tc>
        <w:tc>
          <w:tcPr>
            <w:tcW w:w="445" w:type="pct"/>
            <w:tcBorders>
              <w:top w:val="nil"/>
              <w:left w:val="nil"/>
              <w:bottom w:val="nil"/>
              <w:right w:val="nil"/>
            </w:tcBorders>
            <w:shd w:val="clear" w:color="auto" w:fill="auto"/>
            <w:noWrap/>
            <w:vAlign w:val="center"/>
            <w:hideMark/>
          </w:tcPr>
          <w:p w14:paraId="180456C7"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0.00142</w:t>
            </w:r>
          </w:p>
        </w:tc>
      </w:tr>
      <w:tr w:rsidR="000B52EF" w:rsidRPr="007D5574" w14:paraId="48523C45" w14:textId="77777777" w:rsidTr="00BC0115">
        <w:trPr>
          <w:trHeight w:val="300"/>
        </w:trPr>
        <w:tc>
          <w:tcPr>
            <w:tcW w:w="839" w:type="pct"/>
            <w:tcBorders>
              <w:top w:val="nil"/>
              <w:left w:val="nil"/>
              <w:bottom w:val="nil"/>
              <w:right w:val="nil"/>
            </w:tcBorders>
            <w:shd w:val="clear" w:color="auto" w:fill="auto"/>
            <w:noWrap/>
            <w:vAlign w:val="center"/>
            <w:hideMark/>
          </w:tcPr>
          <w:p w14:paraId="05764941"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ED DR26-1-2</w:t>
            </w:r>
          </w:p>
        </w:tc>
        <w:tc>
          <w:tcPr>
            <w:tcW w:w="608" w:type="pct"/>
            <w:tcBorders>
              <w:top w:val="nil"/>
              <w:left w:val="nil"/>
              <w:bottom w:val="nil"/>
              <w:right w:val="nil"/>
            </w:tcBorders>
            <w:shd w:val="clear" w:color="auto" w:fill="auto"/>
            <w:noWrap/>
            <w:vAlign w:val="center"/>
            <w:hideMark/>
          </w:tcPr>
          <w:p w14:paraId="2B16E2A9"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0.513053</w:t>
            </w:r>
          </w:p>
        </w:tc>
        <w:tc>
          <w:tcPr>
            <w:tcW w:w="501" w:type="pct"/>
            <w:tcBorders>
              <w:top w:val="nil"/>
              <w:left w:val="nil"/>
              <w:bottom w:val="nil"/>
              <w:right w:val="nil"/>
            </w:tcBorders>
            <w:shd w:val="clear" w:color="auto" w:fill="auto"/>
            <w:noWrap/>
            <w:vAlign w:val="center"/>
            <w:hideMark/>
          </w:tcPr>
          <w:p w14:paraId="28023793"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0.000005</w:t>
            </w:r>
          </w:p>
        </w:tc>
        <w:tc>
          <w:tcPr>
            <w:tcW w:w="572" w:type="pct"/>
            <w:tcBorders>
              <w:top w:val="nil"/>
              <w:left w:val="nil"/>
              <w:bottom w:val="nil"/>
              <w:right w:val="nil"/>
            </w:tcBorders>
            <w:shd w:val="clear" w:color="auto" w:fill="auto"/>
            <w:noWrap/>
            <w:vAlign w:val="center"/>
            <w:hideMark/>
          </w:tcPr>
          <w:p w14:paraId="781AD57F"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17.96</w:t>
            </w:r>
          </w:p>
        </w:tc>
        <w:tc>
          <w:tcPr>
            <w:tcW w:w="445" w:type="pct"/>
            <w:tcBorders>
              <w:top w:val="nil"/>
              <w:left w:val="nil"/>
              <w:bottom w:val="nil"/>
              <w:right w:val="nil"/>
            </w:tcBorders>
            <w:shd w:val="clear" w:color="auto" w:fill="auto"/>
            <w:noWrap/>
            <w:vAlign w:val="center"/>
            <w:hideMark/>
          </w:tcPr>
          <w:p w14:paraId="387D53D6"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0.00662</w:t>
            </w:r>
          </w:p>
        </w:tc>
        <w:tc>
          <w:tcPr>
            <w:tcW w:w="572" w:type="pct"/>
            <w:tcBorders>
              <w:top w:val="nil"/>
              <w:left w:val="nil"/>
              <w:bottom w:val="nil"/>
              <w:right w:val="nil"/>
            </w:tcBorders>
            <w:shd w:val="clear" w:color="auto" w:fill="auto"/>
            <w:noWrap/>
            <w:vAlign w:val="center"/>
            <w:hideMark/>
          </w:tcPr>
          <w:p w14:paraId="3B060565"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15.47</w:t>
            </w:r>
          </w:p>
        </w:tc>
        <w:tc>
          <w:tcPr>
            <w:tcW w:w="445" w:type="pct"/>
            <w:tcBorders>
              <w:top w:val="nil"/>
              <w:left w:val="nil"/>
              <w:bottom w:val="nil"/>
              <w:right w:val="nil"/>
            </w:tcBorders>
            <w:shd w:val="clear" w:color="auto" w:fill="auto"/>
            <w:noWrap/>
            <w:vAlign w:val="center"/>
            <w:hideMark/>
          </w:tcPr>
          <w:p w14:paraId="7109C68F"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0.00558</w:t>
            </w:r>
          </w:p>
        </w:tc>
        <w:tc>
          <w:tcPr>
            <w:tcW w:w="572" w:type="pct"/>
            <w:tcBorders>
              <w:top w:val="nil"/>
              <w:left w:val="nil"/>
              <w:bottom w:val="nil"/>
              <w:right w:val="nil"/>
            </w:tcBorders>
            <w:shd w:val="clear" w:color="auto" w:fill="auto"/>
            <w:noWrap/>
            <w:vAlign w:val="center"/>
            <w:hideMark/>
          </w:tcPr>
          <w:p w14:paraId="1F13581C"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37.84</w:t>
            </w:r>
          </w:p>
        </w:tc>
        <w:tc>
          <w:tcPr>
            <w:tcW w:w="445" w:type="pct"/>
            <w:tcBorders>
              <w:top w:val="nil"/>
              <w:left w:val="nil"/>
              <w:bottom w:val="nil"/>
              <w:right w:val="nil"/>
            </w:tcBorders>
            <w:shd w:val="clear" w:color="auto" w:fill="auto"/>
            <w:noWrap/>
            <w:vAlign w:val="center"/>
            <w:hideMark/>
          </w:tcPr>
          <w:p w14:paraId="4427DCE6"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0.01418</w:t>
            </w:r>
          </w:p>
        </w:tc>
      </w:tr>
      <w:tr w:rsidR="000B52EF" w:rsidRPr="007D5574" w14:paraId="14515BDC" w14:textId="77777777" w:rsidTr="00BC0115">
        <w:trPr>
          <w:trHeight w:val="300"/>
        </w:trPr>
        <w:tc>
          <w:tcPr>
            <w:tcW w:w="839" w:type="pct"/>
            <w:tcBorders>
              <w:top w:val="nil"/>
              <w:left w:val="nil"/>
              <w:bottom w:val="nil"/>
              <w:right w:val="nil"/>
            </w:tcBorders>
            <w:shd w:val="clear" w:color="auto" w:fill="auto"/>
            <w:noWrap/>
            <w:vAlign w:val="center"/>
            <w:hideMark/>
          </w:tcPr>
          <w:p w14:paraId="15DEFF4E"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SMS DR16-3-4</w:t>
            </w:r>
          </w:p>
        </w:tc>
        <w:tc>
          <w:tcPr>
            <w:tcW w:w="608" w:type="pct"/>
            <w:tcBorders>
              <w:top w:val="nil"/>
              <w:left w:val="nil"/>
              <w:bottom w:val="nil"/>
              <w:right w:val="nil"/>
            </w:tcBorders>
            <w:shd w:val="clear" w:color="auto" w:fill="auto"/>
            <w:noWrap/>
            <w:vAlign w:val="center"/>
            <w:hideMark/>
          </w:tcPr>
          <w:p w14:paraId="38FED4CB"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0.513098</w:t>
            </w:r>
          </w:p>
        </w:tc>
        <w:tc>
          <w:tcPr>
            <w:tcW w:w="501" w:type="pct"/>
            <w:tcBorders>
              <w:top w:val="nil"/>
              <w:left w:val="nil"/>
              <w:bottom w:val="nil"/>
              <w:right w:val="nil"/>
            </w:tcBorders>
            <w:shd w:val="clear" w:color="auto" w:fill="auto"/>
            <w:noWrap/>
            <w:vAlign w:val="center"/>
            <w:hideMark/>
          </w:tcPr>
          <w:p w14:paraId="23363FD9"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0.000004</w:t>
            </w:r>
          </w:p>
        </w:tc>
        <w:tc>
          <w:tcPr>
            <w:tcW w:w="572" w:type="pct"/>
            <w:tcBorders>
              <w:top w:val="nil"/>
              <w:left w:val="nil"/>
              <w:bottom w:val="nil"/>
              <w:right w:val="nil"/>
            </w:tcBorders>
            <w:shd w:val="clear" w:color="auto" w:fill="auto"/>
            <w:noWrap/>
            <w:vAlign w:val="center"/>
            <w:hideMark/>
          </w:tcPr>
          <w:p w14:paraId="733C21F9"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17.77</w:t>
            </w:r>
          </w:p>
        </w:tc>
        <w:tc>
          <w:tcPr>
            <w:tcW w:w="445" w:type="pct"/>
            <w:tcBorders>
              <w:top w:val="nil"/>
              <w:left w:val="nil"/>
              <w:bottom w:val="nil"/>
              <w:right w:val="nil"/>
            </w:tcBorders>
            <w:shd w:val="clear" w:color="auto" w:fill="auto"/>
            <w:noWrap/>
            <w:vAlign w:val="center"/>
            <w:hideMark/>
          </w:tcPr>
          <w:p w14:paraId="64F04BDC"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0.00093</w:t>
            </w:r>
          </w:p>
        </w:tc>
        <w:tc>
          <w:tcPr>
            <w:tcW w:w="572" w:type="pct"/>
            <w:tcBorders>
              <w:top w:val="nil"/>
              <w:left w:val="nil"/>
              <w:bottom w:val="nil"/>
              <w:right w:val="nil"/>
            </w:tcBorders>
            <w:shd w:val="clear" w:color="auto" w:fill="auto"/>
            <w:noWrap/>
            <w:vAlign w:val="center"/>
            <w:hideMark/>
          </w:tcPr>
          <w:p w14:paraId="719B213E"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15.44</w:t>
            </w:r>
          </w:p>
        </w:tc>
        <w:tc>
          <w:tcPr>
            <w:tcW w:w="445" w:type="pct"/>
            <w:tcBorders>
              <w:top w:val="nil"/>
              <w:left w:val="nil"/>
              <w:bottom w:val="nil"/>
              <w:right w:val="nil"/>
            </w:tcBorders>
            <w:shd w:val="clear" w:color="auto" w:fill="auto"/>
            <w:noWrap/>
            <w:vAlign w:val="center"/>
            <w:hideMark/>
          </w:tcPr>
          <w:p w14:paraId="67573E0F"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0.00068</w:t>
            </w:r>
          </w:p>
        </w:tc>
        <w:tc>
          <w:tcPr>
            <w:tcW w:w="572" w:type="pct"/>
            <w:tcBorders>
              <w:top w:val="nil"/>
              <w:left w:val="nil"/>
              <w:bottom w:val="nil"/>
              <w:right w:val="nil"/>
            </w:tcBorders>
            <w:shd w:val="clear" w:color="auto" w:fill="auto"/>
            <w:noWrap/>
            <w:vAlign w:val="center"/>
            <w:hideMark/>
          </w:tcPr>
          <w:p w14:paraId="18F4AD14"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37.59</w:t>
            </w:r>
          </w:p>
        </w:tc>
        <w:tc>
          <w:tcPr>
            <w:tcW w:w="445" w:type="pct"/>
            <w:tcBorders>
              <w:top w:val="nil"/>
              <w:left w:val="nil"/>
              <w:bottom w:val="nil"/>
              <w:right w:val="nil"/>
            </w:tcBorders>
            <w:shd w:val="clear" w:color="auto" w:fill="auto"/>
            <w:noWrap/>
            <w:vAlign w:val="center"/>
            <w:hideMark/>
          </w:tcPr>
          <w:p w14:paraId="7DA093C1"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0.00197</w:t>
            </w:r>
          </w:p>
        </w:tc>
      </w:tr>
      <w:tr w:rsidR="000B52EF" w:rsidRPr="007D5574" w14:paraId="0631EC98" w14:textId="77777777" w:rsidTr="00BC0115">
        <w:trPr>
          <w:trHeight w:val="300"/>
        </w:trPr>
        <w:tc>
          <w:tcPr>
            <w:tcW w:w="839" w:type="pct"/>
            <w:tcBorders>
              <w:top w:val="nil"/>
              <w:left w:val="nil"/>
              <w:bottom w:val="nil"/>
              <w:right w:val="nil"/>
            </w:tcBorders>
            <w:shd w:val="clear" w:color="auto" w:fill="auto"/>
            <w:noWrap/>
            <w:vAlign w:val="center"/>
            <w:hideMark/>
          </w:tcPr>
          <w:p w14:paraId="103DCD6F"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SMS DR16-3-5</w:t>
            </w:r>
          </w:p>
        </w:tc>
        <w:tc>
          <w:tcPr>
            <w:tcW w:w="608" w:type="pct"/>
            <w:tcBorders>
              <w:top w:val="nil"/>
              <w:left w:val="nil"/>
              <w:bottom w:val="nil"/>
              <w:right w:val="nil"/>
            </w:tcBorders>
            <w:shd w:val="clear" w:color="auto" w:fill="auto"/>
            <w:noWrap/>
            <w:vAlign w:val="center"/>
            <w:hideMark/>
          </w:tcPr>
          <w:p w14:paraId="282ECFAC"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0.513093</w:t>
            </w:r>
          </w:p>
        </w:tc>
        <w:tc>
          <w:tcPr>
            <w:tcW w:w="501" w:type="pct"/>
            <w:tcBorders>
              <w:top w:val="nil"/>
              <w:left w:val="nil"/>
              <w:bottom w:val="nil"/>
              <w:right w:val="nil"/>
            </w:tcBorders>
            <w:shd w:val="clear" w:color="auto" w:fill="auto"/>
            <w:noWrap/>
            <w:vAlign w:val="center"/>
            <w:hideMark/>
          </w:tcPr>
          <w:p w14:paraId="26E1C371"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0.000004</w:t>
            </w:r>
          </w:p>
        </w:tc>
        <w:tc>
          <w:tcPr>
            <w:tcW w:w="572" w:type="pct"/>
            <w:tcBorders>
              <w:top w:val="nil"/>
              <w:left w:val="nil"/>
              <w:bottom w:val="nil"/>
              <w:right w:val="nil"/>
            </w:tcBorders>
            <w:shd w:val="clear" w:color="auto" w:fill="auto"/>
            <w:noWrap/>
            <w:vAlign w:val="center"/>
            <w:hideMark/>
          </w:tcPr>
          <w:p w14:paraId="3E13843E"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17.76</w:t>
            </w:r>
          </w:p>
        </w:tc>
        <w:tc>
          <w:tcPr>
            <w:tcW w:w="445" w:type="pct"/>
            <w:tcBorders>
              <w:top w:val="nil"/>
              <w:left w:val="nil"/>
              <w:bottom w:val="nil"/>
              <w:right w:val="nil"/>
            </w:tcBorders>
            <w:shd w:val="clear" w:color="auto" w:fill="auto"/>
            <w:noWrap/>
            <w:vAlign w:val="center"/>
            <w:hideMark/>
          </w:tcPr>
          <w:p w14:paraId="0DC50F39"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0.00105</w:t>
            </w:r>
          </w:p>
        </w:tc>
        <w:tc>
          <w:tcPr>
            <w:tcW w:w="572" w:type="pct"/>
            <w:tcBorders>
              <w:top w:val="nil"/>
              <w:left w:val="nil"/>
              <w:bottom w:val="nil"/>
              <w:right w:val="nil"/>
            </w:tcBorders>
            <w:shd w:val="clear" w:color="auto" w:fill="auto"/>
            <w:noWrap/>
            <w:vAlign w:val="center"/>
            <w:hideMark/>
          </w:tcPr>
          <w:p w14:paraId="5BE5C93C"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15.44</w:t>
            </w:r>
          </w:p>
        </w:tc>
        <w:tc>
          <w:tcPr>
            <w:tcW w:w="445" w:type="pct"/>
            <w:tcBorders>
              <w:top w:val="nil"/>
              <w:left w:val="nil"/>
              <w:bottom w:val="nil"/>
              <w:right w:val="nil"/>
            </w:tcBorders>
            <w:shd w:val="clear" w:color="auto" w:fill="auto"/>
            <w:noWrap/>
            <w:vAlign w:val="center"/>
            <w:hideMark/>
          </w:tcPr>
          <w:p w14:paraId="1965E03C"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0.00058</w:t>
            </w:r>
          </w:p>
        </w:tc>
        <w:tc>
          <w:tcPr>
            <w:tcW w:w="572" w:type="pct"/>
            <w:tcBorders>
              <w:top w:val="nil"/>
              <w:left w:val="nil"/>
              <w:bottom w:val="nil"/>
              <w:right w:val="nil"/>
            </w:tcBorders>
            <w:shd w:val="clear" w:color="auto" w:fill="auto"/>
            <w:noWrap/>
            <w:vAlign w:val="center"/>
            <w:hideMark/>
          </w:tcPr>
          <w:p w14:paraId="745824AD"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37.50</w:t>
            </w:r>
          </w:p>
        </w:tc>
        <w:tc>
          <w:tcPr>
            <w:tcW w:w="445" w:type="pct"/>
            <w:tcBorders>
              <w:top w:val="nil"/>
              <w:left w:val="nil"/>
              <w:bottom w:val="nil"/>
              <w:right w:val="nil"/>
            </w:tcBorders>
            <w:shd w:val="clear" w:color="auto" w:fill="auto"/>
            <w:noWrap/>
            <w:vAlign w:val="center"/>
            <w:hideMark/>
          </w:tcPr>
          <w:p w14:paraId="7483FA9A"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0.00171</w:t>
            </w:r>
          </w:p>
        </w:tc>
      </w:tr>
      <w:tr w:rsidR="000B52EF" w:rsidRPr="007D5574" w14:paraId="7FE1F834" w14:textId="77777777" w:rsidTr="00BC0115">
        <w:trPr>
          <w:trHeight w:val="300"/>
        </w:trPr>
        <w:tc>
          <w:tcPr>
            <w:tcW w:w="839" w:type="pct"/>
            <w:tcBorders>
              <w:top w:val="nil"/>
              <w:left w:val="nil"/>
              <w:bottom w:val="nil"/>
              <w:right w:val="nil"/>
            </w:tcBorders>
            <w:shd w:val="clear" w:color="auto" w:fill="auto"/>
            <w:noWrap/>
            <w:vAlign w:val="center"/>
            <w:hideMark/>
          </w:tcPr>
          <w:p w14:paraId="444E466E"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SMS DR16-3-7</w:t>
            </w:r>
          </w:p>
        </w:tc>
        <w:tc>
          <w:tcPr>
            <w:tcW w:w="608" w:type="pct"/>
            <w:tcBorders>
              <w:top w:val="nil"/>
              <w:left w:val="nil"/>
              <w:bottom w:val="nil"/>
              <w:right w:val="nil"/>
            </w:tcBorders>
            <w:shd w:val="clear" w:color="auto" w:fill="auto"/>
            <w:noWrap/>
            <w:vAlign w:val="center"/>
            <w:hideMark/>
          </w:tcPr>
          <w:p w14:paraId="4CD3F1E3"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0.513082</w:t>
            </w:r>
          </w:p>
        </w:tc>
        <w:tc>
          <w:tcPr>
            <w:tcW w:w="501" w:type="pct"/>
            <w:tcBorders>
              <w:top w:val="nil"/>
              <w:left w:val="nil"/>
              <w:bottom w:val="nil"/>
              <w:right w:val="nil"/>
            </w:tcBorders>
            <w:shd w:val="clear" w:color="auto" w:fill="auto"/>
            <w:noWrap/>
            <w:vAlign w:val="center"/>
            <w:hideMark/>
          </w:tcPr>
          <w:p w14:paraId="79F373D8"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0.000005</w:t>
            </w:r>
          </w:p>
        </w:tc>
        <w:tc>
          <w:tcPr>
            <w:tcW w:w="572" w:type="pct"/>
            <w:tcBorders>
              <w:top w:val="nil"/>
              <w:left w:val="nil"/>
              <w:bottom w:val="nil"/>
              <w:right w:val="nil"/>
            </w:tcBorders>
            <w:shd w:val="clear" w:color="auto" w:fill="auto"/>
            <w:noWrap/>
            <w:vAlign w:val="center"/>
            <w:hideMark/>
          </w:tcPr>
          <w:p w14:paraId="0BB01245"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17.79</w:t>
            </w:r>
          </w:p>
        </w:tc>
        <w:tc>
          <w:tcPr>
            <w:tcW w:w="445" w:type="pct"/>
            <w:tcBorders>
              <w:top w:val="nil"/>
              <w:left w:val="nil"/>
              <w:bottom w:val="nil"/>
              <w:right w:val="nil"/>
            </w:tcBorders>
            <w:shd w:val="clear" w:color="auto" w:fill="auto"/>
            <w:noWrap/>
            <w:vAlign w:val="center"/>
            <w:hideMark/>
          </w:tcPr>
          <w:p w14:paraId="7CB98AA6"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0.00099</w:t>
            </w:r>
          </w:p>
        </w:tc>
        <w:tc>
          <w:tcPr>
            <w:tcW w:w="572" w:type="pct"/>
            <w:tcBorders>
              <w:top w:val="nil"/>
              <w:left w:val="nil"/>
              <w:bottom w:val="nil"/>
              <w:right w:val="nil"/>
            </w:tcBorders>
            <w:shd w:val="clear" w:color="auto" w:fill="auto"/>
            <w:noWrap/>
            <w:vAlign w:val="center"/>
            <w:hideMark/>
          </w:tcPr>
          <w:p w14:paraId="7508FB3C"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15.45</w:t>
            </w:r>
          </w:p>
        </w:tc>
        <w:tc>
          <w:tcPr>
            <w:tcW w:w="445" w:type="pct"/>
            <w:tcBorders>
              <w:top w:val="nil"/>
              <w:left w:val="nil"/>
              <w:bottom w:val="nil"/>
              <w:right w:val="nil"/>
            </w:tcBorders>
            <w:shd w:val="clear" w:color="auto" w:fill="auto"/>
            <w:noWrap/>
            <w:vAlign w:val="center"/>
            <w:hideMark/>
          </w:tcPr>
          <w:p w14:paraId="749B3397"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0.00094</w:t>
            </w:r>
          </w:p>
        </w:tc>
        <w:tc>
          <w:tcPr>
            <w:tcW w:w="572" w:type="pct"/>
            <w:tcBorders>
              <w:top w:val="nil"/>
              <w:left w:val="nil"/>
              <w:bottom w:val="nil"/>
              <w:right w:val="nil"/>
            </w:tcBorders>
            <w:shd w:val="clear" w:color="auto" w:fill="auto"/>
            <w:noWrap/>
            <w:vAlign w:val="center"/>
            <w:hideMark/>
          </w:tcPr>
          <w:p w14:paraId="01171F5F"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37.52</w:t>
            </w:r>
          </w:p>
        </w:tc>
        <w:tc>
          <w:tcPr>
            <w:tcW w:w="445" w:type="pct"/>
            <w:tcBorders>
              <w:top w:val="nil"/>
              <w:left w:val="nil"/>
              <w:bottom w:val="nil"/>
              <w:right w:val="nil"/>
            </w:tcBorders>
            <w:shd w:val="clear" w:color="auto" w:fill="auto"/>
            <w:noWrap/>
            <w:vAlign w:val="center"/>
            <w:hideMark/>
          </w:tcPr>
          <w:p w14:paraId="6F1B2832"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0.00246</w:t>
            </w:r>
          </w:p>
        </w:tc>
      </w:tr>
      <w:tr w:rsidR="000B52EF" w:rsidRPr="007D5574" w14:paraId="66EF3508" w14:textId="77777777" w:rsidTr="00BC0115">
        <w:trPr>
          <w:trHeight w:val="300"/>
        </w:trPr>
        <w:tc>
          <w:tcPr>
            <w:tcW w:w="839" w:type="pct"/>
            <w:tcBorders>
              <w:top w:val="nil"/>
              <w:left w:val="nil"/>
              <w:bottom w:val="nil"/>
              <w:right w:val="nil"/>
            </w:tcBorders>
            <w:shd w:val="clear" w:color="auto" w:fill="auto"/>
            <w:noWrap/>
            <w:vAlign w:val="center"/>
            <w:hideMark/>
          </w:tcPr>
          <w:p w14:paraId="1AFBD9CE"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SMS DR16-3-9</w:t>
            </w:r>
          </w:p>
        </w:tc>
        <w:tc>
          <w:tcPr>
            <w:tcW w:w="608" w:type="pct"/>
            <w:tcBorders>
              <w:top w:val="nil"/>
              <w:left w:val="nil"/>
              <w:bottom w:val="nil"/>
              <w:right w:val="nil"/>
            </w:tcBorders>
            <w:shd w:val="clear" w:color="auto" w:fill="auto"/>
            <w:noWrap/>
            <w:vAlign w:val="center"/>
            <w:hideMark/>
          </w:tcPr>
          <w:p w14:paraId="3ABE2111"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0.513087</w:t>
            </w:r>
          </w:p>
        </w:tc>
        <w:tc>
          <w:tcPr>
            <w:tcW w:w="501" w:type="pct"/>
            <w:tcBorders>
              <w:top w:val="nil"/>
              <w:left w:val="nil"/>
              <w:bottom w:val="nil"/>
              <w:right w:val="nil"/>
            </w:tcBorders>
            <w:shd w:val="clear" w:color="auto" w:fill="auto"/>
            <w:noWrap/>
            <w:vAlign w:val="center"/>
            <w:hideMark/>
          </w:tcPr>
          <w:p w14:paraId="2B074F3C"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0.000004</w:t>
            </w:r>
          </w:p>
        </w:tc>
        <w:tc>
          <w:tcPr>
            <w:tcW w:w="572" w:type="pct"/>
            <w:tcBorders>
              <w:top w:val="nil"/>
              <w:left w:val="nil"/>
              <w:bottom w:val="nil"/>
              <w:right w:val="nil"/>
            </w:tcBorders>
            <w:shd w:val="clear" w:color="auto" w:fill="auto"/>
            <w:noWrap/>
            <w:vAlign w:val="center"/>
            <w:hideMark/>
          </w:tcPr>
          <w:p w14:paraId="52778444"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17.76</w:t>
            </w:r>
          </w:p>
        </w:tc>
        <w:tc>
          <w:tcPr>
            <w:tcW w:w="445" w:type="pct"/>
            <w:tcBorders>
              <w:top w:val="nil"/>
              <w:left w:val="nil"/>
              <w:bottom w:val="nil"/>
              <w:right w:val="nil"/>
            </w:tcBorders>
            <w:shd w:val="clear" w:color="auto" w:fill="auto"/>
            <w:noWrap/>
            <w:vAlign w:val="center"/>
            <w:hideMark/>
          </w:tcPr>
          <w:p w14:paraId="4E1A0BE1"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0.00087</w:t>
            </w:r>
          </w:p>
        </w:tc>
        <w:tc>
          <w:tcPr>
            <w:tcW w:w="572" w:type="pct"/>
            <w:tcBorders>
              <w:top w:val="nil"/>
              <w:left w:val="nil"/>
              <w:bottom w:val="nil"/>
              <w:right w:val="nil"/>
            </w:tcBorders>
            <w:shd w:val="clear" w:color="auto" w:fill="auto"/>
            <w:noWrap/>
            <w:vAlign w:val="center"/>
            <w:hideMark/>
          </w:tcPr>
          <w:p w14:paraId="58469526"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15.44</w:t>
            </w:r>
          </w:p>
        </w:tc>
        <w:tc>
          <w:tcPr>
            <w:tcW w:w="445" w:type="pct"/>
            <w:tcBorders>
              <w:top w:val="nil"/>
              <w:left w:val="nil"/>
              <w:bottom w:val="nil"/>
              <w:right w:val="nil"/>
            </w:tcBorders>
            <w:shd w:val="clear" w:color="auto" w:fill="auto"/>
            <w:noWrap/>
            <w:vAlign w:val="center"/>
            <w:hideMark/>
          </w:tcPr>
          <w:p w14:paraId="26D4A78D"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0.00091</w:t>
            </w:r>
          </w:p>
        </w:tc>
        <w:tc>
          <w:tcPr>
            <w:tcW w:w="572" w:type="pct"/>
            <w:tcBorders>
              <w:top w:val="nil"/>
              <w:left w:val="nil"/>
              <w:bottom w:val="nil"/>
              <w:right w:val="nil"/>
            </w:tcBorders>
            <w:shd w:val="clear" w:color="auto" w:fill="auto"/>
            <w:noWrap/>
            <w:vAlign w:val="center"/>
            <w:hideMark/>
          </w:tcPr>
          <w:p w14:paraId="472C9068"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37.53</w:t>
            </w:r>
          </w:p>
        </w:tc>
        <w:tc>
          <w:tcPr>
            <w:tcW w:w="445" w:type="pct"/>
            <w:tcBorders>
              <w:top w:val="nil"/>
              <w:left w:val="nil"/>
              <w:bottom w:val="nil"/>
              <w:right w:val="nil"/>
            </w:tcBorders>
            <w:shd w:val="clear" w:color="auto" w:fill="auto"/>
            <w:noWrap/>
            <w:vAlign w:val="center"/>
            <w:hideMark/>
          </w:tcPr>
          <w:p w14:paraId="13ACCADD" w14:textId="77777777" w:rsidR="000B52EF" w:rsidRPr="007D5574" w:rsidRDefault="000B52EF" w:rsidP="007D5574">
            <w:pPr>
              <w:jc w:val="center"/>
              <w:rPr>
                <w:rFonts w:eastAsia="Times New Roman"/>
                <w:color w:val="000000"/>
                <w:sz w:val="18"/>
                <w:szCs w:val="18"/>
                <w:lang w:val="fr-FR" w:eastAsia="fr-FR"/>
              </w:rPr>
            </w:pPr>
            <w:r w:rsidRPr="007D5574">
              <w:rPr>
                <w:rFonts w:eastAsia="Times New Roman"/>
                <w:color w:val="000000"/>
                <w:sz w:val="18"/>
                <w:szCs w:val="18"/>
                <w:lang w:val="fr-FR" w:eastAsia="fr-FR"/>
              </w:rPr>
              <w:t>0.00220</w:t>
            </w:r>
          </w:p>
        </w:tc>
      </w:tr>
      <w:tr w:rsidR="000B52EF" w:rsidRPr="007D5574" w14:paraId="3C0EF5F2" w14:textId="77777777" w:rsidTr="00BC0115">
        <w:trPr>
          <w:trHeight w:val="300"/>
        </w:trPr>
        <w:tc>
          <w:tcPr>
            <w:tcW w:w="839" w:type="pct"/>
            <w:tcBorders>
              <w:top w:val="nil"/>
              <w:left w:val="nil"/>
              <w:bottom w:val="nil"/>
              <w:right w:val="nil"/>
            </w:tcBorders>
            <w:shd w:val="clear" w:color="auto" w:fill="auto"/>
            <w:noWrap/>
            <w:vAlign w:val="center"/>
            <w:hideMark/>
          </w:tcPr>
          <w:p w14:paraId="01D26F51"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SMS DR16-3-14</w:t>
            </w:r>
          </w:p>
        </w:tc>
        <w:tc>
          <w:tcPr>
            <w:tcW w:w="608" w:type="pct"/>
            <w:tcBorders>
              <w:top w:val="nil"/>
              <w:left w:val="nil"/>
              <w:bottom w:val="nil"/>
              <w:right w:val="nil"/>
            </w:tcBorders>
            <w:shd w:val="clear" w:color="auto" w:fill="auto"/>
            <w:noWrap/>
            <w:vAlign w:val="center"/>
            <w:hideMark/>
          </w:tcPr>
          <w:p w14:paraId="3DC1889E"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0.513098</w:t>
            </w:r>
          </w:p>
        </w:tc>
        <w:tc>
          <w:tcPr>
            <w:tcW w:w="501" w:type="pct"/>
            <w:tcBorders>
              <w:top w:val="nil"/>
              <w:left w:val="nil"/>
              <w:bottom w:val="nil"/>
              <w:right w:val="nil"/>
            </w:tcBorders>
            <w:shd w:val="clear" w:color="auto" w:fill="auto"/>
            <w:noWrap/>
            <w:vAlign w:val="center"/>
            <w:hideMark/>
          </w:tcPr>
          <w:p w14:paraId="44A2E113"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0.000004</w:t>
            </w:r>
          </w:p>
        </w:tc>
        <w:tc>
          <w:tcPr>
            <w:tcW w:w="572" w:type="pct"/>
            <w:tcBorders>
              <w:top w:val="nil"/>
              <w:left w:val="nil"/>
              <w:bottom w:val="nil"/>
              <w:right w:val="nil"/>
            </w:tcBorders>
            <w:shd w:val="clear" w:color="auto" w:fill="auto"/>
            <w:noWrap/>
            <w:vAlign w:val="center"/>
            <w:hideMark/>
          </w:tcPr>
          <w:p w14:paraId="37A18147"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17.76</w:t>
            </w:r>
          </w:p>
        </w:tc>
        <w:tc>
          <w:tcPr>
            <w:tcW w:w="445" w:type="pct"/>
            <w:tcBorders>
              <w:top w:val="nil"/>
              <w:left w:val="nil"/>
              <w:bottom w:val="nil"/>
              <w:right w:val="nil"/>
            </w:tcBorders>
            <w:shd w:val="clear" w:color="auto" w:fill="auto"/>
            <w:noWrap/>
            <w:vAlign w:val="center"/>
            <w:hideMark/>
          </w:tcPr>
          <w:p w14:paraId="49E93F6F"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0.00070</w:t>
            </w:r>
          </w:p>
        </w:tc>
        <w:tc>
          <w:tcPr>
            <w:tcW w:w="572" w:type="pct"/>
            <w:tcBorders>
              <w:top w:val="nil"/>
              <w:left w:val="nil"/>
              <w:bottom w:val="nil"/>
              <w:right w:val="nil"/>
            </w:tcBorders>
            <w:shd w:val="clear" w:color="auto" w:fill="auto"/>
            <w:noWrap/>
            <w:vAlign w:val="center"/>
            <w:hideMark/>
          </w:tcPr>
          <w:p w14:paraId="14335979"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15.44</w:t>
            </w:r>
          </w:p>
        </w:tc>
        <w:tc>
          <w:tcPr>
            <w:tcW w:w="445" w:type="pct"/>
            <w:tcBorders>
              <w:top w:val="nil"/>
              <w:left w:val="nil"/>
              <w:bottom w:val="nil"/>
              <w:right w:val="nil"/>
            </w:tcBorders>
            <w:shd w:val="clear" w:color="auto" w:fill="auto"/>
            <w:noWrap/>
            <w:vAlign w:val="center"/>
            <w:hideMark/>
          </w:tcPr>
          <w:p w14:paraId="10FC29C3"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0.00058</w:t>
            </w:r>
          </w:p>
        </w:tc>
        <w:tc>
          <w:tcPr>
            <w:tcW w:w="572" w:type="pct"/>
            <w:tcBorders>
              <w:top w:val="nil"/>
              <w:left w:val="nil"/>
              <w:bottom w:val="nil"/>
              <w:right w:val="nil"/>
            </w:tcBorders>
            <w:shd w:val="clear" w:color="auto" w:fill="auto"/>
            <w:noWrap/>
            <w:vAlign w:val="center"/>
            <w:hideMark/>
          </w:tcPr>
          <w:p w14:paraId="34DAD729"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37.58</w:t>
            </w:r>
          </w:p>
        </w:tc>
        <w:tc>
          <w:tcPr>
            <w:tcW w:w="445" w:type="pct"/>
            <w:tcBorders>
              <w:top w:val="nil"/>
              <w:left w:val="nil"/>
              <w:bottom w:val="nil"/>
              <w:right w:val="nil"/>
            </w:tcBorders>
            <w:shd w:val="clear" w:color="auto" w:fill="auto"/>
            <w:noWrap/>
            <w:vAlign w:val="center"/>
            <w:hideMark/>
          </w:tcPr>
          <w:p w14:paraId="4A7D1803"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0.00135</w:t>
            </w:r>
          </w:p>
        </w:tc>
      </w:tr>
      <w:tr w:rsidR="000B52EF" w:rsidRPr="007D5574" w14:paraId="2428EBB9" w14:textId="77777777" w:rsidTr="00BC0115">
        <w:trPr>
          <w:trHeight w:val="300"/>
        </w:trPr>
        <w:tc>
          <w:tcPr>
            <w:tcW w:w="839" w:type="pct"/>
            <w:tcBorders>
              <w:top w:val="nil"/>
              <w:left w:val="nil"/>
              <w:bottom w:val="single" w:sz="4" w:space="0" w:color="auto"/>
              <w:right w:val="nil"/>
            </w:tcBorders>
            <w:shd w:val="clear" w:color="auto" w:fill="auto"/>
            <w:noWrap/>
            <w:vAlign w:val="center"/>
            <w:hideMark/>
          </w:tcPr>
          <w:p w14:paraId="24FE0A00" w14:textId="77777777" w:rsidR="000B52EF" w:rsidRPr="007D5574" w:rsidRDefault="000B52EF" w:rsidP="007D5574">
            <w:pPr>
              <w:rPr>
                <w:rFonts w:eastAsia="Times New Roman"/>
                <w:sz w:val="18"/>
                <w:szCs w:val="18"/>
                <w:lang w:val="fr-FR" w:eastAsia="fr-FR"/>
              </w:rPr>
            </w:pPr>
            <w:r w:rsidRPr="007D5574">
              <w:rPr>
                <w:rFonts w:eastAsia="Times New Roman"/>
                <w:sz w:val="18"/>
                <w:szCs w:val="18"/>
                <w:lang w:val="fr-FR" w:eastAsia="fr-FR"/>
              </w:rPr>
              <w:t>SMS DR28-3-3</w:t>
            </w:r>
          </w:p>
        </w:tc>
        <w:tc>
          <w:tcPr>
            <w:tcW w:w="608" w:type="pct"/>
            <w:tcBorders>
              <w:top w:val="nil"/>
              <w:left w:val="nil"/>
              <w:bottom w:val="single" w:sz="4" w:space="0" w:color="auto"/>
              <w:right w:val="nil"/>
            </w:tcBorders>
            <w:shd w:val="clear" w:color="auto" w:fill="auto"/>
            <w:noWrap/>
            <w:vAlign w:val="center"/>
            <w:hideMark/>
          </w:tcPr>
          <w:p w14:paraId="4CBBC499"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0.513078</w:t>
            </w:r>
          </w:p>
        </w:tc>
        <w:tc>
          <w:tcPr>
            <w:tcW w:w="501" w:type="pct"/>
            <w:tcBorders>
              <w:top w:val="nil"/>
              <w:left w:val="nil"/>
              <w:bottom w:val="single" w:sz="4" w:space="0" w:color="auto"/>
              <w:right w:val="nil"/>
            </w:tcBorders>
            <w:shd w:val="clear" w:color="auto" w:fill="auto"/>
            <w:noWrap/>
            <w:vAlign w:val="center"/>
            <w:hideMark/>
          </w:tcPr>
          <w:p w14:paraId="5A71EE4F"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0.000004</w:t>
            </w:r>
          </w:p>
        </w:tc>
        <w:tc>
          <w:tcPr>
            <w:tcW w:w="572" w:type="pct"/>
            <w:tcBorders>
              <w:top w:val="nil"/>
              <w:left w:val="nil"/>
              <w:bottom w:val="single" w:sz="4" w:space="0" w:color="auto"/>
              <w:right w:val="nil"/>
            </w:tcBorders>
            <w:shd w:val="clear" w:color="auto" w:fill="auto"/>
            <w:noWrap/>
            <w:vAlign w:val="center"/>
            <w:hideMark/>
          </w:tcPr>
          <w:p w14:paraId="5FD02689"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17.69</w:t>
            </w:r>
          </w:p>
        </w:tc>
        <w:tc>
          <w:tcPr>
            <w:tcW w:w="445" w:type="pct"/>
            <w:tcBorders>
              <w:top w:val="nil"/>
              <w:left w:val="nil"/>
              <w:bottom w:val="single" w:sz="4" w:space="0" w:color="auto"/>
              <w:right w:val="nil"/>
            </w:tcBorders>
            <w:shd w:val="clear" w:color="auto" w:fill="auto"/>
            <w:noWrap/>
            <w:vAlign w:val="center"/>
            <w:hideMark/>
          </w:tcPr>
          <w:p w14:paraId="4F634DCE"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0.00042</w:t>
            </w:r>
          </w:p>
        </w:tc>
        <w:tc>
          <w:tcPr>
            <w:tcW w:w="572" w:type="pct"/>
            <w:tcBorders>
              <w:top w:val="nil"/>
              <w:left w:val="nil"/>
              <w:bottom w:val="single" w:sz="4" w:space="0" w:color="auto"/>
              <w:right w:val="nil"/>
            </w:tcBorders>
            <w:shd w:val="clear" w:color="auto" w:fill="auto"/>
            <w:noWrap/>
            <w:vAlign w:val="center"/>
            <w:hideMark/>
          </w:tcPr>
          <w:p w14:paraId="2FACB13A"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15.44</w:t>
            </w:r>
          </w:p>
        </w:tc>
        <w:tc>
          <w:tcPr>
            <w:tcW w:w="445" w:type="pct"/>
            <w:tcBorders>
              <w:top w:val="nil"/>
              <w:left w:val="nil"/>
              <w:bottom w:val="single" w:sz="4" w:space="0" w:color="auto"/>
              <w:right w:val="nil"/>
            </w:tcBorders>
            <w:shd w:val="clear" w:color="auto" w:fill="auto"/>
            <w:noWrap/>
            <w:vAlign w:val="center"/>
            <w:hideMark/>
          </w:tcPr>
          <w:p w14:paraId="0F17CC4C"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0.00034</w:t>
            </w:r>
          </w:p>
        </w:tc>
        <w:tc>
          <w:tcPr>
            <w:tcW w:w="572" w:type="pct"/>
            <w:tcBorders>
              <w:top w:val="nil"/>
              <w:left w:val="nil"/>
              <w:bottom w:val="single" w:sz="4" w:space="0" w:color="auto"/>
              <w:right w:val="nil"/>
            </w:tcBorders>
            <w:shd w:val="clear" w:color="auto" w:fill="auto"/>
            <w:noWrap/>
            <w:vAlign w:val="center"/>
            <w:hideMark/>
          </w:tcPr>
          <w:p w14:paraId="1F054B5D"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37.55</w:t>
            </w:r>
          </w:p>
        </w:tc>
        <w:tc>
          <w:tcPr>
            <w:tcW w:w="445" w:type="pct"/>
            <w:tcBorders>
              <w:top w:val="nil"/>
              <w:left w:val="nil"/>
              <w:bottom w:val="single" w:sz="4" w:space="0" w:color="auto"/>
              <w:right w:val="nil"/>
            </w:tcBorders>
            <w:shd w:val="clear" w:color="auto" w:fill="auto"/>
            <w:noWrap/>
            <w:vAlign w:val="center"/>
            <w:hideMark/>
          </w:tcPr>
          <w:p w14:paraId="2928FAC4" w14:textId="77777777" w:rsidR="000B52EF" w:rsidRPr="007D5574" w:rsidRDefault="000B52EF" w:rsidP="007D5574">
            <w:pPr>
              <w:jc w:val="center"/>
              <w:rPr>
                <w:rFonts w:eastAsia="Times New Roman"/>
                <w:sz w:val="18"/>
                <w:szCs w:val="18"/>
                <w:lang w:val="fr-FR" w:eastAsia="fr-FR"/>
              </w:rPr>
            </w:pPr>
            <w:r w:rsidRPr="007D5574">
              <w:rPr>
                <w:rFonts w:eastAsia="Times New Roman"/>
                <w:sz w:val="18"/>
                <w:szCs w:val="18"/>
                <w:lang w:val="fr-FR" w:eastAsia="fr-FR"/>
              </w:rPr>
              <w:t>0.00097</w:t>
            </w:r>
          </w:p>
        </w:tc>
      </w:tr>
    </w:tbl>
    <w:p w14:paraId="6C325308" w14:textId="77777777" w:rsidR="000B52EF" w:rsidRPr="00022B05" w:rsidRDefault="000B52EF" w:rsidP="00A22676">
      <w:pPr>
        <w:pStyle w:val="FigureorTableCaption"/>
      </w:pPr>
    </w:p>
    <w:p w14:paraId="04D0EB10" w14:textId="77777777" w:rsidR="001D4A1B" w:rsidRPr="00022B05" w:rsidRDefault="001D4A1B" w:rsidP="001D4A1B">
      <w:pPr>
        <w:tabs>
          <w:tab w:val="left" w:pos="912"/>
        </w:tabs>
        <w:spacing w:after="120"/>
        <w:jc w:val="both"/>
        <w:rPr>
          <w:sz w:val="32"/>
        </w:rPr>
      </w:pPr>
    </w:p>
    <w:p w14:paraId="6EB77176" w14:textId="5E6162A6" w:rsidR="002F3B11" w:rsidRPr="00022B05" w:rsidRDefault="0096618A" w:rsidP="00C81368">
      <w:pPr>
        <w:pStyle w:val="Heading-Main"/>
      </w:pPr>
      <w:r>
        <w:t>5</w:t>
      </w:r>
      <w:r w:rsidR="00D76A65" w:rsidRPr="00022B05">
        <w:t xml:space="preserve"> </w:t>
      </w:r>
      <w:r w:rsidR="001D4A1B" w:rsidRPr="00022B05">
        <w:t xml:space="preserve">Petrology and composition of the plagioclase-bearing ultramafic and gabbroic </w:t>
      </w:r>
      <w:r w:rsidR="00501935">
        <w:t>rock suites</w:t>
      </w:r>
    </w:p>
    <w:p w14:paraId="27F87CAF" w14:textId="3002B30B" w:rsidR="005619A3" w:rsidRDefault="001D4A1B" w:rsidP="00764773">
      <w:pPr>
        <w:widowControl w:val="0"/>
        <w:autoSpaceDE w:val="0"/>
        <w:autoSpaceDN w:val="0"/>
        <w:adjustRightInd w:val="0"/>
        <w:spacing w:after="240" w:line="300" w:lineRule="atLeast"/>
        <w:jc w:val="both"/>
        <w:rPr>
          <w:sz w:val="24"/>
          <w:szCs w:val="24"/>
        </w:rPr>
      </w:pPr>
      <w:r w:rsidRPr="00022B05">
        <w:rPr>
          <w:sz w:val="24"/>
          <w:szCs w:val="24"/>
        </w:rPr>
        <w:tab/>
        <w:t xml:space="preserve">For this work we examined thin sections of </w:t>
      </w:r>
      <w:r w:rsidR="000F5E4E" w:rsidRPr="00022B05">
        <w:rPr>
          <w:sz w:val="24"/>
          <w:szCs w:val="24"/>
        </w:rPr>
        <w:t>10</w:t>
      </w:r>
      <w:r w:rsidR="000F5E4E">
        <w:rPr>
          <w:sz w:val="24"/>
          <w:szCs w:val="24"/>
        </w:rPr>
        <w:t>7</w:t>
      </w:r>
      <w:r w:rsidR="000F5E4E" w:rsidRPr="00022B05">
        <w:rPr>
          <w:sz w:val="24"/>
          <w:szCs w:val="24"/>
        </w:rPr>
        <w:t xml:space="preserve"> </w:t>
      </w:r>
      <w:r w:rsidRPr="00022B05">
        <w:rPr>
          <w:sz w:val="24"/>
          <w:szCs w:val="24"/>
        </w:rPr>
        <w:t xml:space="preserve">samples (Table </w:t>
      </w:r>
      <w:r w:rsidR="00F43701" w:rsidRPr="00022B05">
        <w:rPr>
          <w:sz w:val="24"/>
          <w:szCs w:val="24"/>
        </w:rPr>
        <w:t>S</w:t>
      </w:r>
      <w:r w:rsidR="00F43701">
        <w:rPr>
          <w:sz w:val="24"/>
          <w:szCs w:val="24"/>
        </w:rPr>
        <w:t>2</w:t>
      </w:r>
      <w:r w:rsidR="00F43701" w:rsidRPr="00022B05">
        <w:rPr>
          <w:sz w:val="24"/>
          <w:szCs w:val="24"/>
        </w:rPr>
        <w:t xml:space="preserve"> </w:t>
      </w:r>
      <w:r w:rsidRPr="00022B05">
        <w:rPr>
          <w:sz w:val="24"/>
          <w:szCs w:val="24"/>
        </w:rPr>
        <w:t xml:space="preserve">Supplementary Material) of </w:t>
      </w:r>
      <w:r w:rsidRPr="00022B05">
        <w:rPr>
          <w:rStyle w:val="Strong"/>
          <w:b w:val="0"/>
          <w:sz w:val="24"/>
          <w:szCs w:val="24"/>
        </w:rPr>
        <w:t xml:space="preserve">plagioclase-bearing ultramafic and gabbroic rocks </w:t>
      </w:r>
      <w:r w:rsidRPr="00022B05">
        <w:rPr>
          <w:sz w:val="24"/>
          <w:szCs w:val="24"/>
        </w:rPr>
        <w:t>dredged in the nearly amagmatic corridors at locations shown in Figure 1. Modal proportions of the principal mineral phases were determined using line drawings made from high resolutions photographs of whole thin sections. The primary assemblage for all the samples consists in clinopyroxene + plagioclase ± olivine ± orthopyroxene ± spinel. Samples from most dredges display a great variability in terms of modal composition, ranging from plagioclase lherzolites, plagioclase websterites, to troctolites, olivine gabbros, gabbros and gabbronorites (Figures 5 and 6).</w:t>
      </w:r>
      <w:r w:rsidR="0096618A" w:rsidRPr="0096618A">
        <w:rPr>
          <w:sz w:val="24"/>
          <w:szCs w:val="24"/>
        </w:rPr>
        <w:t xml:space="preserve"> </w:t>
      </w:r>
      <w:r w:rsidR="0096618A" w:rsidRPr="00AF5978">
        <w:rPr>
          <w:sz w:val="24"/>
          <w:szCs w:val="24"/>
        </w:rPr>
        <w:t>This variability commonly occurs over scales of a few centimeters</w:t>
      </w:r>
      <w:r w:rsidR="0096618A">
        <w:rPr>
          <w:sz w:val="24"/>
          <w:szCs w:val="24"/>
        </w:rPr>
        <w:t xml:space="preserve"> to a few decimeters</w:t>
      </w:r>
      <w:r w:rsidR="0096618A" w:rsidRPr="00AF5978">
        <w:rPr>
          <w:sz w:val="24"/>
          <w:szCs w:val="24"/>
        </w:rPr>
        <w:t>, within a single sample</w:t>
      </w:r>
      <w:r w:rsidR="0096618A">
        <w:rPr>
          <w:sz w:val="24"/>
          <w:szCs w:val="24"/>
        </w:rPr>
        <w:t xml:space="preserve"> (Figure 5b and </w:t>
      </w:r>
      <w:r w:rsidR="00D2747F">
        <w:rPr>
          <w:sz w:val="24"/>
          <w:szCs w:val="24"/>
        </w:rPr>
        <w:t>5</w:t>
      </w:r>
      <w:r w:rsidR="0096618A">
        <w:rPr>
          <w:sz w:val="24"/>
          <w:szCs w:val="24"/>
        </w:rPr>
        <w:t>c)</w:t>
      </w:r>
      <w:r w:rsidR="0096618A" w:rsidRPr="00AF5978">
        <w:rPr>
          <w:sz w:val="24"/>
          <w:szCs w:val="24"/>
        </w:rPr>
        <w:t>, suggesting that the most plagioclase-rich assemblages form veins or irregular impregnations in the ultramafic rocks.</w:t>
      </w:r>
    </w:p>
    <w:p w14:paraId="0A7C953C" w14:textId="6785EEDE" w:rsidR="001D4A1B" w:rsidRPr="005619A3" w:rsidRDefault="0096618A" w:rsidP="00764773">
      <w:pPr>
        <w:widowControl w:val="0"/>
        <w:autoSpaceDE w:val="0"/>
        <w:autoSpaceDN w:val="0"/>
        <w:adjustRightInd w:val="0"/>
        <w:spacing w:after="240" w:line="300" w:lineRule="atLeast"/>
        <w:jc w:val="both"/>
        <w:rPr>
          <w:sz w:val="24"/>
          <w:szCs w:val="24"/>
        </w:rPr>
      </w:pPr>
      <w:r>
        <w:rPr>
          <w:sz w:val="24"/>
          <w:szCs w:val="24"/>
        </w:rPr>
        <w:lastRenderedPageBreak/>
        <w:tab/>
      </w:r>
      <w:r w:rsidR="001D4A1B" w:rsidRPr="00022B05">
        <w:rPr>
          <w:sz w:val="24"/>
          <w:szCs w:val="24"/>
        </w:rPr>
        <w:t>Based on cursory examination of the 108 samples in thin section, we selected 19 samples</w:t>
      </w:r>
      <w:r w:rsidR="005619A3">
        <w:rPr>
          <w:sz w:val="24"/>
          <w:szCs w:val="24"/>
        </w:rPr>
        <w:t xml:space="preserve"> of plagioclase lherzolites, plagioclase websterites, olivine gabbros, gabbros and gabbronorites</w:t>
      </w:r>
      <w:r w:rsidR="001D4A1B" w:rsidRPr="00022B05">
        <w:rPr>
          <w:sz w:val="24"/>
          <w:szCs w:val="24"/>
        </w:rPr>
        <w:t xml:space="preserve"> (Table </w:t>
      </w:r>
      <w:r w:rsidR="00986634">
        <w:rPr>
          <w:sz w:val="24"/>
          <w:szCs w:val="24"/>
        </w:rPr>
        <w:t>4</w:t>
      </w:r>
      <w:r w:rsidR="001D4A1B" w:rsidRPr="00022B05">
        <w:rPr>
          <w:sz w:val="24"/>
          <w:szCs w:val="24"/>
        </w:rPr>
        <w:t>) for detailed petrological and chemical analyses, based on their lower degree of alteration and deformation. We excluded from this selection several samples of gabbros and oxide gabbros from dredges ED9, ED14, SMS22, SMS33, SMS34 and SMS35</w:t>
      </w:r>
      <w:r>
        <w:rPr>
          <w:sz w:val="24"/>
          <w:szCs w:val="24"/>
        </w:rPr>
        <w:t xml:space="preserve"> (Figure 1)</w:t>
      </w:r>
      <w:r w:rsidR="001D4A1B" w:rsidRPr="00022B05">
        <w:rPr>
          <w:sz w:val="24"/>
          <w:szCs w:val="24"/>
        </w:rPr>
        <w:t xml:space="preserve">. These gabbros have more evolved mineral compositions than the suite of rocks presented in this paper and are best interpreted as products of MORB fractional crystallization in the shallower axial lithospheric mantle of </w:t>
      </w:r>
      <w:r w:rsidR="00A93B7A" w:rsidRPr="00022B05">
        <w:rPr>
          <w:sz w:val="24"/>
          <w:szCs w:val="24"/>
        </w:rPr>
        <w:t>the nearly amagmatic corridors [</w:t>
      </w:r>
      <w:r w:rsidR="00A93B7A" w:rsidRPr="00022B05">
        <w:rPr>
          <w:i/>
          <w:sz w:val="24"/>
          <w:szCs w:val="24"/>
        </w:rPr>
        <w:t>Paquet et al.</w:t>
      </w:r>
      <w:r w:rsidR="00A93B7A" w:rsidRPr="00022B05">
        <w:rPr>
          <w:sz w:val="24"/>
          <w:szCs w:val="24"/>
        </w:rPr>
        <w:t>, 2014].</w:t>
      </w:r>
    </w:p>
    <w:p w14:paraId="2C85FC75" w14:textId="77777777" w:rsidR="00362D52" w:rsidRDefault="00362D52" w:rsidP="001D4A1B">
      <w:pPr>
        <w:spacing w:after="120"/>
        <w:jc w:val="both"/>
        <w:rPr>
          <w:sz w:val="24"/>
          <w:szCs w:val="24"/>
        </w:rPr>
      </w:pPr>
    </w:p>
    <w:p w14:paraId="2B32E1FB" w14:textId="14F1F6A9" w:rsidR="00362D52" w:rsidRDefault="00362D52" w:rsidP="001D4A1B">
      <w:pPr>
        <w:spacing w:after="120"/>
        <w:jc w:val="both"/>
        <w:rPr>
          <w:sz w:val="24"/>
          <w:szCs w:val="24"/>
        </w:rPr>
      </w:pPr>
      <w:r>
        <w:rPr>
          <w:noProof/>
          <w:sz w:val="24"/>
          <w:szCs w:val="24"/>
          <w:lang w:val="en-GB" w:eastAsia="en-GB"/>
        </w:rPr>
        <w:drawing>
          <wp:inline distT="0" distB="0" distL="0" distR="0" wp14:anchorId="6AB8F1DC" wp14:editId="114A574D">
            <wp:extent cx="5943600" cy="3187148"/>
            <wp:effectExtent l="0" t="0" r="0" b="0"/>
            <wp:docPr id="5" name="Image 5" descr="Sans titre:Users:MarinePaquet:Documents:PhD:Sujet Basaltes - Stage M2:Papiers:Majeurs &amp; Traces:Figures:échantillons_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ans titre:Users:MarinePaquet:Documents:PhD:Sujet Basaltes - Stage M2:Papiers:Majeurs &amp; Traces:Figures:échantillons_ter.jpg"/>
                    <pic:cNvPicPr>
                      <a:picLocks noChangeAspect="1" noChangeArrowheads="1"/>
                    </pic:cNvPicPr>
                  </pic:nvPicPr>
                  <pic:blipFill rotWithShape="1">
                    <a:blip r:embed="rId17">
                      <a:extLst>
                        <a:ext uri="{28A0092B-C50C-407E-A947-70E740481C1C}">
                          <a14:useLocalDpi xmlns:a14="http://schemas.microsoft.com/office/drawing/2010/main" val="0"/>
                        </a:ext>
                      </a:extLst>
                    </a:blip>
                    <a:srcRect b="-453"/>
                    <a:stretch/>
                  </pic:blipFill>
                  <pic:spPr bwMode="auto">
                    <a:xfrm>
                      <a:off x="0" y="0"/>
                      <a:ext cx="5943600" cy="3187148"/>
                    </a:xfrm>
                    <a:prstGeom prst="rect">
                      <a:avLst/>
                    </a:prstGeom>
                    <a:noFill/>
                    <a:ln>
                      <a:noFill/>
                    </a:ln>
                    <a:extLst>
                      <a:ext uri="{53640926-AAD7-44D8-BBD7-CCE9431645EC}">
                        <a14:shadowObscured xmlns:a14="http://schemas.microsoft.com/office/drawing/2010/main"/>
                      </a:ext>
                    </a:extLst>
                  </pic:spPr>
                </pic:pic>
              </a:graphicData>
            </a:graphic>
          </wp:inline>
        </w:drawing>
      </w:r>
    </w:p>
    <w:p w14:paraId="6C03DB12" w14:textId="2867D011" w:rsidR="00362D52" w:rsidRPr="00526478" w:rsidRDefault="00362D52" w:rsidP="001D4A1B">
      <w:pPr>
        <w:spacing w:after="120"/>
        <w:jc w:val="both"/>
        <w:rPr>
          <w:sz w:val="32"/>
          <w:szCs w:val="24"/>
        </w:rPr>
      </w:pPr>
      <w:proofErr w:type="gramStart"/>
      <w:r w:rsidRPr="00E137B3">
        <w:rPr>
          <w:b/>
          <w:sz w:val="24"/>
          <w:szCs w:val="24"/>
        </w:rPr>
        <w:t xml:space="preserve">Figure </w:t>
      </w:r>
      <w:r>
        <w:rPr>
          <w:b/>
          <w:sz w:val="24"/>
          <w:szCs w:val="24"/>
        </w:rPr>
        <w:t>5</w:t>
      </w:r>
      <w:r w:rsidRPr="00E137B3">
        <w:rPr>
          <w:sz w:val="24"/>
          <w:szCs w:val="24"/>
        </w:rPr>
        <w:t>.</w:t>
      </w:r>
      <w:proofErr w:type="gramEnd"/>
      <w:r w:rsidRPr="00E137B3">
        <w:rPr>
          <w:sz w:val="24"/>
          <w:szCs w:val="24"/>
        </w:rPr>
        <w:t xml:space="preserve"> </w:t>
      </w:r>
      <w:r w:rsidRPr="00362D52">
        <w:rPr>
          <w:sz w:val="24"/>
        </w:rPr>
        <w:t>Representative photographs of samples of the plagioclase-bearing ultramafic to gabbroic suite. Modal proportions of plagioclase increase from right</w:t>
      </w:r>
      <w:r>
        <w:rPr>
          <w:sz w:val="24"/>
        </w:rPr>
        <w:t xml:space="preserve"> (</w:t>
      </w:r>
      <w:r w:rsidRPr="00362D52">
        <w:rPr>
          <w:b/>
          <w:sz w:val="24"/>
        </w:rPr>
        <w:t>e</w:t>
      </w:r>
      <w:r>
        <w:rPr>
          <w:sz w:val="24"/>
        </w:rPr>
        <w:t xml:space="preserve">- </w:t>
      </w:r>
      <w:r w:rsidRPr="00362D52">
        <w:rPr>
          <w:sz w:val="24"/>
        </w:rPr>
        <w:t xml:space="preserve">plagioclase-bearing lherzolite) to </w:t>
      </w:r>
      <w:proofErr w:type="gramStart"/>
      <w:r w:rsidRPr="00362D52">
        <w:rPr>
          <w:sz w:val="24"/>
        </w:rPr>
        <w:t>left</w:t>
      </w:r>
      <w:proofErr w:type="gramEnd"/>
      <w:r w:rsidRPr="00362D52">
        <w:rPr>
          <w:sz w:val="24"/>
        </w:rPr>
        <w:t xml:space="preserve"> (</w:t>
      </w:r>
      <w:r w:rsidRPr="00362D52">
        <w:rPr>
          <w:b/>
          <w:sz w:val="24"/>
        </w:rPr>
        <w:t>a</w:t>
      </w:r>
      <w:r w:rsidRPr="00362D52">
        <w:rPr>
          <w:sz w:val="24"/>
        </w:rPr>
        <w:t xml:space="preserve">- olivine gabbro) and within a few centimeters in </w:t>
      </w:r>
      <w:r w:rsidRPr="00362D52">
        <w:rPr>
          <w:b/>
          <w:sz w:val="24"/>
        </w:rPr>
        <w:t>(b)</w:t>
      </w:r>
      <w:r w:rsidRPr="00362D52">
        <w:rPr>
          <w:sz w:val="24"/>
        </w:rPr>
        <w:t xml:space="preserve"> and </w:t>
      </w:r>
      <w:r w:rsidRPr="00362D52">
        <w:rPr>
          <w:b/>
          <w:sz w:val="24"/>
        </w:rPr>
        <w:t>(c)</w:t>
      </w:r>
      <w:r w:rsidRPr="00362D52">
        <w:rPr>
          <w:sz w:val="24"/>
        </w:rPr>
        <w:t xml:space="preserve">. Line drawings made from high resolution photographs of whole thin sections are used to determine the modal proportions of the principal mineral phases in each sample (Table </w:t>
      </w:r>
      <w:r w:rsidR="00986634">
        <w:rPr>
          <w:sz w:val="24"/>
        </w:rPr>
        <w:t>4</w:t>
      </w:r>
      <w:r w:rsidRPr="00362D52">
        <w:rPr>
          <w:sz w:val="24"/>
        </w:rPr>
        <w:t>): plagioclase or altered plagioclase in grey, olivine or serpentine after olivine in green, orthopyroxene or serpentine after orthopyroxene in blue, clinopyroxene in orange and spinel in red. Altered phases with undetermined protolith in yellow; serpentine veins in pale green.</w:t>
      </w:r>
    </w:p>
    <w:p w14:paraId="6AF820EC" w14:textId="77777777" w:rsidR="00362D52" w:rsidRPr="00022B05" w:rsidRDefault="00362D52" w:rsidP="001D4A1B">
      <w:pPr>
        <w:spacing w:after="120"/>
        <w:jc w:val="both"/>
        <w:rPr>
          <w:sz w:val="24"/>
          <w:szCs w:val="24"/>
        </w:rPr>
      </w:pPr>
    </w:p>
    <w:p w14:paraId="5DD67464" w14:textId="0E54E817" w:rsidR="001D4A1B" w:rsidRPr="00022B05" w:rsidRDefault="001D4A1B" w:rsidP="001D4A1B">
      <w:pPr>
        <w:spacing w:after="120"/>
        <w:jc w:val="both"/>
        <w:rPr>
          <w:sz w:val="24"/>
          <w:szCs w:val="24"/>
        </w:rPr>
      </w:pPr>
      <w:r w:rsidRPr="00022B05">
        <w:rPr>
          <w:sz w:val="24"/>
          <w:szCs w:val="24"/>
        </w:rPr>
        <w:tab/>
        <w:t xml:space="preserve">In order to compare the mineral composition of </w:t>
      </w:r>
      <w:r w:rsidR="00A17AA5">
        <w:rPr>
          <w:sz w:val="24"/>
          <w:szCs w:val="24"/>
        </w:rPr>
        <w:t>these</w:t>
      </w:r>
      <w:r w:rsidR="00A17AA5" w:rsidRPr="00022B05">
        <w:rPr>
          <w:sz w:val="24"/>
          <w:szCs w:val="24"/>
        </w:rPr>
        <w:t xml:space="preserve"> </w:t>
      </w:r>
      <w:r w:rsidRPr="00022B05">
        <w:rPr>
          <w:sz w:val="24"/>
          <w:szCs w:val="24"/>
        </w:rPr>
        <w:t>samples to other ultramafic and gabbroic rock suites from slow spreading ridges, we compiled published major and trace element data for residual plagioclase-free peridotites from t</w:t>
      </w:r>
      <w:r w:rsidR="00A93B7A" w:rsidRPr="00022B05">
        <w:rPr>
          <w:sz w:val="24"/>
          <w:szCs w:val="24"/>
        </w:rPr>
        <w:t>he 61°-67°E region of the SWIR [</w:t>
      </w:r>
      <w:r w:rsidR="00A93B7A" w:rsidRPr="00022B05">
        <w:rPr>
          <w:i/>
          <w:sz w:val="24"/>
          <w:szCs w:val="24"/>
        </w:rPr>
        <w:t>Seyler et al.</w:t>
      </w:r>
      <w:r w:rsidR="00A93B7A" w:rsidRPr="00022B05">
        <w:rPr>
          <w:sz w:val="24"/>
          <w:szCs w:val="24"/>
        </w:rPr>
        <w:t>, 2003]</w:t>
      </w:r>
      <w:r w:rsidRPr="00022B05">
        <w:rPr>
          <w:sz w:val="24"/>
          <w:szCs w:val="24"/>
        </w:rPr>
        <w:t xml:space="preserve">, for the troctolite to olivine gabbros suite drilled at ODP </w:t>
      </w:r>
      <w:r w:rsidR="00A93B7A" w:rsidRPr="00022B05">
        <w:rPr>
          <w:sz w:val="24"/>
          <w:szCs w:val="24"/>
        </w:rPr>
        <w:t>Site U1309D at 30°N at the MAR [</w:t>
      </w:r>
      <w:r w:rsidR="00A93B7A" w:rsidRPr="00022B05">
        <w:rPr>
          <w:i/>
          <w:sz w:val="24"/>
          <w:szCs w:val="24"/>
        </w:rPr>
        <w:t>Drouin et al.</w:t>
      </w:r>
      <w:r w:rsidR="00A93B7A" w:rsidRPr="00022B05">
        <w:rPr>
          <w:sz w:val="24"/>
          <w:szCs w:val="24"/>
        </w:rPr>
        <w:t>, 2009]</w:t>
      </w:r>
      <w:r w:rsidRPr="00022B05">
        <w:rPr>
          <w:sz w:val="24"/>
          <w:szCs w:val="24"/>
        </w:rPr>
        <w:t>, and for the gabbros drilled at ODP</w:t>
      </w:r>
      <w:r w:rsidR="00A93B7A" w:rsidRPr="00022B05">
        <w:rPr>
          <w:sz w:val="24"/>
          <w:szCs w:val="24"/>
        </w:rPr>
        <w:t xml:space="preserve"> Site 735 at 57°E on the SWIR [</w:t>
      </w:r>
      <w:r w:rsidRPr="00022B05">
        <w:rPr>
          <w:i/>
          <w:sz w:val="24"/>
          <w:szCs w:val="24"/>
        </w:rPr>
        <w:t xml:space="preserve">Ozawa </w:t>
      </w:r>
      <w:r w:rsidR="00A93B7A" w:rsidRPr="00022B05">
        <w:rPr>
          <w:i/>
          <w:sz w:val="24"/>
          <w:szCs w:val="24"/>
        </w:rPr>
        <w:t>et al.</w:t>
      </w:r>
      <w:r w:rsidR="00A93B7A" w:rsidRPr="00022B05">
        <w:rPr>
          <w:sz w:val="24"/>
          <w:szCs w:val="24"/>
        </w:rPr>
        <w:t xml:space="preserve">, 1991; </w:t>
      </w:r>
      <w:r w:rsidR="00A93B7A" w:rsidRPr="00022B05">
        <w:rPr>
          <w:i/>
          <w:sz w:val="24"/>
          <w:szCs w:val="24"/>
        </w:rPr>
        <w:t>Dick et al.</w:t>
      </w:r>
      <w:r w:rsidR="00A93B7A" w:rsidRPr="00022B05">
        <w:rPr>
          <w:sz w:val="24"/>
          <w:szCs w:val="24"/>
        </w:rPr>
        <w:t>, 2002]</w:t>
      </w:r>
      <w:r w:rsidRPr="00022B05">
        <w:rPr>
          <w:sz w:val="24"/>
          <w:szCs w:val="24"/>
        </w:rPr>
        <w:t>.</w:t>
      </w:r>
    </w:p>
    <w:p w14:paraId="4BD26B2A" w14:textId="634744AF" w:rsidR="001D4A1B" w:rsidRPr="00022B05" w:rsidRDefault="00B161A5" w:rsidP="001D4A1B">
      <w:pPr>
        <w:pStyle w:val="Heading-Secondary"/>
      </w:pPr>
      <w:r>
        <w:lastRenderedPageBreak/>
        <w:t>5</w:t>
      </w:r>
      <w:r w:rsidR="001D4A1B" w:rsidRPr="00022B05">
        <w:t xml:space="preserve">.1 </w:t>
      </w:r>
      <w:r w:rsidR="00FC2487" w:rsidRPr="00022B05">
        <w:t>Petro</w:t>
      </w:r>
      <w:r w:rsidR="00FC2487">
        <w:t>graphic</w:t>
      </w:r>
      <w:r w:rsidR="00FC2487" w:rsidRPr="00022B05">
        <w:t xml:space="preserve"> </w:t>
      </w:r>
      <w:r w:rsidR="001D4A1B" w:rsidRPr="00022B05">
        <w:t>description</w:t>
      </w:r>
    </w:p>
    <w:p w14:paraId="50B5D6C4" w14:textId="30B0EEE9" w:rsidR="001D4A1B" w:rsidRDefault="001D4A1B" w:rsidP="001D4A1B">
      <w:pPr>
        <w:spacing w:after="120"/>
        <w:jc w:val="both"/>
        <w:rPr>
          <w:sz w:val="24"/>
          <w:szCs w:val="24"/>
        </w:rPr>
      </w:pPr>
      <w:r w:rsidRPr="00022B05">
        <w:rPr>
          <w:sz w:val="24"/>
          <w:szCs w:val="24"/>
        </w:rPr>
        <w:tab/>
      </w:r>
      <w:proofErr w:type="gramStart"/>
      <w:r w:rsidR="00290D4D">
        <w:rPr>
          <w:rStyle w:val="Strong"/>
          <w:b w:val="0"/>
          <w:sz w:val="24"/>
          <w:szCs w:val="24"/>
          <w:u w:val="single"/>
        </w:rPr>
        <w:t>Plagioclase.</w:t>
      </w:r>
      <w:proofErr w:type="gramEnd"/>
      <w:r w:rsidR="00290D4D" w:rsidRPr="00022B05">
        <w:rPr>
          <w:sz w:val="24"/>
          <w:szCs w:val="24"/>
        </w:rPr>
        <w:t xml:space="preserve"> </w:t>
      </w:r>
      <w:r w:rsidRPr="00022B05">
        <w:rPr>
          <w:sz w:val="24"/>
          <w:szCs w:val="24"/>
        </w:rPr>
        <w:t xml:space="preserve">Plagioclase-bearing lherzolites (Figures 5e and 6a) and websterites (Figures 5d and 6b) have less than 10% of plagioclase, while troctolites (Figure 5b), olivine gabbros (Figures 5a, 5c, and 6c) and gabbros (Figure 6d) have more than 40% (Table </w:t>
      </w:r>
      <w:r w:rsidR="00986634">
        <w:rPr>
          <w:sz w:val="24"/>
          <w:szCs w:val="24"/>
        </w:rPr>
        <w:t>4</w:t>
      </w:r>
      <w:r w:rsidRPr="00022B05">
        <w:rPr>
          <w:sz w:val="24"/>
          <w:szCs w:val="24"/>
        </w:rPr>
        <w:t xml:space="preserve">). The plagioclase distribution is heterogeneous even at the scale of a thin section (Figures 5b and 5c). Plagioclase forms small interstitial grains (&lt;500µm) associated with mafic minerals, or larger grains (up to one cm) in plagioclase-rich lenses (Figures 5a and 6c). In some samples, these plagioclase-rich lenses have a preferred orientation (Figure 5a). </w:t>
      </w:r>
      <w:r w:rsidR="00401AB6">
        <w:rPr>
          <w:sz w:val="24"/>
          <w:szCs w:val="24"/>
        </w:rPr>
        <w:t>Except for sample SMS6-5-7 and SMS12-3-1B (Table 4), no</w:t>
      </w:r>
      <w:r w:rsidR="005619A3">
        <w:rPr>
          <w:sz w:val="24"/>
          <w:szCs w:val="24"/>
        </w:rPr>
        <w:t xml:space="preserve"> textural evidence of gabbroic veins or dykelets </w:t>
      </w:r>
      <w:r w:rsidR="00401AB6">
        <w:rPr>
          <w:sz w:val="24"/>
          <w:szCs w:val="24"/>
        </w:rPr>
        <w:t>was</w:t>
      </w:r>
      <w:r w:rsidR="005619A3">
        <w:rPr>
          <w:sz w:val="24"/>
          <w:szCs w:val="24"/>
        </w:rPr>
        <w:t xml:space="preserve"> observed. </w:t>
      </w:r>
      <w:r w:rsidRPr="00022B05">
        <w:rPr>
          <w:sz w:val="24"/>
          <w:szCs w:val="24"/>
        </w:rPr>
        <w:t>Plagioclase grains are irregular in shape, with widespread evidence for intracrystalline deformation (mechanical twins and undulose extinction) and for dynamic recrystallization into smaller grains (Figure 6c). Interstitial plagioclase also forms rims around spinel in the most ultramafic samples (Figure 7a), or crystallizes as small irregular grains that appear to partially replace orthopyroxene (Figure 7b).</w:t>
      </w:r>
    </w:p>
    <w:p w14:paraId="47F2BC2C" w14:textId="77777777" w:rsidR="00526478" w:rsidRDefault="00526478" w:rsidP="001D4A1B">
      <w:pPr>
        <w:spacing w:after="120"/>
        <w:jc w:val="both"/>
        <w:rPr>
          <w:sz w:val="24"/>
          <w:szCs w:val="24"/>
        </w:rPr>
      </w:pPr>
    </w:p>
    <w:p w14:paraId="4629C47E" w14:textId="51410C13" w:rsidR="00526478" w:rsidRDefault="00526478" w:rsidP="001D4A1B">
      <w:pPr>
        <w:spacing w:after="120"/>
        <w:jc w:val="both"/>
        <w:rPr>
          <w:sz w:val="24"/>
          <w:szCs w:val="24"/>
        </w:rPr>
      </w:pPr>
      <w:r>
        <w:rPr>
          <w:noProof/>
          <w:sz w:val="24"/>
          <w:szCs w:val="24"/>
          <w:lang w:val="en-GB" w:eastAsia="en-GB"/>
        </w:rPr>
        <w:drawing>
          <wp:inline distT="0" distB="0" distL="0" distR="0" wp14:anchorId="4FBBAAC4" wp14:editId="354272F6">
            <wp:extent cx="5933440" cy="4013200"/>
            <wp:effectExtent l="0" t="0" r="10160" b="0"/>
            <wp:docPr id="6" name="Image 6" descr="Sans titre:Users:MarinePaquet:Documents:PhD:Sujet Basaltes - Stage M2:Papiers:Majeurs &amp; Traces:Figures:Figure6_lames_min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ans titre:Users:MarinePaquet:Documents:PhD:Sujet Basaltes - Stage M2:Papiers:Majeurs &amp; Traces:Figures:Figure6_lames_minces.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3440" cy="4013200"/>
                    </a:xfrm>
                    <a:prstGeom prst="rect">
                      <a:avLst/>
                    </a:prstGeom>
                    <a:noFill/>
                    <a:ln>
                      <a:noFill/>
                    </a:ln>
                  </pic:spPr>
                </pic:pic>
              </a:graphicData>
            </a:graphic>
          </wp:inline>
        </w:drawing>
      </w:r>
    </w:p>
    <w:p w14:paraId="316AEB75" w14:textId="21D9518D" w:rsidR="00526478" w:rsidRPr="00526478" w:rsidRDefault="00526478" w:rsidP="00526478">
      <w:pPr>
        <w:spacing w:after="120"/>
        <w:jc w:val="both"/>
        <w:rPr>
          <w:sz w:val="32"/>
          <w:szCs w:val="24"/>
        </w:rPr>
      </w:pPr>
      <w:proofErr w:type="gramStart"/>
      <w:r w:rsidRPr="00E137B3">
        <w:rPr>
          <w:b/>
          <w:sz w:val="24"/>
          <w:szCs w:val="24"/>
        </w:rPr>
        <w:t xml:space="preserve">Figure </w:t>
      </w:r>
      <w:r>
        <w:rPr>
          <w:b/>
          <w:sz w:val="24"/>
          <w:szCs w:val="24"/>
        </w:rPr>
        <w:t>6</w:t>
      </w:r>
      <w:r w:rsidRPr="00E137B3">
        <w:rPr>
          <w:sz w:val="24"/>
          <w:szCs w:val="24"/>
        </w:rPr>
        <w:t>.</w:t>
      </w:r>
      <w:proofErr w:type="gramEnd"/>
      <w:r w:rsidRPr="00E137B3">
        <w:rPr>
          <w:sz w:val="24"/>
          <w:szCs w:val="24"/>
        </w:rPr>
        <w:t xml:space="preserve"> </w:t>
      </w:r>
      <w:proofErr w:type="gramStart"/>
      <w:r w:rsidR="00BA56C4" w:rsidRPr="00BA56C4">
        <w:rPr>
          <w:sz w:val="24"/>
        </w:rPr>
        <w:t>Representative microphotographs of samples of the plagioclase-bearing ultramafic to gabbroic suite.</w:t>
      </w:r>
      <w:proofErr w:type="gramEnd"/>
      <w:r w:rsidR="00BA56C4" w:rsidRPr="00BA56C4">
        <w:rPr>
          <w:sz w:val="24"/>
        </w:rPr>
        <w:t xml:space="preserve"> </w:t>
      </w:r>
      <w:proofErr w:type="gramStart"/>
      <w:r w:rsidR="00BA56C4" w:rsidRPr="00BA56C4">
        <w:rPr>
          <w:sz w:val="24"/>
        </w:rPr>
        <w:t>Crossed nicols.</w:t>
      </w:r>
      <w:proofErr w:type="gramEnd"/>
      <w:r w:rsidR="00BA56C4" w:rsidRPr="00BA56C4">
        <w:rPr>
          <w:sz w:val="24"/>
        </w:rPr>
        <w:t xml:space="preserve"> </w:t>
      </w:r>
      <w:r w:rsidR="00BA56C4" w:rsidRPr="00BA56C4">
        <w:rPr>
          <w:b/>
          <w:sz w:val="24"/>
        </w:rPr>
        <w:t>(a)</w:t>
      </w:r>
      <w:r w:rsidR="00BA56C4" w:rsidRPr="00BA56C4">
        <w:rPr>
          <w:sz w:val="24"/>
        </w:rPr>
        <w:t xml:space="preserve"> Sample SMS6-5-2 (Figure 5d): plagioclase-bearing lherzolite with small interstitial grains of plagioclase (Pl) and large orthopyroxenes (Opx) with fine clinopyroxene (Cpx) exsolutions; olivines (Ol) are irregularly-shaped with subgrains boundaries and undulose extinction; contacts between olivine and orthopyroxene are lobate; spinels (Sp) appear with elongated shapes. </w:t>
      </w:r>
      <w:r w:rsidR="00BA56C4" w:rsidRPr="00BA56C4">
        <w:rPr>
          <w:b/>
          <w:sz w:val="24"/>
        </w:rPr>
        <w:t>(b)</w:t>
      </w:r>
      <w:r w:rsidR="00BA56C4" w:rsidRPr="00BA56C4">
        <w:rPr>
          <w:sz w:val="24"/>
        </w:rPr>
        <w:t xml:space="preserve"> Sample SMS17-4-22: plagioclase-bearing websterite with large kinked orthopyroxenes which have lobate contacts with olivine; plagioclase appear as small droplets (&lt;1mm) between olivines, clinopyroxenes and orthopyroxenes. </w:t>
      </w:r>
      <w:r w:rsidR="00BA56C4" w:rsidRPr="00BA56C4">
        <w:rPr>
          <w:b/>
          <w:sz w:val="24"/>
        </w:rPr>
        <w:t>(c)</w:t>
      </w:r>
      <w:r w:rsidR="00BA56C4" w:rsidRPr="00BA56C4">
        <w:rPr>
          <w:sz w:val="24"/>
        </w:rPr>
        <w:t xml:space="preserve"> Sample SMS6-2-1 </w:t>
      </w:r>
      <w:r w:rsidR="00BA56C4" w:rsidRPr="00BA56C4">
        <w:rPr>
          <w:sz w:val="24"/>
        </w:rPr>
        <w:lastRenderedPageBreak/>
        <w:t xml:space="preserve">(Figure 5a): olivine gabbro with plagioclase-rich lenses, kinked clinopyroxenes and equant to elongated olivines. </w:t>
      </w:r>
      <w:r w:rsidR="00BA56C4" w:rsidRPr="00BA56C4">
        <w:rPr>
          <w:b/>
          <w:sz w:val="24"/>
        </w:rPr>
        <w:t>(d)</w:t>
      </w:r>
      <w:r w:rsidR="00BA56C4" w:rsidRPr="00BA56C4">
        <w:rPr>
          <w:sz w:val="24"/>
        </w:rPr>
        <w:t xml:space="preserve"> Sample SMS6-5-7: gabbro with a large proportion of orthopyroxene which occurs as large grains, smaller grains in the plagioclase matrix or next to a clinopyroxene crystal enclosing orthopyroxene and plagioclase inclusions. In </w:t>
      </w:r>
      <w:r w:rsidR="00BA56C4" w:rsidRPr="00BA56C4">
        <w:rPr>
          <w:b/>
          <w:sz w:val="24"/>
        </w:rPr>
        <w:t xml:space="preserve">(c) </w:t>
      </w:r>
      <w:r w:rsidR="00BA56C4" w:rsidRPr="00BA56C4">
        <w:rPr>
          <w:sz w:val="24"/>
        </w:rPr>
        <w:t xml:space="preserve">and </w:t>
      </w:r>
      <w:r w:rsidR="00BA56C4" w:rsidRPr="00BA56C4">
        <w:rPr>
          <w:b/>
          <w:sz w:val="24"/>
        </w:rPr>
        <w:t>(d)</w:t>
      </w:r>
      <w:r w:rsidR="00BA56C4" w:rsidRPr="00BA56C4">
        <w:rPr>
          <w:sz w:val="24"/>
        </w:rPr>
        <w:t>, plagioclase occurs as relatively large grains, with common mechanical twins, and small (few tens of µm to hundred of µm) recrystallised neoblasts, and clinopyroxenes show orthopyroxene exsolutions and undulose extinction.</w:t>
      </w:r>
    </w:p>
    <w:p w14:paraId="715759C7" w14:textId="77777777" w:rsidR="00BC0115" w:rsidRPr="00F732F3" w:rsidRDefault="00BC0115" w:rsidP="00BC0115">
      <w:pPr>
        <w:pStyle w:val="FigureorTableCaption"/>
      </w:pPr>
      <w:proofErr w:type="gramStart"/>
      <w:r w:rsidRPr="00022B05">
        <w:rPr>
          <w:b/>
        </w:rPr>
        <w:t xml:space="preserve">Table </w:t>
      </w:r>
      <w:r>
        <w:rPr>
          <w:b/>
        </w:rPr>
        <w:t>4</w:t>
      </w:r>
      <w:r w:rsidRPr="00022B05">
        <w:rPr>
          <w:b/>
        </w:rPr>
        <w:t>.</w:t>
      </w:r>
      <w:proofErr w:type="gramEnd"/>
      <w:r w:rsidRPr="00022B05">
        <w:t xml:space="preserve"> </w:t>
      </w:r>
      <w:proofErr w:type="gramStart"/>
      <w:r w:rsidRPr="00F732F3">
        <w:rPr>
          <w:color w:val="000000"/>
        </w:rPr>
        <w:t xml:space="preserve">Mineral abundances for selected </w:t>
      </w:r>
      <w:r>
        <w:rPr>
          <w:color w:val="000000"/>
        </w:rPr>
        <w:t xml:space="preserve">representative </w:t>
      </w:r>
      <w:r w:rsidRPr="00F732F3">
        <w:rPr>
          <w:color w:val="000000"/>
        </w:rPr>
        <w:t>samples</w:t>
      </w:r>
      <w:r>
        <w:rPr>
          <w:color w:val="000000"/>
        </w:rPr>
        <w:t>.</w:t>
      </w:r>
      <w:proofErr w:type="gramEnd"/>
    </w:p>
    <w:p w14:paraId="0D761B53" w14:textId="77777777" w:rsidR="00526478" w:rsidRDefault="00526478" w:rsidP="001D4A1B">
      <w:pPr>
        <w:spacing w:after="120"/>
        <w:jc w:val="both"/>
        <w:rPr>
          <w:sz w:val="24"/>
          <w:szCs w:val="24"/>
          <w:highlight w:val="yellow"/>
        </w:rPr>
      </w:pPr>
    </w:p>
    <w:tbl>
      <w:tblPr>
        <w:tblW w:w="5000" w:type="pct"/>
        <w:tblCellMar>
          <w:left w:w="70" w:type="dxa"/>
          <w:right w:w="70" w:type="dxa"/>
        </w:tblCellMar>
        <w:tblLook w:val="04A0" w:firstRow="1" w:lastRow="0" w:firstColumn="1" w:lastColumn="0" w:noHBand="0" w:noVBand="1"/>
      </w:tblPr>
      <w:tblGrid>
        <w:gridCol w:w="1286"/>
        <w:gridCol w:w="2742"/>
        <w:gridCol w:w="783"/>
        <w:gridCol w:w="1438"/>
        <w:gridCol w:w="1402"/>
        <w:gridCol w:w="690"/>
        <w:gridCol w:w="1159"/>
      </w:tblGrid>
      <w:tr w:rsidR="002B34CE" w:rsidRPr="00082937" w14:paraId="1C947933" w14:textId="77777777" w:rsidTr="00BC0115">
        <w:trPr>
          <w:trHeight w:val="300"/>
        </w:trPr>
        <w:tc>
          <w:tcPr>
            <w:tcW w:w="677" w:type="pct"/>
            <w:vMerge w:val="restart"/>
            <w:tcBorders>
              <w:top w:val="single" w:sz="4" w:space="0" w:color="auto"/>
              <w:left w:val="nil"/>
              <w:right w:val="nil"/>
            </w:tcBorders>
            <w:shd w:val="clear" w:color="auto" w:fill="auto"/>
            <w:noWrap/>
            <w:vAlign w:val="center"/>
            <w:hideMark/>
          </w:tcPr>
          <w:p w14:paraId="29A4C6A5" w14:textId="6A498886" w:rsidR="002B34CE" w:rsidRPr="00082937" w:rsidRDefault="002B34CE" w:rsidP="002B34CE">
            <w:pPr>
              <w:jc w:val="center"/>
              <w:rPr>
                <w:rFonts w:eastAsia="Times New Roman"/>
                <w:color w:val="000000"/>
                <w:sz w:val="18"/>
                <w:szCs w:val="18"/>
                <w:lang w:val="fr-FR" w:eastAsia="fr-FR"/>
              </w:rPr>
            </w:pPr>
            <w:r w:rsidRPr="00082937">
              <w:rPr>
                <w:rFonts w:eastAsia="Times New Roman"/>
                <w:i/>
                <w:iCs/>
                <w:color w:val="000000"/>
                <w:sz w:val="18"/>
                <w:szCs w:val="18"/>
                <w:lang w:val="fr-FR" w:eastAsia="fr-FR"/>
              </w:rPr>
              <w:t>Samples</w:t>
            </w:r>
          </w:p>
        </w:tc>
        <w:tc>
          <w:tcPr>
            <w:tcW w:w="1443" w:type="pct"/>
            <w:vMerge w:val="restart"/>
            <w:tcBorders>
              <w:top w:val="single" w:sz="4" w:space="0" w:color="auto"/>
              <w:left w:val="nil"/>
              <w:right w:val="nil"/>
            </w:tcBorders>
            <w:shd w:val="clear" w:color="auto" w:fill="auto"/>
            <w:noWrap/>
            <w:vAlign w:val="center"/>
            <w:hideMark/>
          </w:tcPr>
          <w:p w14:paraId="3165769E" w14:textId="0E335F56" w:rsidR="002B34CE" w:rsidRPr="00082937" w:rsidRDefault="002B34CE" w:rsidP="002B34CE">
            <w:pPr>
              <w:jc w:val="center"/>
              <w:rPr>
                <w:rFonts w:eastAsia="Times New Roman"/>
                <w:color w:val="000000"/>
                <w:sz w:val="18"/>
                <w:szCs w:val="18"/>
                <w:lang w:val="fr-FR" w:eastAsia="fr-FR"/>
              </w:rPr>
            </w:pPr>
            <w:r w:rsidRPr="00082937">
              <w:rPr>
                <w:rFonts w:eastAsia="Times New Roman"/>
                <w:i/>
                <w:iCs/>
                <w:color w:val="000000"/>
                <w:sz w:val="18"/>
                <w:szCs w:val="18"/>
                <w:lang w:val="fr-FR" w:eastAsia="fr-FR"/>
              </w:rPr>
              <w:t>Lithologies</w:t>
            </w:r>
          </w:p>
        </w:tc>
        <w:tc>
          <w:tcPr>
            <w:tcW w:w="2880" w:type="pct"/>
            <w:gridSpan w:val="5"/>
            <w:tcBorders>
              <w:top w:val="single" w:sz="4" w:space="0" w:color="auto"/>
              <w:left w:val="nil"/>
              <w:bottom w:val="single" w:sz="4" w:space="0" w:color="auto"/>
              <w:right w:val="nil"/>
            </w:tcBorders>
            <w:shd w:val="clear" w:color="auto" w:fill="auto"/>
            <w:vAlign w:val="center"/>
            <w:hideMark/>
          </w:tcPr>
          <w:p w14:paraId="1C845A9A" w14:textId="77777777" w:rsidR="002B34CE" w:rsidRPr="00082937" w:rsidRDefault="002B34CE" w:rsidP="001B4C30">
            <w:pPr>
              <w:jc w:val="center"/>
              <w:rPr>
                <w:rFonts w:eastAsia="Times New Roman"/>
                <w:i/>
                <w:iCs/>
                <w:color w:val="000000"/>
                <w:sz w:val="18"/>
                <w:szCs w:val="18"/>
                <w:lang w:val="fr-FR" w:eastAsia="fr-FR"/>
              </w:rPr>
            </w:pPr>
            <w:r w:rsidRPr="00082937">
              <w:rPr>
                <w:rFonts w:eastAsia="Times New Roman"/>
                <w:i/>
                <w:iCs/>
                <w:color w:val="000000"/>
                <w:sz w:val="18"/>
                <w:szCs w:val="18"/>
                <w:lang w:val="fr-FR" w:eastAsia="fr-FR"/>
              </w:rPr>
              <w:t>Mineral Abundances (vol%)</w:t>
            </w:r>
          </w:p>
        </w:tc>
      </w:tr>
      <w:tr w:rsidR="002B34CE" w:rsidRPr="00082937" w14:paraId="2F594FB2" w14:textId="77777777" w:rsidTr="00BC0115">
        <w:trPr>
          <w:trHeight w:val="300"/>
        </w:trPr>
        <w:tc>
          <w:tcPr>
            <w:tcW w:w="677" w:type="pct"/>
            <w:vMerge/>
            <w:tcBorders>
              <w:left w:val="nil"/>
              <w:bottom w:val="single" w:sz="4" w:space="0" w:color="auto"/>
              <w:right w:val="nil"/>
            </w:tcBorders>
            <w:shd w:val="clear" w:color="auto" w:fill="auto"/>
            <w:noWrap/>
            <w:vAlign w:val="center"/>
            <w:hideMark/>
          </w:tcPr>
          <w:p w14:paraId="06FA564C" w14:textId="20A24A56" w:rsidR="002B34CE" w:rsidRPr="00082937" w:rsidRDefault="002B34CE" w:rsidP="002B34CE">
            <w:pPr>
              <w:jc w:val="center"/>
              <w:rPr>
                <w:rFonts w:eastAsia="Times New Roman"/>
                <w:i/>
                <w:iCs/>
                <w:color w:val="000000"/>
                <w:sz w:val="18"/>
                <w:szCs w:val="18"/>
                <w:lang w:val="fr-FR" w:eastAsia="fr-FR"/>
              </w:rPr>
            </w:pPr>
          </w:p>
        </w:tc>
        <w:tc>
          <w:tcPr>
            <w:tcW w:w="1443" w:type="pct"/>
            <w:vMerge/>
            <w:tcBorders>
              <w:left w:val="nil"/>
              <w:bottom w:val="single" w:sz="4" w:space="0" w:color="auto"/>
              <w:right w:val="nil"/>
            </w:tcBorders>
            <w:shd w:val="clear" w:color="auto" w:fill="auto"/>
            <w:vAlign w:val="center"/>
            <w:hideMark/>
          </w:tcPr>
          <w:p w14:paraId="4CCD6100" w14:textId="44F79DA2" w:rsidR="002B34CE" w:rsidRPr="00082937" w:rsidRDefault="002B34CE" w:rsidP="002B34CE">
            <w:pPr>
              <w:jc w:val="center"/>
              <w:rPr>
                <w:rFonts w:eastAsia="Times New Roman"/>
                <w:i/>
                <w:iCs/>
                <w:color w:val="000000"/>
                <w:sz w:val="18"/>
                <w:szCs w:val="18"/>
                <w:lang w:val="fr-FR" w:eastAsia="fr-FR"/>
              </w:rPr>
            </w:pPr>
          </w:p>
        </w:tc>
        <w:tc>
          <w:tcPr>
            <w:tcW w:w="412" w:type="pct"/>
            <w:tcBorders>
              <w:top w:val="nil"/>
              <w:left w:val="nil"/>
              <w:bottom w:val="single" w:sz="4" w:space="0" w:color="auto"/>
              <w:right w:val="nil"/>
            </w:tcBorders>
            <w:shd w:val="clear" w:color="auto" w:fill="auto"/>
            <w:vAlign w:val="center"/>
            <w:hideMark/>
          </w:tcPr>
          <w:p w14:paraId="7E0F0A19" w14:textId="77777777" w:rsidR="002B34CE" w:rsidRPr="00082937" w:rsidRDefault="002B34CE" w:rsidP="001B4C30">
            <w:pPr>
              <w:jc w:val="center"/>
              <w:rPr>
                <w:rFonts w:eastAsia="Times New Roman"/>
                <w:i/>
                <w:iCs/>
                <w:color w:val="000000"/>
                <w:sz w:val="18"/>
                <w:szCs w:val="18"/>
                <w:lang w:val="fr-FR" w:eastAsia="fr-FR"/>
              </w:rPr>
            </w:pPr>
            <w:r w:rsidRPr="00082937">
              <w:rPr>
                <w:rFonts w:eastAsia="Times New Roman"/>
                <w:i/>
                <w:iCs/>
                <w:color w:val="000000"/>
                <w:sz w:val="18"/>
                <w:szCs w:val="18"/>
                <w:lang w:val="fr-FR" w:eastAsia="fr-FR"/>
              </w:rPr>
              <w:t>Olivine</w:t>
            </w:r>
          </w:p>
        </w:tc>
        <w:tc>
          <w:tcPr>
            <w:tcW w:w="757" w:type="pct"/>
            <w:tcBorders>
              <w:top w:val="nil"/>
              <w:left w:val="nil"/>
              <w:bottom w:val="single" w:sz="4" w:space="0" w:color="auto"/>
              <w:right w:val="nil"/>
            </w:tcBorders>
            <w:shd w:val="clear" w:color="auto" w:fill="auto"/>
            <w:noWrap/>
            <w:vAlign w:val="center"/>
            <w:hideMark/>
          </w:tcPr>
          <w:p w14:paraId="22035DC4" w14:textId="77777777" w:rsidR="002B34CE" w:rsidRPr="00082937" w:rsidRDefault="002B34CE" w:rsidP="001B4C30">
            <w:pPr>
              <w:jc w:val="center"/>
              <w:rPr>
                <w:rFonts w:eastAsia="Times New Roman"/>
                <w:i/>
                <w:iCs/>
                <w:color w:val="000000"/>
                <w:sz w:val="18"/>
                <w:szCs w:val="18"/>
                <w:lang w:val="fr-FR" w:eastAsia="fr-FR"/>
              </w:rPr>
            </w:pPr>
            <w:r w:rsidRPr="00082937">
              <w:rPr>
                <w:rFonts w:eastAsia="Times New Roman"/>
                <w:i/>
                <w:iCs/>
                <w:color w:val="000000"/>
                <w:sz w:val="18"/>
                <w:szCs w:val="18"/>
                <w:lang w:val="fr-FR" w:eastAsia="fr-FR"/>
              </w:rPr>
              <w:t>Orthopyroxene</w:t>
            </w:r>
          </w:p>
        </w:tc>
        <w:tc>
          <w:tcPr>
            <w:tcW w:w="738" w:type="pct"/>
            <w:tcBorders>
              <w:top w:val="nil"/>
              <w:left w:val="nil"/>
              <w:bottom w:val="single" w:sz="4" w:space="0" w:color="auto"/>
              <w:right w:val="nil"/>
            </w:tcBorders>
            <w:shd w:val="clear" w:color="auto" w:fill="auto"/>
            <w:noWrap/>
            <w:vAlign w:val="center"/>
            <w:hideMark/>
          </w:tcPr>
          <w:p w14:paraId="7630E544" w14:textId="77777777" w:rsidR="002B34CE" w:rsidRPr="00082937" w:rsidRDefault="002B34CE" w:rsidP="001B4C30">
            <w:pPr>
              <w:jc w:val="center"/>
              <w:rPr>
                <w:rFonts w:eastAsia="Times New Roman"/>
                <w:i/>
                <w:iCs/>
                <w:color w:val="000000"/>
                <w:sz w:val="18"/>
                <w:szCs w:val="18"/>
                <w:lang w:val="fr-FR" w:eastAsia="fr-FR"/>
              </w:rPr>
            </w:pPr>
            <w:r w:rsidRPr="00082937">
              <w:rPr>
                <w:rFonts w:eastAsia="Times New Roman"/>
                <w:i/>
                <w:iCs/>
                <w:color w:val="000000"/>
                <w:sz w:val="18"/>
                <w:szCs w:val="18"/>
                <w:lang w:val="fr-FR" w:eastAsia="fr-FR"/>
              </w:rPr>
              <w:t>Clinopyroxene</w:t>
            </w:r>
          </w:p>
        </w:tc>
        <w:tc>
          <w:tcPr>
            <w:tcW w:w="363" w:type="pct"/>
            <w:tcBorders>
              <w:top w:val="nil"/>
              <w:left w:val="nil"/>
              <w:bottom w:val="single" w:sz="4" w:space="0" w:color="auto"/>
              <w:right w:val="nil"/>
            </w:tcBorders>
            <w:shd w:val="clear" w:color="auto" w:fill="auto"/>
            <w:noWrap/>
            <w:vAlign w:val="center"/>
            <w:hideMark/>
          </w:tcPr>
          <w:p w14:paraId="4CD86354" w14:textId="77777777" w:rsidR="002B34CE" w:rsidRPr="00082937" w:rsidRDefault="002B34CE" w:rsidP="001B4C30">
            <w:pPr>
              <w:jc w:val="center"/>
              <w:rPr>
                <w:rFonts w:eastAsia="Times New Roman"/>
                <w:i/>
                <w:iCs/>
                <w:color w:val="000000"/>
                <w:sz w:val="18"/>
                <w:szCs w:val="18"/>
                <w:lang w:val="fr-FR" w:eastAsia="fr-FR"/>
              </w:rPr>
            </w:pPr>
            <w:r w:rsidRPr="00082937">
              <w:rPr>
                <w:rFonts w:eastAsia="Times New Roman"/>
                <w:i/>
                <w:iCs/>
                <w:color w:val="000000"/>
                <w:sz w:val="18"/>
                <w:szCs w:val="18"/>
                <w:lang w:val="fr-FR" w:eastAsia="fr-FR"/>
              </w:rPr>
              <w:t>Spinel</w:t>
            </w:r>
          </w:p>
        </w:tc>
        <w:tc>
          <w:tcPr>
            <w:tcW w:w="609" w:type="pct"/>
            <w:tcBorders>
              <w:top w:val="nil"/>
              <w:left w:val="nil"/>
              <w:bottom w:val="single" w:sz="4" w:space="0" w:color="auto"/>
              <w:right w:val="nil"/>
            </w:tcBorders>
            <w:shd w:val="clear" w:color="auto" w:fill="auto"/>
            <w:noWrap/>
            <w:vAlign w:val="center"/>
            <w:hideMark/>
          </w:tcPr>
          <w:p w14:paraId="246770A6" w14:textId="77777777" w:rsidR="002B34CE" w:rsidRPr="00082937" w:rsidRDefault="002B34CE" w:rsidP="001B4C30">
            <w:pPr>
              <w:jc w:val="center"/>
              <w:rPr>
                <w:rFonts w:eastAsia="Times New Roman"/>
                <w:i/>
                <w:iCs/>
                <w:color w:val="000000"/>
                <w:sz w:val="18"/>
                <w:szCs w:val="18"/>
                <w:lang w:val="fr-FR" w:eastAsia="fr-FR"/>
              </w:rPr>
            </w:pPr>
            <w:r w:rsidRPr="00082937">
              <w:rPr>
                <w:rFonts w:eastAsia="Times New Roman"/>
                <w:i/>
                <w:iCs/>
                <w:color w:val="000000"/>
                <w:sz w:val="18"/>
                <w:szCs w:val="18"/>
                <w:lang w:val="fr-FR" w:eastAsia="fr-FR"/>
              </w:rPr>
              <w:t>Plagioclase</w:t>
            </w:r>
          </w:p>
        </w:tc>
      </w:tr>
      <w:tr w:rsidR="001B4C30" w:rsidRPr="00082937" w14:paraId="5EE048F3" w14:textId="77777777" w:rsidTr="00BC0115">
        <w:trPr>
          <w:trHeight w:val="320"/>
        </w:trPr>
        <w:tc>
          <w:tcPr>
            <w:tcW w:w="677" w:type="pct"/>
            <w:tcBorders>
              <w:top w:val="nil"/>
              <w:left w:val="nil"/>
              <w:bottom w:val="nil"/>
              <w:right w:val="nil"/>
            </w:tcBorders>
            <w:shd w:val="clear" w:color="auto" w:fill="auto"/>
            <w:noWrap/>
            <w:vAlign w:val="center"/>
            <w:hideMark/>
          </w:tcPr>
          <w:p w14:paraId="10532CC5"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SMS6-2-1</w:t>
            </w:r>
          </w:p>
        </w:tc>
        <w:tc>
          <w:tcPr>
            <w:tcW w:w="1443" w:type="pct"/>
            <w:tcBorders>
              <w:top w:val="nil"/>
              <w:left w:val="nil"/>
              <w:bottom w:val="nil"/>
              <w:right w:val="nil"/>
            </w:tcBorders>
            <w:shd w:val="clear" w:color="auto" w:fill="auto"/>
            <w:vAlign w:val="center"/>
            <w:hideMark/>
          </w:tcPr>
          <w:p w14:paraId="61E93185"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Olivine gabbro</w:t>
            </w:r>
          </w:p>
        </w:tc>
        <w:tc>
          <w:tcPr>
            <w:tcW w:w="412" w:type="pct"/>
            <w:tcBorders>
              <w:top w:val="nil"/>
              <w:left w:val="nil"/>
              <w:bottom w:val="nil"/>
              <w:right w:val="nil"/>
            </w:tcBorders>
            <w:shd w:val="clear" w:color="auto" w:fill="auto"/>
            <w:vAlign w:val="center"/>
            <w:hideMark/>
          </w:tcPr>
          <w:p w14:paraId="4A1D9EB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27.74</w:t>
            </w:r>
          </w:p>
        </w:tc>
        <w:tc>
          <w:tcPr>
            <w:tcW w:w="757" w:type="pct"/>
            <w:tcBorders>
              <w:top w:val="nil"/>
              <w:left w:val="nil"/>
              <w:bottom w:val="nil"/>
              <w:right w:val="nil"/>
            </w:tcBorders>
            <w:shd w:val="clear" w:color="auto" w:fill="auto"/>
            <w:noWrap/>
            <w:vAlign w:val="bottom"/>
            <w:hideMark/>
          </w:tcPr>
          <w:p w14:paraId="6D5FE0A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0.06</w:t>
            </w:r>
          </w:p>
        </w:tc>
        <w:tc>
          <w:tcPr>
            <w:tcW w:w="738" w:type="pct"/>
            <w:tcBorders>
              <w:top w:val="nil"/>
              <w:left w:val="nil"/>
              <w:bottom w:val="nil"/>
              <w:right w:val="nil"/>
            </w:tcBorders>
            <w:shd w:val="clear" w:color="auto" w:fill="auto"/>
            <w:noWrap/>
            <w:vAlign w:val="bottom"/>
            <w:hideMark/>
          </w:tcPr>
          <w:p w14:paraId="123A234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13.59</w:t>
            </w:r>
          </w:p>
        </w:tc>
        <w:tc>
          <w:tcPr>
            <w:tcW w:w="363" w:type="pct"/>
            <w:tcBorders>
              <w:top w:val="nil"/>
              <w:left w:val="nil"/>
              <w:bottom w:val="nil"/>
              <w:right w:val="nil"/>
            </w:tcBorders>
            <w:shd w:val="clear" w:color="auto" w:fill="auto"/>
            <w:noWrap/>
            <w:vAlign w:val="bottom"/>
            <w:hideMark/>
          </w:tcPr>
          <w:p w14:paraId="5B687F6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609" w:type="pct"/>
            <w:tcBorders>
              <w:top w:val="nil"/>
              <w:left w:val="nil"/>
              <w:bottom w:val="nil"/>
              <w:right w:val="nil"/>
            </w:tcBorders>
            <w:shd w:val="clear" w:color="auto" w:fill="auto"/>
            <w:noWrap/>
            <w:vAlign w:val="bottom"/>
            <w:hideMark/>
          </w:tcPr>
          <w:p w14:paraId="52ECBB75"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57.76</w:t>
            </w:r>
          </w:p>
        </w:tc>
      </w:tr>
      <w:tr w:rsidR="001B4C30" w:rsidRPr="00082937" w14:paraId="24B3A36A" w14:textId="77777777" w:rsidTr="00BC0115">
        <w:trPr>
          <w:trHeight w:val="320"/>
        </w:trPr>
        <w:tc>
          <w:tcPr>
            <w:tcW w:w="677" w:type="pct"/>
            <w:tcBorders>
              <w:top w:val="nil"/>
              <w:left w:val="nil"/>
              <w:bottom w:val="nil"/>
              <w:right w:val="nil"/>
            </w:tcBorders>
            <w:shd w:val="clear" w:color="auto" w:fill="auto"/>
            <w:noWrap/>
            <w:vAlign w:val="center"/>
            <w:hideMark/>
          </w:tcPr>
          <w:p w14:paraId="5D5B7D2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SMS6-5-2</w:t>
            </w:r>
          </w:p>
        </w:tc>
        <w:tc>
          <w:tcPr>
            <w:tcW w:w="1443" w:type="pct"/>
            <w:tcBorders>
              <w:top w:val="nil"/>
              <w:left w:val="nil"/>
              <w:bottom w:val="nil"/>
              <w:right w:val="nil"/>
            </w:tcBorders>
            <w:shd w:val="clear" w:color="auto" w:fill="auto"/>
            <w:vAlign w:val="center"/>
            <w:hideMark/>
          </w:tcPr>
          <w:p w14:paraId="19DC0F3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lherzolite</w:t>
            </w:r>
          </w:p>
        </w:tc>
        <w:tc>
          <w:tcPr>
            <w:tcW w:w="412" w:type="pct"/>
            <w:tcBorders>
              <w:top w:val="nil"/>
              <w:left w:val="nil"/>
              <w:bottom w:val="nil"/>
              <w:right w:val="nil"/>
            </w:tcBorders>
            <w:shd w:val="clear" w:color="auto" w:fill="auto"/>
            <w:noWrap/>
            <w:vAlign w:val="center"/>
            <w:hideMark/>
          </w:tcPr>
          <w:p w14:paraId="2A407B9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62.79</w:t>
            </w:r>
          </w:p>
        </w:tc>
        <w:tc>
          <w:tcPr>
            <w:tcW w:w="757" w:type="pct"/>
            <w:tcBorders>
              <w:top w:val="nil"/>
              <w:left w:val="nil"/>
              <w:bottom w:val="nil"/>
              <w:right w:val="nil"/>
            </w:tcBorders>
            <w:shd w:val="clear" w:color="auto" w:fill="auto"/>
            <w:noWrap/>
            <w:vAlign w:val="center"/>
            <w:hideMark/>
          </w:tcPr>
          <w:p w14:paraId="06D2E638"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30.27</w:t>
            </w:r>
          </w:p>
        </w:tc>
        <w:tc>
          <w:tcPr>
            <w:tcW w:w="738" w:type="pct"/>
            <w:tcBorders>
              <w:top w:val="nil"/>
              <w:left w:val="nil"/>
              <w:bottom w:val="nil"/>
              <w:right w:val="nil"/>
            </w:tcBorders>
            <w:shd w:val="clear" w:color="auto" w:fill="auto"/>
            <w:noWrap/>
            <w:vAlign w:val="center"/>
            <w:hideMark/>
          </w:tcPr>
          <w:p w14:paraId="63D69DF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4.54</w:t>
            </w:r>
          </w:p>
        </w:tc>
        <w:tc>
          <w:tcPr>
            <w:tcW w:w="363" w:type="pct"/>
            <w:tcBorders>
              <w:top w:val="nil"/>
              <w:left w:val="nil"/>
              <w:bottom w:val="nil"/>
              <w:right w:val="nil"/>
            </w:tcBorders>
            <w:shd w:val="clear" w:color="auto" w:fill="auto"/>
            <w:noWrap/>
            <w:vAlign w:val="center"/>
            <w:hideMark/>
          </w:tcPr>
          <w:p w14:paraId="3B76688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0.002</w:t>
            </w:r>
          </w:p>
        </w:tc>
        <w:tc>
          <w:tcPr>
            <w:tcW w:w="609" w:type="pct"/>
            <w:tcBorders>
              <w:top w:val="nil"/>
              <w:left w:val="nil"/>
              <w:bottom w:val="nil"/>
              <w:right w:val="nil"/>
            </w:tcBorders>
            <w:shd w:val="clear" w:color="auto" w:fill="auto"/>
            <w:noWrap/>
            <w:vAlign w:val="center"/>
            <w:hideMark/>
          </w:tcPr>
          <w:p w14:paraId="48955A3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2.03</w:t>
            </w:r>
          </w:p>
        </w:tc>
      </w:tr>
      <w:tr w:rsidR="001B4C30" w:rsidRPr="00082937" w14:paraId="5295A663" w14:textId="77777777" w:rsidTr="00BC0115">
        <w:trPr>
          <w:trHeight w:val="320"/>
        </w:trPr>
        <w:tc>
          <w:tcPr>
            <w:tcW w:w="677" w:type="pct"/>
            <w:tcBorders>
              <w:top w:val="nil"/>
              <w:left w:val="nil"/>
              <w:bottom w:val="nil"/>
              <w:right w:val="nil"/>
            </w:tcBorders>
            <w:shd w:val="clear" w:color="auto" w:fill="auto"/>
            <w:noWrap/>
            <w:vAlign w:val="center"/>
            <w:hideMark/>
          </w:tcPr>
          <w:p w14:paraId="1A90D76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SMS6-5-7A</w:t>
            </w:r>
          </w:p>
        </w:tc>
        <w:tc>
          <w:tcPr>
            <w:tcW w:w="1443" w:type="pct"/>
            <w:tcBorders>
              <w:top w:val="nil"/>
              <w:left w:val="nil"/>
              <w:bottom w:val="nil"/>
              <w:right w:val="nil"/>
            </w:tcBorders>
            <w:shd w:val="clear" w:color="auto" w:fill="auto"/>
            <w:vAlign w:val="center"/>
            <w:hideMark/>
          </w:tcPr>
          <w:p w14:paraId="41A43F3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websterite</w:t>
            </w:r>
          </w:p>
        </w:tc>
        <w:tc>
          <w:tcPr>
            <w:tcW w:w="412" w:type="pct"/>
            <w:tcBorders>
              <w:top w:val="nil"/>
              <w:left w:val="nil"/>
              <w:bottom w:val="nil"/>
              <w:right w:val="nil"/>
            </w:tcBorders>
            <w:shd w:val="clear" w:color="auto" w:fill="auto"/>
            <w:noWrap/>
            <w:vAlign w:val="center"/>
            <w:hideMark/>
          </w:tcPr>
          <w:p w14:paraId="551B098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7.43</w:t>
            </w:r>
          </w:p>
        </w:tc>
        <w:tc>
          <w:tcPr>
            <w:tcW w:w="757" w:type="pct"/>
            <w:tcBorders>
              <w:top w:val="nil"/>
              <w:left w:val="nil"/>
              <w:bottom w:val="nil"/>
              <w:right w:val="nil"/>
            </w:tcBorders>
            <w:shd w:val="clear" w:color="auto" w:fill="auto"/>
            <w:noWrap/>
            <w:vAlign w:val="center"/>
            <w:hideMark/>
          </w:tcPr>
          <w:p w14:paraId="0949A8B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12.89</w:t>
            </w:r>
          </w:p>
        </w:tc>
        <w:tc>
          <w:tcPr>
            <w:tcW w:w="738" w:type="pct"/>
            <w:tcBorders>
              <w:top w:val="nil"/>
              <w:left w:val="nil"/>
              <w:bottom w:val="nil"/>
              <w:right w:val="nil"/>
            </w:tcBorders>
            <w:shd w:val="clear" w:color="auto" w:fill="auto"/>
            <w:noWrap/>
            <w:vAlign w:val="center"/>
            <w:hideMark/>
          </w:tcPr>
          <w:p w14:paraId="69D9FCB8"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70.60</w:t>
            </w:r>
          </w:p>
        </w:tc>
        <w:tc>
          <w:tcPr>
            <w:tcW w:w="363" w:type="pct"/>
            <w:tcBorders>
              <w:top w:val="nil"/>
              <w:left w:val="nil"/>
              <w:bottom w:val="nil"/>
              <w:right w:val="nil"/>
            </w:tcBorders>
            <w:shd w:val="clear" w:color="auto" w:fill="auto"/>
            <w:noWrap/>
            <w:vAlign w:val="center"/>
            <w:hideMark/>
          </w:tcPr>
          <w:p w14:paraId="6AC11E4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0.16</w:t>
            </w:r>
          </w:p>
        </w:tc>
        <w:tc>
          <w:tcPr>
            <w:tcW w:w="609" w:type="pct"/>
            <w:tcBorders>
              <w:top w:val="nil"/>
              <w:left w:val="nil"/>
              <w:bottom w:val="nil"/>
              <w:right w:val="nil"/>
            </w:tcBorders>
            <w:shd w:val="clear" w:color="auto" w:fill="auto"/>
            <w:noWrap/>
            <w:vAlign w:val="center"/>
            <w:hideMark/>
          </w:tcPr>
          <w:p w14:paraId="0DB4225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8.93</w:t>
            </w:r>
          </w:p>
        </w:tc>
      </w:tr>
      <w:tr w:rsidR="001B4C30" w:rsidRPr="00082937" w14:paraId="716FF0B2" w14:textId="77777777" w:rsidTr="00BC0115">
        <w:trPr>
          <w:trHeight w:val="320"/>
        </w:trPr>
        <w:tc>
          <w:tcPr>
            <w:tcW w:w="677" w:type="pct"/>
            <w:tcBorders>
              <w:top w:val="nil"/>
              <w:left w:val="nil"/>
              <w:bottom w:val="nil"/>
              <w:right w:val="nil"/>
            </w:tcBorders>
            <w:shd w:val="clear" w:color="auto" w:fill="auto"/>
            <w:noWrap/>
            <w:vAlign w:val="center"/>
            <w:hideMark/>
          </w:tcPr>
          <w:p w14:paraId="521D14C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SMS6-5-7B</w:t>
            </w:r>
          </w:p>
        </w:tc>
        <w:tc>
          <w:tcPr>
            <w:tcW w:w="1443" w:type="pct"/>
            <w:tcBorders>
              <w:top w:val="nil"/>
              <w:left w:val="nil"/>
              <w:bottom w:val="nil"/>
              <w:right w:val="nil"/>
            </w:tcBorders>
            <w:shd w:val="clear" w:color="auto" w:fill="auto"/>
            <w:vAlign w:val="center"/>
            <w:hideMark/>
          </w:tcPr>
          <w:p w14:paraId="40B411C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Gabbro</w:t>
            </w:r>
          </w:p>
        </w:tc>
        <w:tc>
          <w:tcPr>
            <w:tcW w:w="412" w:type="pct"/>
            <w:tcBorders>
              <w:top w:val="nil"/>
              <w:left w:val="nil"/>
              <w:bottom w:val="nil"/>
              <w:right w:val="nil"/>
            </w:tcBorders>
            <w:shd w:val="clear" w:color="auto" w:fill="auto"/>
            <w:noWrap/>
            <w:vAlign w:val="center"/>
            <w:hideMark/>
          </w:tcPr>
          <w:p w14:paraId="571BE60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757" w:type="pct"/>
            <w:tcBorders>
              <w:top w:val="nil"/>
              <w:left w:val="nil"/>
              <w:bottom w:val="nil"/>
              <w:right w:val="nil"/>
            </w:tcBorders>
            <w:shd w:val="clear" w:color="auto" w:fill="auto"/>
            <w:noWrap/>
            <w:vAlign w:val="center"/>
            <w:hideMark/>
          </w:tcPr>
          <w:p w14:paraId="64554ED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21.24</w:t>
            </w:r>
          </w:p>
        </w:tc>
        <w:tc>
          <w:tcPr>
            <w:tcW w:w="738" w:type="pct"/>
            <w:tcBorders>
              <w:top w:val="nil"/>
              <w:left w:val="nil"/>
              <w:bottom w:val="nil"/>
              <w:right w:val="nil"/>
            </w:tcBorders>
            <w:shd w:val="clear" w:color="auto" w:fill="auto"/>
            <w:noWrap/>
            <w:vAlign w:val="center"/>
            <w:hideMark/>
          </w:tcPr>
          <w:p w14:paraId="37BFAC2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20.70</w:t>
            </w:r>
          </w:p>
        </w:tc>
        <w:tc>
          <w:tcPr>
            <w:tcW w:w="363" w:type="pct"/>
            <w:tcBorders>
              <w:top w:val="nil"/>
              <w:left w:val="nil"/>
              <w:bottom w:val="nil"/>
              <w:right w:val="nil"/>
            </w:tcBorders>
            <w:shd w:val="clear" w:color="auto" w:fill="auto"/>
            <w:noWrap/>
            <w:vAlign w:val="center"/>
            <w:hideMark/>
          </w:tcPr>
          <w:p w14:paraId="4F3C70F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609" w:type="pct"/>
            <w:tcBorders>
              <w:top w:val="nil"/>
              <w:left w:val="nil"/>
              <w:bottom w:val="nil"/>
              <w:right w:val="nil"/>
            </w:tcBorders>
            <w:shd w:val="clear" w:color="auto" w:fill="auto"/>
            <w:noWrap/>
            <w:vAlign w:val="center"/>
            <w:hideMark/>
          </w:tcPr>
          <w:p w14:paraId="5CC7A0C8"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58.05</w:t>
            </w:r>
          </w:p>
        </w:tc>
      </w:tr>
      <w:tr w:rsidR="001B4C30" w:rsidRPr="00082937" w14:paraId="4D551041" w14:textId="77777777" w:rsidTr="00BC0115">
        <w:trPr>
          <w:trHeight w:val="320"/>
        </w:trPr>
        <w:tc>
          <w:tcPr>
            <w:tcW w:w="677" w:type="pct"/>
            <w:tcBorders>
              <w:top w:val="nil"/>
              <w:left w:val="nil"/>
              <w:bottom w:val="nil"/>
              <w:right w:val="nil"/>
            </w:tcBorders>
            <w:shd w:val="clear" w:color="auto" w:fill="auto"/>
            <w:noWrap/>
            <w:vAlign w:val="center"/>
            <w:hideMark/>
          </w:tcPr>
          <w:p w14:paraId="6E71C6E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SMS6-5-7C</w:t>
            </w:r>
          </w:p>
        </w:tc>
        <w:tc>
          <w:tcPr>
            <w:tcW w:w="1443" w:type="pct"/>
            <w:tcBorders>
              <w:top w:val="nil"/>
              <w:left w:val="nil"/>
              <w:bottom w:val="nil"/>
              <w:right w:val="nil"/>
            </w:tcBorders>
            <w:shd w:val="clear" w:color="auto" w:fill="auto"/>
            <w:vAlign w:val="center"/>
            <w:hideMark/>
          </w:tcPr>
          <w:p w14:paraId="1DE8C85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Gabbro</w:t>
            </w:r>
          </w:p>
        </w:tc>
        <w:tc>
          <w:tcPr>
            <w:tcW w:w="412" w:type="pct"/>
            <w:tcBorders>
              <w:top w:val="nil"/>
              <w:left w:val="nil"/>
              <w:bottom w:val="nil"/>
              <w:right w:val="nil"/>
            </w:tcBorders>
            <w:shd w:val="clear" w:color="auto" w:fill="auto"/>
            <w:noWrap/>
            <w:vAlign w:val="center"/>
            <w:hideMark/>
          </w:tcPr>
          <w:p w14:paraId="065B6B0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0.30</w:t>
            </w:r>
          </w:p>
        </w:tc>
        <w:tc>
          <w:tcPr>
            <w:tcW w:w="757" w:type="pct"/>
            <w:tcBorders>
              <w:top w:val="nil"/>
              <w:left w:val="nil"/>
              <w:bottom w:val="nil"/>
              <w:right w:val="nil"/>
            </w:tcBorders>
            <w:shd w:val="clear" w:color="auto" w:fill="auto"/>
            <w:noWrap/>
            <w:vAlign w:val="center"/>
            <w:hideMark/>
          </w:tcPr>
          <w:p w14:paraId="7C25E42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11.74</w:t>
            </w:r>
          </w:p>
        </w:tc>
        <w:tc>
          <w:tcPr>
            <w:tcW w:w="738" w:type="pct"/>
            <w:tcBorders>
              <w:top w:val="nil"/>
              <w:left w:val="nil"/>
              <w:bottom w:val="nil"/>
              <w:right w:val="nil"/>
            </w:tcBorders>
            <w:shd w:val="clear" w:color="auto" w:fill="auto"/>
            <w:noWrap/>
            <w:vAlign w:val="center"/>
            <w:hideMark/>
          </w:tcPr>
          <w:p w14:paraId="54AF7D1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32.47</w:t>
            </w:r>
          </w:p>
        </w:tc>
        <w:tc>
          <w:tcPr>
            <w:tcW w:w="363" w:type="pct"/>
            <w:tcBorders>
              <w:top w:val="nil"/>
              <w:left w:val="nil"/>
              <w:bottom w:val="nil"/>
              <w:right w:val="nil"/>
            </w:tcBorders>
            <w:shd w:val="clear" w:color="auto" w:fill="auto"/>
            <w:noWrap/>
            <w:vAlign w:val="center"/>
            <w:hideMark/>
          </w:tcPr>
          <w:p w14:paraId="6B5FE1F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609" w:type="pct"/>
            <w:tcBorders>
              <w:top w:val="nil"/>
              <w:left w:val="nil"/>
              <w:bottom w:val="nil"/>
              <w:right w:val="nil"/>
            </w:tcBorders>
            <w:shd w:val="clear" w:color="auto" w:fill="auto"/>
            <w:noWrap/>
            <w:vAlign w:val="center"/>
            <w:hideMark/>
          </w:tcPr>
          <w:p w14:paraId="586C49B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55.22</w:t>
            </w:r>
          </w:p>
        </w:tc>
      </w:tr>
      <w:tr w:rsidR="001B4C30" w:rsidRPr="00082937" w14:paraId="23D75CA7" w14:textId="77777777" w:rsidTr="00BC0115">
        <w:trPr>
          <w:trHeight w:val="320"/>
        </w:trPr>
        <w:tc>
          <w:tcPr>
            <w:tcW w:w="677" w:type="pct"/>
            <w:tcBorders>
              <w:top w:val="nil"/>
              <w:left w:val="nil"/>
              <w:bottom w:val="nil"/>
              <w:right w:val="nil"/>
            </w:tcBorders>
            <w:shd w:val="clear" w:color="auto" w:fill="auto"/>
            <w:noWrap/>
            <w:vAlign w:val="center"/>
            <w:hideMark/>
          </w:tcPr>
          <w:p w14:paraId="535D637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SMS7-4-2</w:t>
            </w:r>
          </w:p>
        </w:tc>
        <w:tc>
          <w:tcPr>
            <w:tcW w:w="1443" w:type="pct"/>
            <w:tcBorders>
              <w:top w:val="nil"/>
              <w:left w:val="nil"/>
              <w:bottom w:val="nil"/>
              <w:right w:val="nil"/>
            </w:tcBorders>
            <w:shd w:val="clear" w:color="auto" w:fill="auto"/>
            <w:vAlign w:val="center"/>
            <w:hideMark/>
          </w:tcPr>
          <w:p w14:paraId="40BE45AB" w14:textId="295106ED"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Troc</w:t>
            </w:r>
            <w:r w:rsidR="00141488" w:rsidRPr="00082937">
              <w:rPr>
                <w:rFonts w:eastAsia="Times New Roman"/>
                <w:color w:val="000000"/>
                <w:sz w:val="18"/>
                <w:szCs w:val="18"/>
                <w:lang w:val="fr-FR" w:eastAsia="fr-FR"/>
              </w:rPr>
              <w:t>t</w:t>
            </w:r>
            <w:r w:rsidRPr="00082937">
              <w:rPr>
                <w:rFonts w:eastAsia="Times New Roman"/>
                <w:color w:val="000000"/>
                <w:sz w:val="18"/>
                <w:szCs w:val="18"/>
                <w:lang w:val="fr-FR" w:eastAsia="fr-FR"/>
              </w:rPr>
              <w:t>olite</w:t>
            </w:r>
          </w:p>
        </w:tc>
        <w:tc>
          <w:tcPr>
            <w:tcW w:w="412" w:type="pct"/>
            <w:tcBorders>
              <w:top w:val="nil"/>
              <w:left w:val="nil"/>
              <w:bottom w:val="nil"/>
              <w:right w:val="nil"/>
            </w:tcBorders>
            <w:shd w:val="clear" w:color="auto" w:fill="auto"/>
            <w:noWrap/>
            <w:vAlign w:val="center"/>
            <w:hideMark/>
          </w:tcPr>
          <w:p w14:paraId="5E837EB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75A2461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738" w:type="pct"/>
            <w:tcBorders>
              <w:top w:val="nil"/>
              <w:left w:val="nil"/>
              <w:bottom w:val="nil"/>
              <w:right w:val="nil"/>
            </w:tcBorders>
            <w:shd w:val="clear" w:color="auto" w:fill="auto"/>
            <w:noWrap/>
            <w:vAlign w:val="center"/>
            <w:hideMark/>
          </w:tcPr>
          <w:p w14:paraId="6D68D9D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6A7A118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609" w:type="pct"/>
            <w:tcBorders>
              <w:top w:val="nil"/>
              <w:left w:val="nil"/>
              <w:bottom w:val="nil"/>
              <w:right w:val="nil"/>
            </w:tcBorders>
            <w:shd w:val="clear" w:color="auto" w:fill="auto"/>
            <w:noWrap/>
            <w:vAlign w:val="center"/>
            <w:hideMark/>
          </w:tcPr>
          <w:p w14:paraId="67FE5A3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7A54020E" w14:textId="77777777" w:rsidTr="00BC0115">
        <w:trPr>
          <w:trHeight w:val="320"/>
        </w:trPr>
        <w:tc>
          <w:tcPr>
            <w:tcW w:w="677" w:type="pct"/>
            <w:tcBorders>
              <w:top w:val="nil"/>
              <w:left w:val="nil"/>
              <w:bottom w:val="nil"/>
              <w:right w:val="nil"/>
            </w:tcBorders>
            <w:shd w:val="clear" w:color="auto" w:fill="auto"/>
            <w:noWrap/>
            <w:vAlign w:val="bottom"/>
            <w:hideMark/>
          </w:tcPr>
          <w:p w14:paraId="180A2B6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SMS10-2-1</w:t>
            </w:r>
          </w:p>
        </w:tc>
        <w:tc>
          <w:tcPr>
            <w:tcW w:w="1443" w:type="pct"/>
            <w:tcBorders>
              <w:top w:val="nil"/>
              <w:left w:val="nil"/>
              <w:bottom w:val="nil"/>
              <w:right w:val="nil"/>
            </w:tcBorders>
            <w:shd w:val="clear" w:color="auto" w:fill="auto"/>
            <w:vAlign w:val="center"/>
            <w:hideMark/>
          </w:tcPr>
          <w:p w14:paraId="592F620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Gabbro</w:t>
            </w:r>
          </w:p>
        </w:tc>
        <w:tc>
          <w:tcPr>
            <w:tcW w:w="412" w:type="pct"/>
            <w:tcBorders>
              <w:top w:val="nil"/>
              <w:left w:val="nil"/>
              <w:bottom w:val="nil"/>
              <w:right w:val="nil"/>
            </w:tcBorders>
            <w:shd w:val="clear" w:color="auto" w:fill="auto"/>
            <w:noWrap/>
            <w:vAlign w:val="center"/>
            <w:hideMark/>
          </w:tcPr>
          <w:p w14:paraId="09D1C54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757" w:type="pct"/>
            <w:tcBorders>
              <w:top w:val="nil"/>
              <w:left w:val="nil"/>
              <w:bottom w:val="nil"/>
              <w:right w:val="nil"/>
            </w:tcBorders>
            <w:shd w:val="clear" w:color="auto" w:fill="auto"/>
            <w:noWrap/>
            <w:vAlign w:val="center"/>
            <w:hideMark/>
          </w:tcPr>
          <w:p w14:paraId="4F89D08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738" w:type="pct"/>
            <w:tcBorders>
              <w:top w:val="nil"/>
              <w:left w:val="nil"/>
              <w:bottom w:val="nil"/>
              <w:right w:val="nil"/>
            </w:tcBorders>
            <w:shd w:val="clear" w:color="auto" w:fill="auto"/>
            <w:noWrap/>
            <w:vAlign w:val="center"/>
            <w:hideMark/>
          </w:tcPr>
          <w:p w14:paraId="751139B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30E0BCB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609" w:type="pct"/>
            <w:tcBorders>
              <w:top w:val="nil"/>
              <w:left w:val="nil"/>
              <w:bottom w:val="nil"/>
              <w:right w:val="nil"/>
            </w:tcBorders>
            <w:shd w:val="clear" w:color="auto" w:fill="auto"/>
            <w:noWrap/>
            <w:vAlign w:val="center"/>
            <w:hideMark/>
          </w:tcPr>
          <w:p w14:paraId="38B45CA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0E85527B" w14:textId="77777777" w:rsidTr="00BC0115">
        <w:trPr>
          <w:trHeight w:val="320"/>
        </w:trPr>
        <w:tc>
          <w:tcPr>
            <w:tcW w:w="677" w:type="pct"/>
            <w:tcBorders>
              <w:top w:val="nil"/>
              <w:left w:val="nil"/>
              <w:bottom w:val="nil"/>
              <w:right w:val="nil"/>
            </w:tcBorders>
            <w:shd w:val="clear" w:color="auto" w:fill="auto"/>
            <w:noWrap/>
            <w:vAlign w:val="center"/>
            <w:hideMark/>
          </w:tcPr>
          <w:p w14:paraId="03DFCF8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SMS12-3-1B</w:t>
            </w:r>
          </w:p>
        </w:tc>
        <w:tc>
          <w:tcPr>
            <w:tcW w:w="1443" w:type="pct"/>
            <w:tcBorders>
              <w:top w:val="nil"/>
              <w:left w:val="nil"/>
              <w:bottom w:val="nil"/>
              <w:right w:val="nil"/>
            </w:tcBorders>
            <w:shd w:val="clear" w:color="auto" w:fill="auto"/>
            <w:vAlign w:val="center"/>
            <w:hideMark/>
          </w:tcPr>
          <w:p w14:paraId="3C29D61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Olivine gabbro</w:t>
            </w:r>
          </w:p>
        </w:tc>
        <w:tc>
          <w:tcPr>
            <w:tcW w:w="412" w:type="pct"/>
            <w:tcBorders>
              <w:top w:val="nil"/>
              <w:left w:val="nil"/>
              <w:bottom w:val="nil"/>
              <w:right w:val="nil"/>
            </w:tcBorders>
            <w:shd w:val="clear" w:color="auto" w:fill="auto"/>
            <w:noWrap/>
            <w:vAlign w:val="center"/>
            <w:hideMark/>
          </w:tcPr>
          <w:p w14:paraId="2C07455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2DFAEBC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38" w:type="pct"/>
            <w:tcBorders>
              <w:top w:val="nil"/>
              <w:left w:val="nil"/>
              <w:bottom w:val="nil"/>
              <w:right w:val="nil"/>
            </w:tcBorders>
            <w:shd w:val="clear" w:color="auto" w:fill="auto"/>
            <w:noWrap/>
            <w:vAlign w:val="center"/>
            <w:hideMark/>
          </w:tcPr>
          <w:p w14:paraId="0E34D3D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1BB0AE9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609" w:type="pct"/>
            <w:tcBorders>
              <w:top w:val="nil"/>
              <w:left w:val="nil"/>
              <w:bottom w:val="nil"/>
              <w:right w:val="nil"/>
            </w:tcBorders>
            <w:shd w:val="clear" w:color="auto" w:fill="auto"/>
            <w:noWrap/>
            <w:vAlign w:val="center"/>
            <w:hideMark/>
          </w:tcPr>
          <w:p w14:paraId="642585A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45718E3A" w14:textId="77777777" w:rsidTr="00BC0115">
        <w:trPr>
          <w:trHeight w:val="320"/>
        </w:trPr>
        <w:tc>
          <w:tcPr>
            <w:tcW w:w="677" w:type="pct"/>
            <w:tcBorders>
              <w:top w:val="nil"/>
              <w:left w:val="nil"/>
              <w:bottom w:val="nil"/>
              <w:right w:val="nil"/>
            </w:tcBorders>
            <w:shd w:val="clear" w:color="auto" w:fill="auto"/>
            <w:noWrap/>
            <w:vAlign w:val="center"/>
            <w:hideMark/>
          </w:tcPr>
          <w:p w14:paraId="2BB9E0F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SMS15-3-20</w:t>
            </w:r>
          </w:p>
        </w:tc>
        <w:tc>
          <w:tcPr>
            <w:tcW w:w="1443" w:type="pct"/>
            <w:tcBorders>
              <w:top w:val="nil"/>
              <w:left w:val="nil"/>
              <w:bottom w:val="nil"/>
              <w:right w:val="nil"/>
            </w:tcBorders>
            <w:shd w:val="clear" w:color="auto" w:fill="auto"/>
            <w:vAlign w:val="center"/>
            <w:hideMark/>
          </w:tcPr>
          <w:p w14:paraId="14F965D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Olivine gabbro</w:t>
            </w:r>
          </w:p>
        </w:tc>
        <w:tc>
          <w:tcPr>
            <w:tcW w:w="412" w:type="pct"/>
            <w:tcBorders>
              <w:top w:val="nil"/>
              <w:left w:val="nil"/>
              <w:bottom w:val="nil"/>
              <w:right w:val="nil"/>
            </w:tcBorders>
            <w:shd w:val="clear" w:color="auto" w:fill="auto"/>
            <w:noWrap/>
            <w:vAlign w:val="center"/>
            <w:hideMark/>
          </w:tcPr>
          <w:p w14:paraId="3EC49C5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43.98</w:t>
            </w:r>
          </w:p>
        </w:tc>
        <w:tc>
          <w:tcPr>
            <w:tcW w:w="757" w:type="pct"/>
            <w:tcBorders>
              <w:top w:val="nil"/>
              <w:left w:val="nil"/>
              <w:bottom w:val="nil"/>
              <w:right w:val="nil"/>
            </w:tcBorders>
            <w:shd w:val="clear" w:color="auto" w:fill="auto"/>
            <w:noWrap/>
            <w:vAlign w:val="center"/>
            <w:hideMark/>
          </w:tcPr>
          <w:p w14:paraId="17AF323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0.45</w:t>
            </w:r>
          </w:p>
        </w:tc>
        <w:tc>
          <w:tcPr>
            <w:tcW w:w="738" w:type="pct"/>
            <w:tcBorders>
              <w:top w:val="nil"/>
              <w:left w:val="nil"/>
              <w:bottom w:val="nil"/>
              <w:right w:val="nil"/>
            </w:tcBorders>
            <w:shd w:val="clear" w:color="auto" w:fill="auto"/>
            <w:noWrap/>
            <w:vAlign w:val="center"/>
            <w:hideMark/>
          </w:tcPr>
          <w:p w14:paraId="3725413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8.45</w:t>
            </w:r>
          </w:p>
        </w:tc>
        <w:tc>
          <w:tcPr>
            <w:tcW w:w="363" w:type="pct"/>
            <w:tcBorders>
              <w:top w:val="nil"/>
              <w:left w:val="nil"/>
              <w:bottom w:val="nil"/>
              <w:right w:val="nil"/>
            </w:tcBorders>
            <w:shd w:val="clear" w:color="auto" w:fill="auto"/>
            <w:noWrap/>
            <w:vAlign w:val="center"/>
            <w:hideMark/>
          </w:tcPr>
          <w:p w14:paraId="2B42C1E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1.49</w:t>
            </w:r>
          </w:p>
        </w:tc>
        <w:tc>
          <w:tcPr>
            <w:tcW w:w="609" w:type="pct"/>
            <w:tcBorders>
              <w:top w:val="nil"/>
              <w:left w:val="nil"/>
              <w:bottom w:val="nil"/>
              <w:right w:val="nil"/>
            </w:tcBorders>
            <w:shd w:val="clear" w:color="auto" w:fill="auto"/>
            <w:noWrap/>
            <w:vAlign w:val="center"/>
            <w:hideMark/>
          </w:tcPr>
          <w:p w14:paraId="3B15913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40.93</w:t>
            </w:r>
          </w:p>
        </w:tc>
      </w:tr>
      <w:tr w:rsidR="001B4C30" w:rsidRPr="00082937" w14:paraId="5C095726" w14:textId="77777777" w:rsidTr="00BC0115">
        <w:trPr>
          <w:trHeight w:val="320"/>
        </w:trPr>
        <w:tc>
          <w:tcPr>
            <w:tcW w:w="677" w:type="pct"/>
            <w:tcBorders>
              <w:top w:val="nil"/>
              <w:left w:val="nil"/>
              <w:bottom w:val="nil"/>
              <w:right w:val="nil"/>
            </w:tcBorders>
            <w:shd w:val="clear" w:color="auto" w:fill="auto"/>
            <w:noWrap/>
            <w:vAlign w:val="center"/>
            <w:hideMark/>
          </w:tcPr>
          <w:p w14:paraId="306A225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SMS17-4-22</w:t>
            </w:r>
          </w:p>
        </w:tc>
        <w:tc>
          <w:tcPr>
            <w:tcW w:w="1443" w:type="pct"/>
            <w:tcBorders>
              <w:top w:val="nil"/>
              <w:left w:val="nil"/>
              <w:bottom w:val="nil"/>
              <w:right w:val="nil"/>
            </w:tcBorders>
            <w:shd w:val="clear" w:color="auto" w:fill="auto"/>
            <w:vAlign w:val="center"/>
            <w:hideMark/>
          </w:tcPr>
          <w:p w14:paraId="72B3F9D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websterite</w:t>
            </w:r>
          </w:p>
        </w:tc>
        <w:tc>
          <w:tcPr>
            <w:tcW w:w="412" w:type="pct"/>
            <w:tcBorders>
              <w:top w:val="nil"/>
              <w:left w:val="nil"/>
              <w:bottom w:val="nil"/>
              <w:right w:val="nil"/>
            </w:tcBorders>
            <w:shd w:val="clear" w:color="auto" w:fill="auto"/>
            <w:noWrap/>
            <w:vAlign w:val="center"/>
            <w:hideMark/>
          </w:tcPr>
          <w:p w14:paraId="7D8544B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7CAADC0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38" w:type="pct"/>
            <w:tcBorders>
              <w:top w:val="nil"/>
              <w:left w:val="nil"/>
              <w:bottom w:val="nil"/>
              <w:right w:val="nil"/>
            </w:tcBorders>
            <w:shd w:val="clear" w:color="auto" w:fill="auto"/>
            <w:noWrap/>
            <w:vAlign w:val="center"/>
            <w:hideMark/>
          </w:tcPr>
          <w:p w14:paraId="41C6E802"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06BF5FE2"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609" w:type="pct"/>
            <w:tcBorders>
              <w:top w:val="nil"/>
              <w:left w:val="nil"/>
              <w:bottom w:val="nil"/>
              <w:right w:val="nil"/>
            </w:tcBorders>
            <w:shd w:val="clear" w:color="auto" w:fill="auto"/>
            <w:noWrap/>
            <w:vAlign w:val="center"/>
            <w:hideMark/>
          </w:tcPr>
          <w:p w14:paraId="76CE1BB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6BF2CF07" w14:textId="77777777" w:rsidTr="00BC0115">
        <w:trPr>
          <w:trHeight w:val="320"/>
        </w:trPr>
        <w:tc>
          <w:tcPr>
            <w:tcW w:w="677" w:type="pct"/>
            <w:tcBorders>
              <w:top w:val="nil"/>
              <w:left w:val="nil"/>
              <w:bottom w:val="nil"/>
              <w:right w:val="nil"/>
            </w:tcBorders>
            <w:shd w:val="clear" w:color="auto" w:fill="auto"/>
            <w:noWrap/>
            <w:vAlign w:val="center"/>
            <w:hideMark/>
          </w:tcPr>
          <w:p w14:paraId="6D6144C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SMS17-4-53</w:t>
            </w:r>
          </w:p>
        </w:tc>
        <w:tc>
          <w:tcPr>
            <w:tcW w:w="1443" w:type="pct"/>
            <w:tcBorders>
              <w:top w:val="nil"/>
              <w:left w:val="nil"/>
              <w:bottom w:val="nil"/>
              <w:right w:val="nil"/>
            </w:tcBorders>
            <w:shd w:val="clear" w:color="auto" w:fill="auto"/>
            <w:vAlign w:val="center"/>
            <w:hideMark/>
          </w:tcPr>
          <w:p w14:paraId="4797E5A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Olivine gabbro</w:t>
            </w:r>
          </w:p>
        </w:tc>
        <w:tc>
          <w:tcPr>
            <w:tcW w:w="412" w:type="pct"/>
            <w:tcBorders>
              <w:top w:val="nil"/>
              <w:left w:val="nil"/>
              <w:bottom w:val="nil"/>
              <w:right w:val="nil"/>
            </w:tcBorders>
            <w:shd w:val="clear" w:color="auto" w:fill="auto"/>
            <w:noWrap/>
            <w:vAlign w:val="center"/>
            <w:hideMark/>
          </w:tcPr>
          <w:p w14:paraId="2950FD7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2318D65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38" w:type="pct"/>
            <w:tcBorders>
              <w:top w:val="nil"/>
              <w:left w:val="nil"/>
              <w:bottom w:val="nil"/>
              <w:right w:val="nil"/>
            </w:tcBorders>
            <w:shd w:val="clear" w:color="auto" w:fill="auto"/>
            <w:noWrap/>
            <w:vAlign w:val="center"/>
            <w:hideMark/>
          </w:tcPr>
          <w:p w14:paraId="0AE370B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5268F82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609" w:type="pct"/>
            <w:tcBorders>
              <w:top w:val="nil"/>
              <w:left w:val="nil"/>
              <w:bottom w:val="nil"/>
              <w:right w:val="nil"/>
            </w:tcBorders>
            <w:shd w:val="clear" w:color="auto" w:fill="auto"/>
            <w:noWrap/>
            <w:vAlign w:val="center"/>
            <w:hideMark/>
          </w:tcPr>
          <w:p w14:paraId="20049C7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1B0E26A1" w14:textId="77777777" w:rsidTr="00BC0115">
        <w:trPr>
          <w:trHeight w:val="320"/>
        </w:trPr>
        <w:tc>
          <w:tcPr>
            <w:tcW w:w="677" w:type="pct"/>
            <w:tcBorders>
              <w:top w:val="nil"/>
              <w:left w:val="nil"/>
              <w:bottom w:val="nil"/>
              <w:right w:val="nil"/>
            </w:tcBorders>
            <w:shd w:val="clear" w:color="auto" w:fill="auto"/>
            <w:noWrap/>
            <w:vAlign w:val="center"/>
            <w:hideMark/>
          </w:tcPr>
          <w:p w14:paraId="5CFD24E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SMS17-5-6</w:t>
            </w:r>
          </w:p>
        </w:tc>
        <w:tc>
          <w:tcPr>
            <w:tcW w:w="1443" w:type="pct"/>
            <w:tcBorders>
              <w:top w:val="nil"/>
              <w:left w:val="nil"/>
              <w:bottom w:val="nil"/>
              <w:right w:val="nil"/>
            </w:tcBorders>
            <w:shd w:val="clear" w:color="auto" w:fill="auto"/>
            <w:vAlign w:val="center"/>
            <w:hideMark/>
          </w:tcPr>
          <w:p w14:paraId="767E426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Olivine gabbro</w:t>
            </w:r>
          </w:p>
        </w:tc>
        <w:tc>
          <w:tcPr>
            <w:tcW w:w="412" w:type="pct"/>
            <w:tcBorders>
              <w:top w:val="nil"/>
              <w:left w:val="nil"/>
              <w:bottom w:val="nil"/>
              <w:right w:val="nil"/>
            </w:tcBorders>
            <w:shd w:val="clear" w:color="auto" w:fill="auto"/>
            <w:noWrap/>
            <w:vAlign w:val="center"/>
            <w:hideMark/>
          </w:tcPr>
          <w:p w14:paraId="64C767D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22.64</w:t>
            </w:r>
          </w:p>
        </w:tc>
        <w:tc>
          <w:tcPr>
            <w:tcW w:w="757" w:type="pct"/>
            <w:tcBorders>
              <w:top w:val="nil"/>
              <w:left w:val="nil"/>
              <w:bottom w:val="nil"/>
              <w:right w:val="nil"/>
            </w:tcBorders>
            <w:shd w:val="clear" w:color="auto" w:fill="auto"/>
            <w:noWrap/>
            <w:vAlign w:val="center"/>
            <w:hideMark/>
          </w:tcPr>
          <w:p w14:paraId="50E7F3A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5.03</w:t>
            </w:r>
          </w:p>
        </w:tc>
        <w:tc>
          <w:tcPr>
            <w:tcW w:w="738" w:type="pct"/>
            <w:tcBorders>
              <w:top w:val="nil"/>
              <w:left w:val="nil"/>
              <w:bottom w:val="nil"/>
              <w:right w:val="nil"/>
            </w:tcBorders>
            <w:shd w:val="clear" w:color="auto" w:fill="auto"/>
            <w:noWrap/>
            <w:vAlign w:val="center"/>
            <w:hideMark/>
          </w:tcPr>
          <w:p w14:paraId="6D7A54B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28.57</w:t>
            </w:r>
          </w:p>
        </w:tc>
        <w:tc>
          <w:tcPr>
            <w:tcW w:w="363" w:type="pct"/>
            <w:tcBorders>
              <w:top w:val="nil"/>
              <w:left w:val="nil"/>
              <w:bottom w:val="nil"/>
              <w:right w:val="nil"/>
            </w:tcBorders>
            <w:shd w:val="clear" w:color="auto" w:fill="auto"/>
            <w:noWrap/>
            <w:vAlign w:val="center"/>
            <w:hideMark/>
          </w:tcPr>
          <w:p w14:paraId="091183B2"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1.64</w:t>
            </w:r>
          </w:p>
        </w:tc>
        <w:tc>
          <w:tcPr>
            <w:tcW w:w="609" w:type="pct"/>
            <w:tcBorders>
              <w:top w:val="nil"/>
              <w:left w:val="nil"/>
              <w:bottom w:val="nil"/>
              <w:right w:val="nil"/>
            </w:tcBorders>
            <w:shd w:val="clear" w:color="auto" w:fill="auto"/>
            <w:noWrap/>
            <w:vAlign w:val="center"/>
            <w:hideMark/>
          </w:tcPr>
          <w:p w14:paraId="7FF5FD9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40.23</w:t>
            </w:r>
          </w:p>
        </w:tc>
      </w:tr>
      <w:tr w:rsidR="001B4C30" w:rsidRPr="00082937" w14:paraId="43FBC961" w14:textId="77777777" w:rsidTr="00BC0115">
        <w:trPr>
          <w:trHeight w:val="320"/>
        </w:trPr>
        <w:tc>
          <w:tcPr>
            <w:tcW w:w="677" w:type="pct"/>
            <w:tcBorders>
              <w:top w:val="nil"/>
              <w:left w:val="nil"/>
              <w:bottom w:val="nil"/>
              <w:right w:val="nil"/>
            </w:tcBorders>
            <w:shd w:val="clear" w:color="auto" w:fill="auto"/>
            <w:noWrap/>
            <w:vAlign w:val="center"/>
            <w:hideMark/>
          </w:tcPr>
          <w:p w14:paraId="08ECBEB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SMS21-3-1</w:t>
            </w:r>
          </w:p>
        </w:tc>
        <w:tc>
          <w:tcPr>
            <w:tcW w:w="1443" w:type="pct"/>
            <w:tcBorders>
              <w:top w:val="nil"/>
              <w:left w:val="nil"/>
              <w:bottom w:val="nil"/>
              <w:right w:val="nil"/>
            </w:tcBorders>
            <w:shd w:val="clear" w:color="auto" w:fill="auto"/>
            <w:vAlign w:val="center"/>
            <w:hideMark/>
          </w:tcPr>
          <w:p w14:paraId="7D5E20B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Olivine gabbro</w:t>
            </w:r>
          </w:p>
        </w:tc>
        <w:tc>
          <w:tcPr>
            <w:tcW w:w="412" w:type="pct"/>
            <w:tcBorders>
              <w:top w:val="nil"/>
              <w:left w:val="nil"/>
              <w:bottom w:val="nil"/>
              <w:right w:val="nil"/>
            </w:tcBorders>
            <w:shd w:val="clear" w:color="auto" w:fill="auto"/>
            <w:noWrap/>
            <w:vAlign w:val="center"/>
            <w:hideMark/>
          </w:tcPr>
          <w:p w14:paraId="1F1AE8D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17.12</w:t>
            </w:r>
          </w:p>
        </w:tc>
        <w:tc>
          <w:tcPr>
            <w:tcW w:w="757" w:type="pct"/>
            <w:tcBorders>
              <w:top w:val="nil"/>
              <w:left w:val="nil"/>
              <w:bottom w:val="nil"/>
              <w:right w:val="nil"/>
            </w:tcBorders>
            <w:shd w:val="clear" w:color="auto" w:fill="auto"/>
            <w:noWrap/>
            <w:vAlign w:val="center"/>
            <w:hideMark/>
          </w:tcPr>
          <w:p w14:paraId="6662AB5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0.95</w:t>
            </w:r>
          </w:p>
        </w:tc>
        <w:tc>
          <w:tcPr>
            <w:tcW w:w="738" w:type="pct"/>
            <w:tcBorders>
              <w:top w:val="nil"/>
              <w:left w:val="nil"/>
              <w:bottom w:val="nil"/>
              <w:right w:val="nil"/>
            </w:tcBorders>
            <w:shd w:val="clear" w:color="auto" w:fill="auto"/>
            <w:noWrap/>
            <w:vAlign w:val="center"/>
            <w:hideMark/>
          </w:tcPr>
          <w:p w14:paraId="7254D7E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16.11</w:t>
            </w:r>
          </w:p>
        </w:tc>
        <w:tc>
          <w:tcPr>
            <w:tcW w:w="363" w:type="pct"/>
            <w:tcBorders>
              <w:top w:val="nil"/>
              <w:left w:val="nil"/>
              <w:bottom w:val="nil"/>
              <w:right w:val="nil"/>
            </w:tcBorders>
            <w:shd w:val="clear" w:color="auto" w:fill="auto"/>
            <w:noWrap/>
            <w:vAlign w:val="center"/>
            <w:hideMark/>
          </w:tcPr>
          <w:p w14:paraId="3BEC10A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609" w:type="pct"/>
            <w:tcBorders>
              <w:top w:val="nil"/>
              <w:left w:val="nil"/>
              <w:bottom w:val="nil"/>
              <w:right w:val="nil"/>
            </w:tcBorders>
            <w:shd w:val="clear" w:color="auto" w:fill="auto"/>
            <w:noWrap/>
            <w:vAlign w:val="center"/>
            <w:hideMark/>
          </w:tcPr>
          <w:p w14:paraId="6A4714F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65.24</w:t>
            </w:r>
          </w:p>
        </w:tc>
      </w:tr>
      <w:tr w:rsidR="001B4C30" w:rsidRPr="00082937" w14:paraId="4932E959" w14:textId="77777777" w:rsidTr="00BC0115">
        <w:trPr>
          <w:trHeight w:val="320"/>
        </w:trPr>
        <w:tc>
          <w:tcPr>
            <w:tcW w:w="677" w:type="pct"/>
            <w:tcBorders>
              <w:top w:val="nil"/>
              <w:left w:val="nil"/>
              <w:bottom w:val="nil"/>
              <w:right w:val="nil"/>
            </w:tcBorders>
            <w:shd w:val="clear" w:color="auto" w:fill="auto"/>
            <w:noWrap/>
            <w:vAlign w:val="center"/>
            <w:hideMark/>
          </w:tcPr>
          <w:p w14:paraId="2D6967E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SMS29-3-5</w:t>
            </w:r>
          </w:p>
        </w:tc>
        <w:tc>
          <w:tcPr>
            <w:tcW w:w="1443" w:type="pct"/>
            <w:tcBorders>
              <w:top w:val="nil"/>
              <w:left w:val="nil"/>
              <w:bottom w:val="nil"/>
              <w:right w:val="nil"/>
            </w:tcBorders>
            <w:shd w:val="clear" w:color="auto" w:fill="auto"/>
            <w:vAlign w:val="center"/>
            <w:hideMark/>
          </w:tcPr>
          <w:p w14:paraId="3FC4D932"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websterite</w:t>
            </w:r>
          </w:p>
        </w:tc>
        <w:tc>
          <w:tcPr>
            <w:tcW w:w="412" w:type="pct"/>
            <w:tcBorders>
              <w:top w:val="nil"/>
              <w:left w:val="nil"/>
              <w:bottom w:val="nil"/>
              <w:right w:val="nil"/>
            </w:tcBorders>
            <w:shd w:val="clear" w:color="auto" w:fill="auto"/>
            <w:noWrap/>
            <w:vAlign w:val="center"/>
            <w:hideMark/>
          </w:tcPr>
          <w:p w14:paraId="7DCD34C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446F439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38" w:type="pct"/>
            <w:tcBorders>
              <w:top w:val="nil"/>
              <w:left w:val="nil"/>
              <w:bottom w:val="nil"/>
              <w:right w:val="nil"/>
            </w:tcBorders>
            <w:shd w:val="clear" w:color="auto" w:fill="auto"/>
            <w:noWrap/>
            <w:vAlign w:val="center"/>
            <w:hideMark/>
          </w:tcPr>
          <w:p w14:paraId="7B80A46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1131397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609" w:type="pct"/>
            <w:tcBorders>
              <w:top w:val="nil"/>
              <w:left w:val="nil"/>
              <w:bottom w:val="nil"/>
              <w:right w:val="nil"/>
            </w:tcBorders>
            <w:shd w:val="clear" w:color="auto" w:fill="auto"/>
            <w:noWrap/>
            <w:vAlign w:val="center"/>
            <w:hideMark/>
          </w:tcPr>
          <w:p w14:paraId="2875C5D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4246F566" w14:textId="77777777" w:rsidTr="00BC0115">
        <w:trPr>
          <w:trHeight w:val="320"/>
        </w:trPr>
        <w:tc>
          <w:tcPr>
            <w:tcW w:w="677" w:type="pct"/>
            <w:tcBorders>
              <w:top w:val="nil"/>
              <w:left w:val="nil"/>
              <w:bottom w:val="nil"/>
              <w:right w:val="nil"/>
            </w:tcBorders>
            <w:shd w:val="clear" w:color="auto" w:fill="auto"/>
            <w:noWrap/>
            <w:vAlign w:val="center"/>
            <w:hideMark/>
          </w:tcPr>
          <w:p w14:paraId="412ECFE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SMS29-3-9</w:t>
            </w:r>
          </w:p>
        </w:tc>
        <w:tc>
          <w:tcPr>
            <w:tcW w:w="1443" w:type="pct"/>
            <w:tcBorders>
              <w:top w:val="nil"/>
              <w:left w:val="nil"/>
              <w:bottom w:val="nil"/>
              <w:right w:val="nil"/>
            </w:tcBorders>
            <w:shd w:val="clear" w:color="auto" w:fill="auto"/>
            <w:vAlign w:val="center"/>
            <w:hideMark/>
          </w:tcPr>
          <w:p w14:paraId="3BEB93B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websterite</w:t>
            </w:r>
          </w:p>
        </w:tc>
        <w:tc>
          <w:tcPr>
            <w:tcW w:w="412" w:type="pct"/>
            <w:tcBorders>
              <w:top w:val="nil"/>
              <w:left w:val="nil"/>
              <w:bottom w:val="nil"/>
              <w:right w:val="nil"/>
            </w:tcBorders>
            <w:shd w:val="clear" w:color="auto" w:fill="auto"/>
            <w:noWrap/>
            <w:vAlign w:val="center"/>
            <w:hideMark/>
          </w:tcPr>
          <w:p w14:paraId="578E741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757" w:type="pct"/>
            <w:tcBorders>
              <w:top w:val="nil"/>
              <w:left w:val="nil"/>
              <w:bottom w:val="nil"/>
              <w:right w:val="nil"/>
            </w:tcBorders>
            <w:shd w:val="clear" w:color="auto" w:fill="auto"/>
            <w:noWrap/>
            <w:vAlign w:val="center"/>
            <w:hideMark/>
          </w:tcPr>
          <w:p w14:paraId="0F07D745"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43.10</w:t>
            </w:r>
          </w:p>
        </w:tc>
        <w:tc>
          <w:tcPr>
            <w:tcW w:w="738" w:type="pct"/>
            <w:tcBorders>
              <w:top w:val="nil"/>
              <w:left w:val="nil"/>
              <w:bottom w:val="nil"/>
              <w:right w:val="nil"/>
            </w:tcBorders>
            <w:shd w:val="clear" w:color="auto" w:fill="auto"/>
            <w:noWrap/>
            <w:vAlign w:val="center"/>
            <w:hideMark/>
          </w:tcPr>
          <w:p w14:paraId="3ADA27C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28.62</w:t>
            </w:r>
          </w:p>
        </w:tc>
        <w:tc>
          <w:tcPr>
            <w:tcW w:w="363" w:type="pct"/>
            <w:tcBorders>
              <w:top w:val="nil"/>
              <w:left w:val="nil"/>
              <w:bottom w:val="nil"/>
              <w:right w:val="nil"/>
            </w:tcBorders>
            <w:shd w:val="clear" w:color="auto" w:fill="auto"/>
            <w:noWrap/>
            <w:vAlign w:val="center"/>
            <w:hideMark/>
          </w:tcPr>
          <w:p w14:paraId="5E35534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0.51</w:t>
            </w:r>
          </w:p>
        </w:tc>
        <w:tc>
          <w:tcPr>
            <w:tcW w:w="609" w:type="pct"/>
            <w:tcBorders>
              <w:top w:val="nil"/>
              <w:left w:val="nil"/>
              <w:bottom w:val="nil"/>
              <w:right w:val="nil"/>
            </w:tcBorders>
            <w:shd w:val="clear" w:color="auto" w:fill="auto"/>
            <w:noWrap/>
            <w:vAlign w:val="center"/>
            <w:hideMark/>
          </w:tcPr>
          <w:p w14:paraId="3EC90EB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27.77</w:t>
            </w:r>
          </w:p>
        </w:tc>
      </w:tr>
      <w:tr w:rsidR="001B4C30" w:rsidRPr="00082937" w14:paraId="6E0FE8F5" w14:textId="77777777" w:rsidTr="00BC0115">
        <w:trPr>
          <w:trHeight w:val="320"/>
        </w:trPr>
        <w:tc>
          <w:tcPr>
            <w:tcW w:w="677" w:type="pct"/>
            <w:tcBorders>
              <w:top w:val="nil"/>
              <w:left w:val="nil"/>
              <w:bottom w:val="nil"/>
              <w:right w:val="nil"/>
            </w:tcBorders>
            <w:shd w:val="clear" w:color="auto" w:fill="auto"/>
            <w:noWrap/>
            <w:vAlign w:val="center"/>
            <w:hideMark/>
          </w:tcPr>
          <w:p w14:paraId="37411F4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ED14-1-1</w:t>
            </w:r>
          </w:p>
        </w:tc>
        <w:tc>
          <w:tcPr>
            <w:tcW w:w="1443" w:type="pct"/>
            <w:tcBorders>
              <w:top w:val="nil"/>
              <w:left w:val="nil"/>
              <w:bottom w:val="nil"/>
              <w:right w:val="nil"/>
            </w:tcBorders>
            <w:shd w:val="clear" w:color="auto" w:fill="auto"/>
            <w:vAlign w:val="center"/>
            <w:hideMark/>
          </w:tcPr>
          <w:p w14:paraId="5858A1E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lherzolite</w:t>
            </w:r>
          </w:p>
        </w:tc>
        <w:tc>
          <w:tcPr>
            <w:tcW w:w="412" w:type="pct"/>
            <w:tcBorders>
              <w:top w:val="nil"/>
              <w:left w:val="nil"/>
              <w:bottom w:val="nil"/>
              <w:right w:val="nil"/>
            </w:tcBorders>
            <w:shd w:val="clear" w:color="auto" w:fill="auto"/>
            <w:noWrap/>
            <w:vAlign w:val="center"/>
            <w:hideMark/>
          </w:tcPr>
          <w:p w14:paraId="5B47277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53C16A8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38" w:type="pct"/>
            <w:tcBorders>
              <w:top w:val="nil"/>
              <w:left w:val="nil"/>
              <w:bottom w:val="nil"/>
              <w:right w:val="nil"/>
            </w:tcBorders>
            <w:shd w:val="clear" w:color="auto" w:fill="auto"/>
            <w:noWrap/>
            <w:vAlign w:val="center"/>
            <w:hideMark/>
          </w:tcPr>
          <w:p w14:paraId="3E1F96C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5CE827C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w:t>
            </w:r>
          </w:p>
        </w:tc>
        <w:tc>
          <w:tcPr>
            <w:tcW w:w="609" w:type="pct"/>
            <w:tcBorders>
              <w:top w:val="nil"/>
              <w:left w:val="nil"/>
              <w:bottom w:val="nil"/>
              <w:right w:val="nil"/>
            </w:tcBorders>
            <w:shd w:val="clear" w:color="auto" w:fill="auto"/>
            <w:noWrap/>
            <w:vAlign w:val="center"/>
            <w:hideMark/>
          </w:tcPr>
          <w:p w14:paraId="514C1008"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2E53D465" w14:textId="77777777" w:rsidTr="00BC0115">
        <w:trPr>
          <w:trHeight w:val="320"/>
        </w:trPr>
        <w:tc>
          <w:tcPr>
            <w:tcW w:w="677" w:type="pct"/>
            <w:tcBorders>
              <w:top w:val="nil"/>
              <w:left w:val="nil"/>
              <w:bottom w:val="nil"/>
              <w:right w:val="nil"/>
            </w:tcBorders>
            <w:shd w:val="clear" w:color="auto" w:fill="auto"/>
            <w:noWrap/>
            <w:vAlign w:val="center"/>
            <w:hideMark/>
          </w:tcPr>
          <w:p w14:paraId="7368E7F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ED14-1-3</w:t>
            </w:r>
          </w:p>
        </w:tc>
        <w:tc>
          <w:tcPr>
            <w:tcW w:w="1443" w:type="pct"/>
            <w:tcBorders>
              <w:top w:val="nil"/>
              <w:left w:val="nil"/>
              <w:bottom w:val="nil"/>
              <w:right w:val="nil"/>
            </w:tcBorders>
            <w:shd w:val="clear" w:color="auto" w:fill="auto"/>
            <w:vAlign w:val="center"/>
            <w:hideMark/>
          </w:tcPr>
          <w:p w14:paraId="1A984E18"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lherzolite</w:t>
            </w:r>
          </w:p>
        </w:tc>
        <w:tc>
          <w:tcPr>
            <w:tcW w:w="412" w:type="pct"/>
            <w:tcBorders>
              <w:top w:val="nil"/>
              <w:left w:val="nil"/>
              <w:bottom w:val="nil"/>
              <w:right w:val="nil"/>
            </w:tcBorders>
            <w:shd w:val="clear" w:color="auto" w:fill="auto"/>
            <w:noWrap/>
            <w:vAlign w:val="center"/>
            <w:hideMark/>
          </w:tcPr>
          <w:p w14:paraId="5FF8B45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632ACA8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38" w:type="pct"/>
            <w:tcBorders>
              <w:top w:val="nil"/>
              <w:left w:val="nil"/>
              <w:bottom w:val="nil"/>
              <w:right w:val="nil"/>
            </w:tcBorders>
            <w:shd w:val="clear" w:color="auto" w:fill="auto"/>
            <w:noWrap/>
            <w:vAlign w:val="center"/>
            <w:hideMark/>
          </w:tcPr>
          <w:p w14:paraId="7BA8E9A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1A1947A6"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609" w:type="pct"/>
            <w:tcBorders>
              <w:top w:val="nil"/>
              <w:left w:val="nil"/>
              <w:bottom w:val="nil"/>
              <w:right w:val="nil"/>
            </w:tcBorders>
            <w:shd w:val="clear" w:color="auto" w:fill="auto"/>
            <w:noWrap/>
            <w:vAlign w:val="center"/>
            <w:hideMark/>
          </w:tcPr>
          <w:p w14:paraId="56DE6EF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1305E306" w14:textId="77777777" w:rsidTr="00BC0115">
        <w:trPr>
          <w:trHeight w:val="320"/>
        </w:trPr>
        <w:tc>
          <w:tcPr>
            <w:tcW w:w="677" w:type="pct"/>
            <w:tcBorders>
              <w:top w:val="nil"/>
              <w:left w:val="nil"/>
              <w:bottom w:val="nil"/>
              <w:right w:val="nil"/>
            </w:tcBorders>
            <w:shd w:val="clear" w:color="auto" w:fill="auto"/>
            <w:noWrap/>
            <w:vAlign w:val="center"/>
            <w:hideMark/>
          </w:tcPr>
          <w:p w14:paraId="6107F84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ED21-4-1</w:t>
            </w:r>
          </w:p>
        </w:tc>
        <w:tc>
          <w:tcPr>
            <w:tcW w:w="1443" w:type="pct"/>
            <w:tcBorders>
              <w:top w:val="nil"/>
              <w:left w:val="nil"/>
              <w:bottom w:val="nil"/>
              <w:right w:val="nil"/>
            </w:tcBorders>
            <w:shd w:val="clear" w:color="auto" w:fill="auto"/>
            <w:vAlign w:val="center"/>
            <w:hideMark/>
          </w:tcPr>
          <w:p w14:paraId="09CD014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lherzolite</w:t>
            </w:r>
          </w:p>
        </w:tc>
        <w:tc>
          <w:tcPr>
            <w:tcW w:w="412" w:type="pct"/>
            <w:tcBorders>
              <w:top w:val="nil"/>
              <w:left w:val="nil"/>
              <w:bottom w:val="nil"/>
              <w:right w:val="nil"/>
            </w:tcBorders>
            <w:shd w:val="clear" w:color="auto" w:fill="auto"/>
            <w:noWrap/>
            <w:vAlign w:val="center"/>
            <w:hideMark/>
          </w:tcPr>
          <w:p w14:paraId="18B7DFA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57" w:type="pct"/>
            <w:tcBorders>
              <w:top w:val="nil"/>
              <w:left w:val="nil"/>
              <w:bottom w:val="nil"/>
              <w:right w:val="nil"/>
            </w:tcBorders>
            <w:shd w:val="clear" w:color="auto" w:fill="auto"/>
            <w:noWrap/>
            <w:vAlign w:val="center"/>
            <w:hideMark/>
          </w:tcPr>
          <w:p w14:paraId="610D07F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738" w:type="pct"/>
            <w:tcBorders>
              <w:top w:val="nil"/>
              <w:left w:val="nil"/>
              <w:bottom w:val="nil"/>
              <w:right w:val="nil"/>
            </w:tcBorders>
            <w:shd w:val="clear" w:color="auto" w:fill="auto"/>
            <w:noWrap/>
            <w:vAlign w:val="center"/>
            <w:hideMark/>
          </w:tcPr>
          <w:p w14:paraId="4BF6EB2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363" w:type="pct"/>
            <w:tcBorders>
              <w:top w:val="nil"/>
              <w:left w:val="nil"/>
              <w:bottom w:val="nil"/>
              <w:right w:val="nil"/>
            </w:tcBorders>
            <w:shd w:val="clear" w:color="auto" w:fill="auto"/>
            <w:noWrap/>
            <w:vAlign w:val="center"/>
            <w:hideMark/>
          </w:tcPr>
          <w:p w14:paraId="5AA79333"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c>
          <w:tcPr>
            <w:tcW w:w="609" w:type="pct"/>
            <w:tcBorders>
              <w:top w:val="nil"/>
              <w:left w:val="nil"/>
              <w:bottom w:val="nil"/>
              <w:right w:val="nil"/>
            </w:tcBorders>
            <w:shd w:val="clear" w:color="auto" w:fill="auto"/>
            <w:noWrap/>
            <w:vAlign w:val="center"/>
            <w:hideMark/>
          </w:tcPr>
          <w:p w14:paraId="69C70489"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w:t>
            </w:r>
          </w:p>
        </w:tc>
      </w:tr>
      <w:tr w:rsidR="001B4C30" w:rsidRPr="00082937" w14:paraId="07BB09C1" w14:textId="77777777" w:rsidTr="00BC0115">
        <w:trPr>
          <w:trHeight w:val="320"/>
        </w:trPr>
        <w:tc>
          <w:tcPr>
            <w:tcW w:w="677" w:type="pct"/>
            <w:tcBorders>
              <w:top w:val="nil"/>
              <w:left w:val="nil"/>
              <w:bottom w:val="nil"/>
              <w:right w:val="nil"/>
            </w:tcBorders>
            <w:shd w:val="clear" w:color="auto" w:fill="auto"/>
            <w:noWrap/>
            <w:vAlign w:val="center"/>
            <w:hideMark/>
          </w:tcPr>
          <w:p w14:paraId="63E31C3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ED21-10-3</w:t>
            </w:r>
          </w:p>
        </w:tc>
        <w:tc>
          <w:tcPr>
            <w:tcW w:w="1443" w:type="pct"/>
            <w:tcBorders>
              <w:top w:val="nil"/>
              <w:left w:val="nil"/>
              <w:bottom w:val="nil"/>
              <w:right w:val="nil"/>
            </w:tcBorders>
            <w:shd w:val="clear" w:color="auto" w:fill="auto"/>
            <w:vAlign w:val="center"/>
            <w:hideMark/>
          </w:tcPr>
          <w:p w14:paraId="1ABD7ACA"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Troctolite</w:t>
            </w:r>
          </w:p>
        </w:tc>
        <w:tc>
          <w:tcPr>
            <w:tcW w:w="412" w:type="pct"/>
            <w:tcBorders>
              <w:top w:val="nil"/>
              <w:left w:val="nil"/>
              <w:bottom w:val="nil"/>
              <w:right w:val="nil"/>
            </w:tcBorders>
            <w:shd w:val="clear" w:color="auto" w:fill="auto"/>
            <w:noWrap/>
            <w:vAlign w:val="center"/>
            <w:hideMark/>
          </w:tcPr>
          <w:p w14:paraId="721C5BF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17.64</w:t>
            </w:r>
          </w:p>
        </w:tc>
        <w:tc>
          <w:tcPr>
            <w:tcW w:w="757" w:type="pct"/>
            <w:tcBorders>
              <w:top w:val="nil"/>
              <w:left w:val="nil"/>
              <w:bottom w:val="nil"/>
              <w:right w:val="nil"/>
            </w:tcBorders>
            <w:shd w:val="clear" w:color="auto" w:fill="auto"/>
            <w:noWrap/>
            <w:vAlign w:val="center"/>
            <w:hideMark/>
          </w:tcPr>
          <w:p w14:paraId="45000E1C"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738" w:type="pct"/>
            <w:tcBorders>
              <w:top w:val="nil"/>
              <w:left w:val="nil"/>
              <w:bottom w:val="nil"/>
              <w:right w:val="nil"/>
            </w:tcBorders>
            <w:shd w:val="clear" w:color="auto" w:fill="auto"/>
            <w:noWrap/>
            <w:vAlign w:val="center"/>
            <w:hideMark/>
          </w:tcPr>
          <w:p w14:paraId="2E2A0ED5"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1.94</w:t>
            </w:r>
          </w:p>
        </w:tc>
        <w:tc>
          <w:tcPr>
            <w:tcW w:w="363" w:type="pct"/>
            <w:tcBorders>
              <w:top w:val="nil"/>
              <w:left w:val="nil"/>
              <w:bottom w:val="nil"/>
              <w:right w:val="nil"/>
            </w:tcBorders>
            <w:shd w:val="clear" w:color="auto" w:fill="auto"/>
            <w:noWrap/>
            <w:vAlign w:val="center"/>
            <w:hideMark/>
          </w:tcPr>
          <w:p w14:paraId="1E87BFD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0.00</w:t>
            </w:r>
          </w:p>
        </w:tc>
        <w:tc>
          <w:tcPr>
            <w:tcW w:w="609" w:type="pct"/>
            <w:tcBorders>
              <w:top w:val="nil"/>
              <w:left w:val="nil"/>
              <w:bottom w:val="nil"/>
              <w:right w:val="nil"/>
            </w:tcBorders>
            <w:shd w:val="clear" w:color="auto" w:fill="auto"/>
            <w:noWrap/>
            <w:vAlign w:val="center"/>
            <w:hideMark/>
          </w:tcPr>
          <w:p w14:paraId="58D89438"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80.43</w:t>
            </w:r>
          </w:p>
        </w:tc>
      </w:tr>
      <w:tr w:rsidR="001B4C30" w:rsidRPr="00082937" w14:paraId="247C7591" w14:textId="77777777" w:rsidTr="00BC0115">
        <w:trPr>
          <w:trHeight w:val="320"/>
        </w:trPr>
        <w:tc>
          <w:tcPr>
            <w:tcW w:w="677" w:type="pct"/>
            <w:tcBorders>
              <w:top w:val="nil"/>
              <w:left w:val="nil"/>
              <w:bottom w:val="nil"/>
              <w:right w:val="nil"/>
            </w:tcBorders>
            <w:shd w:val="clear" w:color="auto" w:fill="auto"/>
            <w:noWrap/>
            <w:vAlign w:val="center"/>
            <w:hideMark/>
          </w:tcPr>
          <w:p w14:paraId="2D71E9B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ED23-3-6</w:t>
            </w:r>
          </w:p>
        </w:tc>
        <w:tc>
          <w:tcPr>
            <w:tcW w:w="1443" w:type="pct"/>
            <w:tcBorders>
              <w:top w:val="nil"/>
              <w:left w:val="nil"/>
              <w:bottom w:val="nil"/>
              <w:right w:val="nil"/>
            </w:tcBorders>
            <w:shd w:val="clear" w:color="auto" w:fill="auto"/>
            <w:vAlign w:val="center"/>
            <w:hideMark/>
          </w:tcPr>
          <w:p w14:paraId="061EBDBD"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lherzolite</w:t>
            </w:r>
          </w:p>
        </w:tc>
        <w:tc>
          <w:tcPr>
            <w:tcW w:w="412" w:type="pct"/>
            <w:tcBorders>
              <w:top w:val="nil"/>
              <w:left w:val="nil"/>
              <w:bottom w:val="nil"/>
              <w:right w:val="nil"/>
            </w:tcBorders>
            <w:shd w:val="clear" w:color="auto" w:fill="auto"/>
            <w:noWrap/>
            <w:vAlign w:val="center"/>
            <w:hideMark/>
          </w:tcPr>
          <w:p w14:paraId="6461A2FF"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79.82</w:t>
            </w:r>
          </w:p>
        </w:tc>
        <w:tc>
          <w:tcPr>
            <w:tcW w:w="757" w:type="pct"/>
            <w:tcBorders>
              <w:top w:val="nil"/>
              <w:left w:val="nil"/>
              <w:bottom w:val="nil"/>
              <w:right w:val="nil"/>
            </w:tcBorders>
            <w:shd w:val="clear" w:color="auto" w:fill="auto"/>
            <w:noWrap/>
            <w:vAlign w:val="center"/>
            <w:hideMark/>
          </w:tcPr>
          <w:p w14:paraId="10B6F857"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12.14</w:t>
            </w:r>
          </w:p>
        </w:tc>
        <w:tc>
          <w:tcPr>
            <w:tcW w:w="738" w:type="pct"/>
            <w:tcBorders>
              <w:top w:val="nil"/>
              <w:left w:val="nil"/>
              <w:bottom w:val="nil"/>
              <w:right w:val="nil"/>
            </w:tcBorders>
            <w:shd w:val="clear" w:color="auto" w:fill="auto"/>
            <w:noWrap/>
            <w:vAlign w:val="center"/>
            <w:hideMark/>
          </w:tcPr>
          <w:p w14:paraId="5661E41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5.32</w:t>
            </w:r>
          </w:p>
        </w:tc>
        <w:tc>
          <w:tcPr>
            <w:tcW w:w="363" w:type="pct"/>
            <w:tcBorders>
              <w:top w:val="nil"/>
              <w:left w:val="nil"/>
              <w:bottom w:val="nil"/>
              <w:right w:val="nil"/>
            </w:tcBorders>
            <w:shd w:val="clear" w:color="auto" w:fill="auto"/>
            <w:noWrap/>
            <w:vAlign w:val="center"/>
            <w:hideMark/>
          </w:tcPr>
          <w:p w14:paraId="04773E71"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0.02</w:t>
            </w:r>
          </w:p>
        </w:tc>
        <w:tc>
          <w:tcPr>
            <w:tcW w:w="609" w:type="pct"/>
            <w:tcBorders>
              <w:top w:val="nil"/>
              <w:left w:val="nil"/>
              <w:bottom w:val="nil"/>
              <w:right w:val="nil"/>
            </w:tcBorders>
            <w:shd w:val="clear" w:color="auto" w:fill="auto"/>
            <w:noWrap/>
            <w:vAlign w:val="center"/>
            <w:hideMark/>
          </w:tcPr>
          <w:p w14:paraId="6DA3157E"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0.08</w:t>
            </w:r>
          </w:p>
        </w:tc>
      </w:tr>
      <w:tr w:rsidR="001B4C30" w:rsidRPr="00082937" w14:paraId="34D72595" w14:textId="77777777" w:rsidTr="00BC0115">
        <w:trPr>
          <w:trHeight w:val="320"/>
        </w:trPr>
        <w:tc>
          <w:tcPr>
            <w:tcW w:w="677" w:type="pct"/>
            <w:tcBorders>
              <w:top w:val="nil"/>
              <w:left w:val="nil"/>
              <w:bottom w:val="single" w:sz="4" w:space="0" w:color="auto"/>
              <w:right w:val="nil"/>
            </w:tcBorders>
            <w:shd w:val="clear" w:color="auto" w:fill="auto"/>
            <w:noWrap/>
            <w:vAlign w:val="center"/>
            <w:hideMark/>
          </w:tcPr>
          <w:p w14:paraId="55B6F9A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ED23-4-1</w:t>
            </w:r>
          </w:p>
        </w:tc>
        <w:tc>
          <w:tcPr>
            <w:tcW w:w="1443" w:type="pct"/>
            <w:tcBorders>
              <w:top w:val="nil"/>
              <w:left w:val="nil"/>
              <w:bottom w:val="single" w:sz="4" w:space="0" w:color="auto"/>
              <w:right w:val="nil"/>
            </w:tcBorders>
            <w:shd w:val="clear" w:color="auto" w:fill="auto"/>
            <w:vAlign w:val="center"/>
            <w:hideMark/>
          </w:tcPr>
          <w:p w14:paraId="6793EABB"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Plagioclase-bearing lherzolite</w:t>
            </w:r>
          </w:p>
        </w:tc>
        <w:tc>
          <w:tcPr>
            <w:tcW w:w="412" w:type="pct"/>
            <w:tcBorders>
              <w:top w:val="nil"/>
              <w:left w:val="nil"/>
              <w:bottom w:val="single" w:sz="4" w:space="0" w:color="auto"/>
              <w:right w:val="nil"/>
            </w:tcBorders>
            <w:shd w:val="clear" w:color="auto" w:fill="auto"/>
            <w:noWrap/>
            <w:vAlign w:val="center"/>
            <w:hideMark/>
          </w:tcPr>
          <w:p w14:paraId="30A1063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41.18</w:t>
            </w:r>
          </w:p>
        </w:tc>
        <w:tc>
          <w:tcPr>
            <w:tcW w:w="757" w:type="pct"/>
            <w:tcBorders>
              <w:top w:val="nil"/>
              <w:left w:val="nil"/>
              <w:bottom w:val="single" w:sz="4" w:space="0" w:color="auto"/>
              <w:right w:val="nil"/>
            </w:tcBorders>
            <w:shd w:val="clear" w:color="auto" w:fill="auto"/>
            <w:noWrap/>
            <w:vAlign w:val="center"/>
            <w:hideMark/>
          </w:tcPr>
          <w:p w14:paraId="2C773BC0"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11.11</w:t>
            </w:r>
          </w:p>
        </w:tc>
        <w:tc>
          <w:tcPr>
            <w:tcW w:w="738" w:type="pct"/>
            <w:tcBorders>
              <w:top w:val="nil"/>
              <w:left w:val="nil"/>
              <w:bottom w:val="single" w:sz="4" w:space="0" w:color="auto"/>
              <w:right w:val="nil"/>
            </w:tcBorders>
            <w:shd w:val="clear" w:color="auto" w:fill="auto"/>
            <w:noWrap/>
            <w:vAlign w:val="center"/>
            <w:hideMark/>
          </w:tcPr>
          <w:p w14:paraId="753C0632"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4.29</w:t>
            </w:r>
          </w:p>
        </w:tc>
        <w:tc>
          <w:tcPr>
            <w:tcW w:w="363" w:type="pct"/>
            <w:tcBorders>
              <w:top w:val="nil"/>
              <w:left w:val="nil"/>
              <w:bottom w:val="single" w:sz="4" w:space="0" w:color="auto"/>
              <w:right w:val="nil"/>
            </w:tcBorders>
            <w:shd w:val="clear" w:color="auto" w:fill="auto"/>
            <w:noWrap/>
            <w:vAlign w:val="center"/>
            <w:hideMark/>
          </w:tcPr>
          <w:p w14:paraId="1AC6970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0.28</w:t>
            </w:r>
          </w:p>
        </w:tc>
        <w:tc>
          <w:tcPr>
            <w:tcW w:w="609" w:type="pct"/>
            <w:tcBorders>
              <w:top w:val="nil"/>
              <w:left w:val="nil"/>
              <w:bottom w:val="single" w:sz="4" w:space="0" w:color="auto"/>
              <w:right w:val="nil"/>
            </w:tcBorders>
            <w:shd w:val="clear" w:color="auto" w:fill="auto"/>
            <w:noWrap/>
            <w:vAlign w:val="center"/>
            <w:hideMark/>
          </w:tcPr>
          <w:p w14:paraId="4F9C28D4" w14:textId="77777777" w:rsidR="001B4C30" w:rsidRPr="00082937" w:rsidRDefault="001B4C30" w:rsidP="001B4C30">
            <w:pPr>
              <w:jc w:val="center"/>
              <w:rPr>
                <w:rFonts w:eastAsia="Times New Roman"/>
                <w:color w:val="000000"/>
                <w:sz w:val="18"/>
                <w:szCs w:val="18"/>
                <w:lang w:val="fr-FR" w:eastAsia="fr-FR"/>
              </w:rPr>
            </w:pPr>
            <w:r w:rsidRPr="00082937">
              <w:rPr>
                <w:rFonts w:eastAsia="Times New Roman"/>
                <w:color w:val="000000"/>
                <w:sz w:val="18"/>
                <w:szCs w:val="18"/>
                <w:lang w:val="fr-FR" w:eastAsia="fr-FR"/>
              </w:rPr>
              <w:t>2.13</w:t>
            </w:r>
          </w:p>
        </w:tc>
      </w:tr>
    </w:tbl>
    <w:p w14:paraId="40A65DE1" w14:textId="77777777" w:rsidR="005A0B14" w:rsidRDefault="005A0B14" w:rsidP="001D4A1B">
      <w:pPr>
        <w:spacing w:after="120"/>
        <w:jc w:val="both"/>
        <w:rPr>
          <w:sz w:val="24"/>
          <w:szCs w:val="24"/>
          <w:highlight w:val="yellow"/>
        </w:rPr>
      </w:pPr>
    </w:p>
    <w:p w14:paraId="496C5D59" w14:textId="54695B17" w:rsidR="005A0B14" w:rsidRDefault="005F7E11" w:rsidP="001D4A1B">
      <w:pPr>
        <w:spacing w:after="120"/>
        <w:jc w:val="both"/>
        <w:rPr>
          <w:sz w:val="24"/>
          <w:szCs w:val="24"/>
          <w:highlight w:val="yellow"/>
        </w:rPr>
      </w:pPr>
      <w:r>
        <w:rPr>
          <w:noProof/>
          <w:sz w:val="24"/>
          <w:szCs w:val="24"/>
          <w:lang w:val="en-GB" w:eastAsia="en-GB"/>
        </w:rPr>
        <w:lastRenderedPageBreak/>
        <w:drawing>
          <wp:inline distT="0" distB="0" distL="0" distR="0" wp14:anchorId="04902B90" wp14:editId="44489BAF">
            <wp:extent cx="5943600" cy="7645294"/>
            <wp:effectExtent l="0" t="0" r="0" b="635"/>
            <wp:docPr id="7" name="Image 7" descr="Sans titre:Users:MarinePaquet:Documents:PhD:Sujet Basaltes - Stage M2:Papiers:Majeurs &amp; Traces:Figures:Figure7b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ans titre:Users:MarinePaquet:Documents:PhD:Sujet Basaltes - Stage M2:Papiers:Majeurs &amp; Traces:Figures:Figure7bis.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17607" b="8554"/>
                    <a:stretch/>
                  </pic:blipFill>
                  <pic:spPr bwMode="auto">
                    <a:xfrm>
                      <a:off x="0" y="0"/>
                      <a:ext cx="5943971" cy="7645771"/>
                    </a:xfrm>
                    <a:prstGeom prst="rect">
                      <a:avLst/>
                    </a:prstGeom>
                    <a:noFill/>
                    <a:ln>
                      <a:noFill/>
                    </a:ln>
                    <a:extLst>
                      <a:ext uri="{53640926-AAD7-44D8-BBD7-CCE9431645EC}">
                        <a14:shadowObscured xmlns:a14="http://schemas.microsoft.com/office/drawing/2010/main"/>
                      </a:ext>
                    </a:extLst>
                  </pic:spPr>
                </pic:pic>
              </a:graphicData>
            </a:graphic>
          </wp:inline>
        </w:drawing>
      </w:r>
    </w:p>
    <w:p w14:paraId="5D460CA7" w14:textId="3972E9B6" w:rsidR="005A0B14" w:rsidRDefault="005F7E11" w:rsidP="0083107F">
      <w:pPr>
        <w:widowControl w:val="0"/>
        <w:autoSpaceDE w:val="0"/>
        <w:autoSpaceDN w:val="0"/>
        <w:adjustRightInd w:val="0"/>
        <w:jc w:val="both"/>
        <w:rPr>
          <w:sz w:val="24"/>
        </w:rPr>
      </w:pPr>
      <w:proofErr w:type="gramStart"/>
      <w:r w:rsidRPr="00E137B3">
        <w:rPr>
          <w:b/>
          <w:sz w:val="24"/>
          <w:szCs w:val="24"/>
        </w:rPr>
        <w:t xml:space="preserve">Figure </w:t>
      </w:r>
      <w:r>
        <w:rPr>
          <w:b/>
          <w:sz w:val="24"/>
          <w:szCs w:val="24"/>
        </w:rPr>
        <w:t>7</w:t>
      </w:r>
      <w:r w:rsidRPr="00E137B3">
        <w:rPr>
          <w:sz w:val="24"/>
          <w:szCs w:val="24"/>
        </w:rPr>
        <w:t>.</w:t>
      </w:r>
      <w:proofErr w:type="gramEnd"/>
      <w:r w:rsidRPr="005F7E11">
        <w:rPr>
          <w:sz w:val="32"/>
          <w:szCs w:val="24"/>
        </w:rPr>
        <w:t xml:space="preserve"> </w:t>
      </w:r>
      <w:proofErr w:type="gramStart"/>
      <w:r w:rsidRPr="005F7E11">
        <w:rPr>
          <w:sz w:val="24"/>
        </w:rPr>
        <w:t>Representative microphotographs of samples of the plagioclase-bearing ultramafic to gabbroic suite.</w:t>
      </w:r>
      <w:proofErr w:type="gramEnd"/>
      <w:r w:rsidRPr="005F7E11">
        <w:rPr>
          <w:sz w:val="24"/>
        </w:rPr>
        <w:t xml:space="preserve"> </w:t>
      </w:r>
      <w:proofErr w:type="gramStart"/>
      <w:r w:rsidRPr="005F7E11">
        <w:rPr>
          <w:sz w:val="24"/>
        </w:rPr>
        <w:t>Crossed nicols.</w:t>
      </w:r>
      <w:proofErr w:type="gramEnd"/>
      <w:r w:rsidRPr="005F7E11">
        <w:rPr>
          <w:sz w:val="24"/>
        </w:rPr>
        <w:t xml:space="preserve"> </w:t>
      </w:r>
      <w:r w:rsidRPr="005F7E11">
        <w:rPr>
          <w:b/>
          <w:sz w:val="24"/>
        </w:rPr>
        <w:t>(a)</w:t>
      </w:r>
      <w:r w:rsidRPr="005F7E11">
        <w:rPr>
          <w:sz w:val="24"/>
        </w:rPr>
        <w:t xml:space="preserve"> Sample SMS17-5-6: olivine gabbro. Clinopyroxene with </w:t>
      </w:r>
      <w:r w:rsidRPr="005F7E11">
        <w:rPr>
          <w:sz w:val="24"/>
        </w:rPr>
        <w:lastRenderedPageBreak/>
        <w:t xml:space="preserve">orthopyroxene exsolutions forms millimeter-sized anhedral to </w:t>
      </w:r>
      <w:del w:id="39" w:author="Daniele" w:date="2016-04-04T09:39:00Z">
        <w:r w:rsidRPr="005F7E11" w:rsidDel="0095430B">
          <w:rPr>
            <w:sz w:val="24"/>
          </w:rPr>
          <w:delText xml:space="preserve">poecilitic </w:delText>
        </w:r>
      </w:del>
      <w:ins w:id="40" w:author="Daniele" w:date="2016-04-04T09:39:00Z">
        <w:r w:rsidR="0095430B" w:rsidRPr="005F7E11">
          <w:rPr>
            <w:sz w:val="24"/>
          </w:rPr>
          <w:t>poe</w:t>
        </w:r>
        <w:r w:rsidR="0095430B">
          <w:rPr>
            <w:sz w:val="24"/>
          </w:rPr>
          <w:t>k</w:t>
        </w:r>
        <w:r w:rsidR="0095430B" w:rsidRPr="005F7E11">
          <w:rPr>
            <w:sz w:val="24"/>
          </w:rPr>
          <w:t xml:space="preserve">ilitic </w:t>
        </w:r>
      </w:ins>
      <w:r w:rsidRPr="005F7E11">
        <w:rPr>
          <w:sz w:val="24"/>
        </w:rPr>
        <w:t xml:space="preserve">crystals that commonly contain inclusions of plagioclase and orthopyroxene (fragments that share a common crystallographic orientation). Spinels appear to be </w:t>
      </w:r>
      <w:r w:rsidR="001A721C" w:rsidRPr="00D55984">
        <w:rPr>
          <w:sz w:val="24"/>
        </w:rPr>
        <w:t xml:space="preserve">amoeboid </w:t>
      </w:r>
      <w:r w:rsidRPr="005F7E11">
        <w:rPr>
          <w:sz w:val="24"/>
        </w:rPr>
        <w:t>to vermicular, and mostly surrounded by plagioclase aureoles.</w:t>
      </w:r>
      <w:r w:rsidR="0083107F">
        <w:rPr>
          <w:sz w:val="24"/>
        </w:rPr>
        <w:t xml:space="preserve"> </w:t>
      </w:r>
      <w:r w:rsidRPr="005F7E11">
        <w:rPr>
          <w:b/>
          <w:sz w:val="24"/>
        </w:rPr>
        <w:t>(b)</w:t>
      </w:r>
      <w:r w:rsidRPr="005F7E11">
        <w:rPr>
          <w:sz w:val="24"/>
        </w:rPr>
        <w:t xml:space="preserve"> Sample SMS6-2-1: olivine gabbro. </w:t>
      </w:r>
      <w:r w:rsidRPr="005F7E11">
        <w:rPr>
          <w:b/>
          <w:sz w:val="24"/>
        </w:rPr>
        <w:t>(d)</w:t>
      </w:r>
      <w:r w:rsidRPr="005F7E11">
        <w:rPr>
          <w:sz w:val="24"/>
        </w:rPr>
        <w:t xml:space="preserve"> Sample SMS6-5-7: gabbro. In </w:t>
      </w:r>
      <w:r w:rsidRPr="001A721C">
        <w:rPr>
          <w:sz w:val="24"/>
        </w:rPr>
        <w:t>(b)</w:t>
      </w:r>
      <w:r w:rsidRPr="005F7E11">
        <w:rPr>
          <w:sz w:val="24"/>
        </w:rPr>
        <w:t xml:space="preserve"> and </w:t>
      </w:r>
      <w:r w:rsidRPr="001A721C">
        <w:rPr>
          <w:sz w:val="24"/>
        </w:rPr>
        <w:t>(d),</w:t>
      </w:r>
      <w:r w:rsidRPr="005F7E11">
        <w:rPr>
          <w:sz w:val="24"/>
        </w:rPr>
        <w:t xml:space="preserve"> clinopyroxenes with orthopyroxene exsolutions are enclosing orthopyroxene and plagioclase inclusions. </w:t>
      </w:r>
      <w:del w:id="41" w:author="Daniele" w:date="2016-04-04T09:51:00Z">
        <w:r w:rsidRPr="005F7E11" w:rsidDel="00E959A4">
          <w:rPr>
            <w:sz w:val="24"/>
          </w:rPr>
          <w:delText>Additionnally</w:delText>
        </w:r>
      </w:del>
      <w:ins w:id="42" w:author="Daniele" w:date="2016-04-04T09:51:00Z">
        <w:r w:rsidR="00E959A4" w:rsidRPr="005F7E11">
          <w:rPr>
            <w:sz w:val="24"/>
          </w:rPr>
          <w:t>Additionally</w:t>
        </w:r>
      </w:ins>
      <w:r w:rsidRPr="005F7E11">
        <w:rPr>
          <w:sz w:val="24"/>
        </w:rPr>
        <w:t>, in (d) orthopyroxenes also occur as irregularly shaped to oval in the plagioclase matrix, or next to a clinopyroxene crystal with orthopyroxene and plagioclase inclusions; all the orthopyroxene fragments have the same crystallographic orientation. These textures indicate that clinopyroxene replaced orthopyroxene porphyroclasts, following plagioclase-forming melt-rock reactions</w:t>
      </w:r>
      <w:r w:rsidR="0083107F">
        <w:rPr>
          <w:sz w:val="24"/>
        </w:rPr>
        <w:t xml:space="preserve">. </w:t>
      </w:r>
      <w:r w:rsidRPr="005F7E11">
        <w:rPr>
          <w:b/>
          <w:sz w:val="24"/>
        </w:rPr>
        <w:t>(c)</w:t>
      </w:r>
      <w:r w:rsidRPr="005F7E11">
        <w:rPr>
          <w:sz w:val="24"/>
        </w:rPr>
        <w:t xml:space="preserve"> Sample SMS6-5-2: plagioclase-bearing lherzolite. Orthopyroxenes form large grains with fine clinopyroxene exsolutions, and kinks. Plagioclase occurs as small interstitial grains. In the center of the picture, the clinopyroxene is enclosing fragments of two different olivine grains and of orthopyroxene. The fragments of olivine and orthopyroxene share a common crystallographic orientation with Ol2 and Ol3 (small grains </w:t>
      </w:r>
      <w:del w:id="43" w:author="Daniele" w:date="2016-04-04T09:53:00Z">
        <w:r w:rsidRPr="005F7E11" w:rsidDel="00E959A4">
          <w:rPr>
            <w:sz w:val="24"/>
          </w:rPr>
          <w:delText>stucked</w:delText>
        </w:r>
      </w:del>
      <w:ins w:id="44" w:author="Daniele" w:date="2016-04-04T09:53:00Z">
        <w:r w:rsidR="00E959A4">
          <w:rPr>
            <w:sz w:val="24"/>
          </w:rPr>
          <w:t>stuck</w:t>
        </w:r>
      </w:ins>
      <w:r w:rsidRPr="005F7E11">
        <w:rPr>
          <w:sz w:val="24"/>
        </w:rPr>
        <w:t xml:space="preserve"> between the clinopyroxene and the orthopyroxene fragment), and Opx1 respectively. Some of the orthopyroxene relicts in clinopyroxene show kink bands or undulose extinction, while the host clinopyroxene appears undeformed. This indicates that clinopyroxene crystallized after an episode of deformation of the orthopyroxene porphyroclasts.</w:t>
      </w:r>
      <w:r w:rsidR="0083107F">
        <w:rPr>
          <w:sz w:val="24"/>
        </w:rPr>
        <w:t xml:space="preserve"> </w:t>
      </w:r>
      <w:r w:rsidRPr="005F7E11">
        <w:rPr>
          <w:b/>
          <w:sz w:val="24"/>
        </w:rPr>
        <w:t>(e)</w:t>
      </w:r>
      <w:r w:rsidRPr="005F7E11">
        <w:rPr>
          <w:sz w:val="24"/>
        </w:rPr>
        <w:t xml:space="preserve"> Sample SMS6-5-2: plagioclase-bearing lherzolite. Contacts between olivine and plagioclase are commonly underlined by reactional orthopyroxene. These rims of secondary orthopyroxene are observed in most samples, independent of the modal proportion of plagioclase and indicate that the impregnating melt was Si-enriched relative to the host peridotite.</w:t>
      </w:r>
      <w:r w:rsidR="0083107F">
        <w:rPr>
          <w:sz w:val="24"/>
        </w:rPr>
        <w:t xml:space="preserve"> </w:t>
      </w:r>
      <w:r w:rsidRPr="005F7E11">
        <w:rPr>
          <w:b/>
          <w:sz w:val="24"/>
        </w:rPr>
        <w:t>(f)</w:t>
      </w:r>
      <w:r>
        <w:rPr>
          <w:sz w:val="24"/>
        </w:rPr>
        <w:t xml:space="preserve"> </w:t>
      </w:r>
      <w:r w:rsidRPr="005F7E11">
        <w:rPr>
          <w:sz w:val="24"/>
        </w:rPr>
        <w:t xml:space="preserve">Sample ED23-3-6: plagioclase-bearing lherzolite. Relations between residual kinked (dashed lines) olivine with undulose extinction and orthopyroxene show lobate contacts possibly due to episodes of incongruent melting </w:t>
      </w:r>
      <w:r>
        <w:rPr>
          <w:sz w:val="24"/>
        </w:rPr>
        <w:t>[</w:t>
      </w:r>
      <w:r w:rsidRPr="005F7E11">
        <w:rPr>
          <w:sz w:val="24"/>
        </w:rPr>
        <w:t xml:space="preserve">e.g. </w:t>
      </w:r>
      <w:r w:rsidRPr="005F7E11">
        <w:rPr>
          <w:i/>
          <w:sz w:val="24"/>
        </w:rPr>
        <w:t>Kelemen</w:t>
      </w:r>
      <w:r w:rsidRPr="005F7E11">
        <w:rPr>
          <w:sz w:val="24"/>
        </w:rPr>
        <w:t xml:space="preserve">, 1990; </w:t>
      </w:r>
      <w:r w:rsidRPr="005F7E11">
        <w:rPr>
          <w:i/>
          <w:sz w:val="24"/>
        </w:rPr>
        <w:t>Kinzler and Grove</w:t>
      </w:r>
      <w:r w:rsidRPr="005F7E11">
        <w:rPr>
          <w:sz w:val="24"/>
        </w:rPr>
        <w:t xml:space="preserve">, 1992b; </w:t>
      </w:r>
      <w:r w:rsidRPr="005F7E11">
        <w:rPr>
          <w:i/>
          <w:sz w:val="24"/>
        </w:rPr>
        <w:t>Seyler et al.</w:t>
      </w:r>
      <w:r w:rsidRPr="005F7E11">
        <w:rPr>
          <w:sz w:val="24"/>
        </w:rPr>
        <w:t>, 2007</w:t>
      </w:r>
      <w:r>
        <w:rPr>
          <w:sz w:val="24"/>
        </w:rPr>
        <w:t>]</w:t>
      </w:r>
      <w:r w:rsidRPr="005F7E11">
        <w:rPr>
          <w:sz w:val="24"/>
        </w:rPr>
        <w:t>.</w:t>
      </w:r>
    </w:p>
    <w:p w14:paraId="6C3B9550" w14:textId="77777777" w:rsidR="0083107F" w:rsidRDefault="0083107F" w:rsidP="0083107F">
      <w:pPr>
        <w:widowControl w:val="0"/>
        <w:autoSpaceDE w:val="0"/>
        <w:autoSpaceDN w:val="0"/>
        <w:adjustRightInd w:val="0"/>
        <w:jc w:val="both"/>
        <w:rPr>
          <w:sz w:val="24"/>
        </w:rPr>
      </w:pPr>
    </w:p>
    <w:p w14:paraId="44DC034A" w14:textId="77777777" w:rsidR="0083107F" w:rsidRPr="0083107F" w:rsidRDefault="0083107F" w:rsidP="0083107F">
      <w:pPr>
        <w:widowControl w:val="0"/>
        <w:autoSpaceDE w:val="0"/>
        <w:autoSpaceDN w:val="0"/>
        <w:adjustRightInd w:val="0"/>
        <w:jc w:val="both"/>
        <w:rPr>
          <w:sz w:val="24"/>
        </w:rPr>
      </w:pPr>
    </w:p>
    <w:p w14:paraId="6AFD03DA" w14:textId="02230AE9" w:rsidR="001D4A1B" w:rsidRPr="00022B05" w:rsidRDefault="001D4A1B" w:rsidP="001D4A1B">
      <w:pPr>
        <w:spacing w:after="120"/>
        <w:jc w:val="both"/>
        <w:rPr>
          <w:sz w:val="24"/>
          <w:szCs w:val="24"/>
        </w:rPr>
      </w:pPr>
      <w:r w:rsidRPr="00022B05">
        <w:rPr>
          <w:sz w:val="24"/>
          <w:szCs w:val="24"/>
        </w:rPr>
        <w:tab/>
      </w:r>
      <w:proofErr w:type="gramStart"/>
      <w:r w:rsidR="00290D4D" w:rsidRPr="00120E5F">
        <w:rPr>
          <w:rStyle w:val="Strong"/>
          <w:b w:val="0"/>
          <w:sz w:val="24"/>
          <w:szCs w:val="24"/>
          <w:u w:val="single"/>
        </w:rPr>
        <w:t>Clinopyroxene</w:t>
      </w:r>
      <w:r w:rsidR="00290D4D">
        <w:rPr>
          <w:rStyle w:val="Strong"/>
          <w:b w:val="0"/>
          <w:sz w:val="24"/>
          <w:szCs w:val="24"/>
          <w:u w:val="single"/>
        </w:rPr>
        <w:t>.</w:t>
      </w:r>
      <w:proofErr w:type="gramEnd"/>
      <w:r w:rsidR="00290D4D" w:rsidRPr="00022B05">
        <w:rPr>
          <w:sz w:val="24"/>
          <w:szCs w:val="24"/>
        </w:rPr>
        <w:t xml:space="preserve"> </w:t>
      </w:r>
      <w:r w:rsidRPr="00022B05">
        <w:rPr>
          <w:sz w:val="24"/>
          <w:szCs w:val="24"/>
        </w:rPr>
        <w:t xml:space="preserve">Clinopyroxene forms millimeter-sized anhedral to </w:t>
      </w:r>
      <w:r w:rsidR="00FC2487" w:rsidRPr="00022B05">
        <w:rPr>
          <w:sz w:val="24"/>
          <w:szCs w:val="24"/>
        </w:rPr>
        <w:t>po</w:t>
      </w:r>
      <w:r w:rsidR="00FC2487">
        <w:rPr>
          <w:sz w:val="24"/>
          <w:szCs w:val="24"/>
        </w:rPr>
        <w:t>ik</w:t>
      </w:r>
      <w:r w:rsidR="00FC2487" w:rsidRPr="00022B05">
        <w:rPr>
          <w:sz w:val="24"/>
          <w:szCs w:val="24"/>
        </w:rPr>
        <w:t xml:space="preserve">ilitic </w:t>
      </w:r>
      <w:r w:rsidRPr="00022B05">
        <w:rPr>
          <w:sz w:val="24"/>
          <w:szCs w:val="24"/>
        </w:rPr>
        <w:t xml:space="preserve">crystals that commonly contain inclusions of orthopyroxene and plagioclase (Figures 7a and 7b). Orthopyroxene inclusions within a given clinopyroxene commonly share the same crystallographic orientation. These textural relations </w:t>
      </w:r>
      <w:r w:rsidR="00FC2487">
        <w:rPr>
          <w:sz w:val="24"/>
          <w:szCs w:val="24"/>
        </w:rPr>
        <w:t>suggest</w:t>
      </w:r>
      <w:r w:rsidR="00FC2487" w:rsidRPr="00022B05">
        <w:rPr>
          <w:sz w:val="24"/>
          <w:szCs w:val="24"/>
        </w:rPr>
        <w:t xml:space="preserve"> </w:t>
      </w:r>
      <w:r w:rsidRPr="00022B05">
        <w:rPr>
          <w:sz w:val="24"/>
          <w:szCs w:val="24"/>
        </w:rPr>
        <w:t xml:space="preserve">that clinopyroxene replaced former orthopyroxene porphyroclasts, following plagioclase crystallization. Some of the orthopyroxene relicts in clinopyroxene show kink bands (Figure 7c) or undulose extinction, while the host clinopyroxene appears undeformed. This indicates that clinopyroxene crystallized after an episode of deformation of the orthopyroxene porphyroclasts. </w:t>
      </w:r>
      <w:r w:rsidR="0013283A">
        <w:rPr>
          <w:sz w:val="24"/>
          <w:szCs w:val="24"/>
        </w:rPr>
        <w:t>However, i</w:t>
      </w:r>
      <w:r w:rsidRPr="00022B05">
        <w:rPr>
          <w:sz w:val="24"/>
          <w:szCs w:val="24"/>
        </w:rPr>
        <w:t>n several samples, clinopyroxene grains are also kinked, bent (for example in Figures 6c and 6d) and locally recrystallized in association with plagioclase neoblasts.</w:t>
      </w:r>
    </w:p>
    <w:p w14:paraId="0789BC8F" w14:textId="0A7F09C8" w:rsidR="001D4A1B" w:rsidRPr="00022B05" w:rsidRDefault="001D4A1B" w:rsidP="001D4A1B">
      <w:pPr>
        <w:spacing w:after="120"/>
        <w:jc w:val="both"/>
        <w:rPr>
          <w:sz w:val="24"/>
          <w:szCs w:val="24"/>
        </w:rPr>
      </w:pPr>
      <w:r w:rsidRPr="00022B05">
        <w:rPr>
          <w:sz w:val="24"/>
          <w:szCs w:val="24"/>
        </w:rPr>
        <w:tab/>
      </w:r>
      <w:proofErr w:type="gramStart"/>
      <w:r w:rsidR="00290D4D">
        <w:rPr>
          <w:rStyle w:val="Strong"/>
          <w:b w:val="0"/>
          <w:sz w:val="24"/>
          <w:szCs w:val="24"/>
          <w:u w:val="single"/>
        </w:rPr>
        <w:t>Orth</w:t>
      </w:r>
      <w:r w:rsidR="00290D4D" w:rsidRPr="00120E5F">
        <w:rPr>
          <w:rStyle w:val="Strong"/>
          <w:b w:val="0"/>
          <w:sz w:val="24"/>
          <w:szCs w:val="24"/>
          <w:u w:val="single"/>
        </w:rPr>
        <w:t>opyroxene</w:t>
      </w:r>
      <w:r w:rsidR="00290D4D">
        <w:rPr>
          <w:rStyle w:val="Strong"/>
          <w:b w:val="0"/>
          <w:sz w:val="24"/>
          <w:szCs w:val="24"/>
          <w:u w:val="single"/>
        </w:rPr>
        <w:t>.</w:t>
      </w:r>
      <w:proofErr w:type="gramEnd"/>
      <w:r w:rsidR="00290D4D" w:rsidRPr="00022B05">
        <w:rPr>
          <w:sz w:val="24"/>
          <w:szCs w:val="24"/>
        </w:rPr>
        <w:t xml:space="preserve"> </w:t>
      </w:r>
      <w:r w:rsidRPr="00022B05">
        <w:rPr>
          <w:sz w:val="24"/>
          <w:szCs w:val="24"/>
        </w:rPr>
        <w:t>Orthopyroxene porphyroclasts comprise up to 43.1</w:t>
      </w:r>
      <w:r w:rsidR="00567384" w:rsidRPr="00022B05">
        <w:rPr>
          <w:sz w:val="24"/>
          <w:szCs w:val="24"/>
        </w:rPr>
        <w:t>%</w:t>
      </w:r>
      <w:r w:rsidRPr="00022B05">
        <w:rPr>
          <w:sz w:val="24"/>
          <w:szCs w:val="24"/>
        </w:rPr>
        <w:t xml:space="preserve"> of the mode in the plagioclase-bearing websterites, and typically 10 to 30</w:t>
      </w:r>
      <w:r w:rsidR="00567384" w:rsidRPr="00022B05">
        <w:rPr>
          <w:sz w:val="24"/>
          <w:szCs w:val="24"/>
        </w:rPr>
        <w:t>%</w:t>
      </w:r>
      <w:r w:rsidRPr="00022B05">
        <w:rPr>
          <w:sz w:val="24"/>
          <w:szCs w:val="24"/>
        </w:rPr>
        <w:t xml:space="preserve"> of the mode in plagioclase-bearing lherzolites (Figures 5d and 5e, Table </w:t>
      </w:r>
      <w:r w:rsidR="00986634">
        <w:rPr>
          <w:sz w:val="24"/>
          <w:szCs w:val="24"/>
        </w:rPr>
        <w:t>4</w:t>
      </w:r>
      <w:r w:rsidRPr="00022B05">
        <w:rPr>
          <w:sz w:val="24"/>
          <w:szCs w:val="24"/>
        </w:rPr>
        <w:t>). They are kinked and commonly contain thin clinopyroxene exsolution lamellae (Figure 7c). In gabbroic samples, we also observed small (&lt;300 µm) irregularly shaped to oval orthopyroxene in the plagioclase and clinopyroxene matrix (Figure 7d). These small orthopyroxene grains tend to share a common crystallographic orientation (Figures 7a, 7b, 7c and 7d) and could represent isolated relicts from preexisting orthopyroxene porphyroclasts. Finally, rims of secondary orthopyroxene (up to 50 µ</w:t>
      </w:r>
      <w:proofErr w:type="gramStart"/>
      <w:r w:rsidRPr="00022B05">
        <w:rPr>
          <w:sz w:val="24"/>
          <w:szCs w:val="24"/>
        </w:rPr>
        <w:t>m-thick</w:t>
      </w:r>
      <w:proofErr w:type="gramEnd"/>
      <w:r w:rsidRPr="00022B05">
        <w:rPr>
          <w:sz w:val="24"/>
          <w:szCs w:val="24"/>
        </w:rPr>
        <w:t>) are common between olivine and plagioclase (Figure 7e).</w:t>
      </w:r>
    </w:p>
    <w:p w14:paraId="654B9B10" w14:textId="019A5A70" w:rsidR="001D4A1B" w:rsidRPr="00022B05" w:rsidRDefault="001D4A1B" w:rsidP="001D4A1B">
      <w:pPr>
        <w:spacing w:after="120"/>
        <w:jc w:val="both"/>
        <w:rPr>
          <w:sz w:val="24"/>
          <w:szCs w:val="24"/>
        </w:rPr>
      </w:pPr>
      <w:r w:rsidRPr="00022B05">
        <w:rPr>
          <w:sz w:val="24"/>
          <w:szCs w:val="24"/>
        </w:rPr>
        <w:lastRenderedPageBreak/>
        <w:tab/>
      </w:r>
      <w:proofErr w:type="gramStart"/>
      <w:r w:rsidR="00290D4D" w:rsidRPr="00290D4D">
        <w:rPr>
          <w:sz w:val="24"/>
          <w:szCs w:val="24"/>
          <w:u w:val="single"/>
        </w:rPr>
        <w:t>Olivine.</w:t>
      </w:r>
      <w:proofErr w:type="gramEnd"/>
      <w:r w:rsidR="00290D4D">
        <w:rPr>
          <w:sz w:val="24"/>
          <w:szCs w:val="24"/>
        </w:rPr>
        <w:t xml:space="preserve"> </w:t>
      </w:r>
      <w:r w:rsidRPr="00022B05">
        <w:rPr>
          <w:sz w:val="24"/>
          <w:szCs w:val="24"/>
        </w:rPr>
        <w:t xml:space="preserve">Olivine occurs as irregularly-shaped grains, </w:t>
      </w:r>
      <w:r w:rsidR="0013283A">
        <w:rPr>
          <w:sz w:val="24"/>
          <w:szCs w:val="24"/>
        </w:rPr>
        <w:t xml:space="preserve">from </w:t>
      </w:r>
      <w:r w:rsidRPr="00022B05">
        <w:rPr>
          <w:sz w:val="24"/>
          <w:szCs w:val="24"/>
        </w:rPr>
        <w:t xml:space="preserve">a few tens of micrometers to one centimeter in size, with subgrain boundaries and undulose extinction (Figure 7f). Olivine grains tend to have curvilinear contacts with orthopyroxenes (Figure 7f), a texture that is common in residual abyssal peridotites and has been interpreted as resulting from </w:t>
      </w:r>
      <w:r w:rsidR="007D32AD" w:rsidRPr="00022B05">
        <w:rPr>
          <w:sz w:val="24"/>
          <w:szCs w:val="24"/>
        </w:rPr>
        <w:t>incongru</w:t>
      </w:r>
      <w:r w:rsidR="007D32AD">
        <w:rPr>
          <w:sz w:val="24"/>
          <w:szCs w:val="24"/>
        </w:rPr>
        <w:t>ent</w:t>
      </w:r>
      <w:r w:rsidR="007D32AD" w:rsidRPr="00022B05">
        <w:rPr>
          <w:sz w:val="24"/>
          <w:szCs w:val="24"/>
        </w:rPr>
        <w:t xml:space="preserve"> </w:t>
      </w:r>
      <w:r w:rsidRPr="00022B05">
        <w:rPr>
          <w:sz w:val="24"/>
          <w:szCs w:val="24"/>
        </w:rPr>
        <w:t xml:space="preserve">melting of the pyroxene </w:t>
      </w:r>
      <w:r w:rsidR="0013283A">
        <w:rPr>
          <w:sz w:val="24"/>
          <w:szCs w:val="24"/>
        </w:rPr>
        <w:t>[</w:t>
      </w:r>
      <w:r w:rsidRPr="00022B05">
        <w:rPr>
          <w:sz w:val="24"/>
          <w:szCs w:val="24"/>
        </w:rPr>
        <w:t xml:space="preserve">e.g. </w:t>
      </w:r>
      <w:r w:rsidRPr="0013283A">
        <w:rPr>
          <w:i/>
          <w:sz w:val="24"/>
          <w:szCs w:val="24"/>
        </w:rPr>
        <w:t>Seyler et al.</w:t>
      </w:r>
      <w:r w:rsidRPr="00022B05">
        <w:rPr>
          <w:sz w:val="24"/>
          <w:szCs w:val="24"/>
        </w:rPr>
        <w:t>, 2007</w:t>
      </w:r>
      <w:r w:rsidR="0013283A">
        <w:rPr>
          <w:sz w:val="24"/>
          <w:szCs w:val="24"/>
        </w:rPr>
        <w:t>]</w:t>
      </w:r>
      <w:r w:rsidRPr="00022B05">
        <w:rPr>
          <w:sz w:val="24"/>
          <w:szCs w:val="24"/>
        </w:rPr>
        <w:t>. In plagioclase-rich samples, olivine forms lens-shaped ag</w:t>
      </w:r>
      <w:r w:rsidR="0038783F">
        <w:rPr>
          <w:sz w:val="24"/>
          <w:szCs w:val="24"/>
        </w:rPr>
        <w:t>g</w:t>
      </w:r>
      <w:r w:rsidRPr="00022B05">
        <w:rPr>
          <w:sz w:val="24"/>
          <w:szCs w:val="24"/>
        </w:rPr>
        <w:t xml:space="preserve">regates (Figure 6c), with grain shapes and subgrains that are similar to those observed in the more ultramafic samples. </w:t>
      </w:r>
    </w:p>
    <w:p w14:paraId="3B3006DC" w14:textId="5348FE34" w:rsidR="001D4A1B" w:rsidRPr="00022B05" w:rsidRDefault="001D4A1B" w:rsidP="001D4A1B">
      <w:pPr>
        <w:spacing w:after="120"/>
        <w:jc w:val="both"/>
        <w:rPr>
          <w:sz w:val="24"/>
          <w:szCs w:val="24"/>
        </w:rPr>
      </w:pPr>
      <w:r w:rsidRPr="00022B05">
        <w:rPr>
          <w:sz w:val="24"/>
          <w:szCs w:val="24"/>
        </w:rPr>
        <w:tab/>
      </w:r>
      <w:proofErr w:type="gramStart"/>
      <w:r w:rsidR="00290D4D" w:rsidRPr="00290D4D">
        <w:rPr>
          <w:sz w:val="24"/>
          <w:szCs w:val="24"/>
          <w:u w:val="single"/>
        </w:rPr>
        <w:t>Spinel.</w:t>
      </w:r>
      <w:proofErr w:type="gramEnd"/>
      <w:r w:rsidR="00290D4D">
        <w:rPr>
          <w:sz w:val="24"/>
          <w:szCs w:val="24"/>
        </w:rPr>
        <w:t xml:space="preserve"> </w:t>
      </w:r>
      <w:r w:rsidRPr="00022B05">
        <w:rPr>
          <w:sz w:val="24"/>
          <w:szCs w:val="24"/>
        </w:rPr>
        <w:t xml:space="preserve">Spinels are present in several samples (Table </w:t>
      </w:r>
      <w:r w:rsidR="00986634">
        <w:rPr>
          <w:sz w:val="24"/>
          <w:szCs w:val="24"/>
        </w:rPr>
        <w:t>4</w:t>
      </w:r>
      <w:r w:rsidRPr="00022B05">
        <w:rPr>
          <w:sz w:val="24"/>
          <w:szCs w:val="24"/>
        </w:rPr>
        <w:t xml:space="preserve">), forming </w:t>
      </w:r>
      <w:r w:rsidR="00B70905" w:rsidRPr="00D55984">
        <w:rPr>
          <w:sz w:val="24"/>
        </w:rPr>
        <w:t xml:space="preserve">amoeboid </w:t>
      </w:r>
      <w:r w:rsidRPr="00022B05">
        <w:rPr>
          <w:sz w:val="24"/>
          <w:szCs w:val="24"/>
        </w:rPr>
        <w:t xml:space="preserve">to vermicular grains that range in size between a few tens of micrometers and a few millimeters. These spinels are brown and partially altered into magnetite. One sample (SMS6-2-1) contains very small spinels (&lt;100µm), enclosed in olivine grains. Most spinels are larger and surrounded by plagioclase. We did not observe the large poikilitic grains enclosing olivine described by </w:t>
      </w:r>
      <w:r w:rsidRPr="00022B05">
        <w:rPr>
          <w:i/>
          <w:sz w:val="24"/>
          <w:szCs w:val="24"/>
        </w:rPr>
        <w:t>Seyler et al.</w:t>
      </w:r>
      <w:r w:rsidR="00022B05">
        <w:rPr>
          <w:sz w:val="24"/>
          <w:szCs w:val="24"/>
        </w:rPr>
        <w:t xml:space="preserve"> [2003]</w:t>
      </w:r>
      <w:r w:rsidRPr="00022B05">
        <w:rPr>
          <w:sz w:val="24"/>
          <w:szCs w:val="24"/>
        </w:rPr>
        <w:t xml:space="preserve"> in plagioclase-free serpentinized lherzolites from the same regio</w:t>
      </w:r>
      <w:r w:rsidR="00BC30B4">
        <w:rPr>
          <w:sz w:val="24"/>
          <w:szCs w:val="24"/>
        </w:rPr>
        <w:t xml:space="preserve">n, which suggests spinels in the plagioclase-bearing ultramafic rocks </w:t>
      </w:r>
      <w:r w:rsidR="00213B42">
        <w:rPr>
          <w:sz w:val="24"/>
          <w:szCs w:val="24"/>
        </w:rPr>
        <w:t>might</w:t>
      </w:r>
      <w:r w:rsidR="00BC30B4">
        <w:rPr>
          <w:sz w:val="24"/>
          <w:szCs w:val="24"/>
        </w:rPr>
        <w:t xml:space="preserve"> result from reaction processes with a percolating melt</w:t>
      </w:r>
      <w:r w:rsidRPr="00022B05">
        <w:rPr>
          <w:sz w:val="24"/>
          <w:szCs w:val="24"/>
        </w:rPr>
        <w:t>.</w:t>
      </w:r>
    </w:p>
    <w:p w14:paraId="7BE6126A" w14:textId="14BAFFAC" w:rsidR="008E3798" w:rsidRPr="00022B05" w:rsidRDefault="00B161A5" w:rsidP="008E3798">
      <w:pPr>
        <w:pStyle w:val="Heading-Secondary"/>
      </w:pPr>
      <w:r>
        <w:t>5</w:t>
      </w:r>
      <w:r w:rsidR="008E3798" w:rsidRPr="00022B05">
        <w:t xml:space="preserve">.2 </w:t>
      </w:r>
      <w:r>
        <w:t>Mineral m</w:t>
      </w:r>
      <w:r w:rsidR="008E3798" w:rsidRPr="00022B05">
        <w:t>ajor element</w:t>
      </w:r>
      <w:r>
        <w:t xml:space="preserve"> compositions</w:t>
      </w:r>
    </w:p>
    <w:p w14:paraId="3A6CF0ED" w14:textId="1A787708" w:rsidR="008E3798" w:rsidRDefault="008E3798" w:rsidP="008E3798">
      <w:pPr>
        <w:tabs>
          <w:tab w:val="left" w:pos="912"/>
          <w:tab w:val="left" w:pos="1416"/>
          <w:tab w:val="left" w:pos="2124"/>
          <w:tab w:val="left" w:pos="2832"/>
          <w:tab w:val="left" w:pos="3540"/>
          <w:tab w:val="left" w:pos="4248"/>
          <w:tab w:val="left" w:pos="5903"/>
        </w:tabs>
        <w:spacing w:after="120"/>
        <w:jc w:val="both"/>
        <w:rPr>
          <w:sz w:val="24"/>
          <w:szCs w:val="24"/>
        </w:rPr>
      </w:pPr>
      <w:r w:rsidRPr="00022B05">
        <w:rPr>
          <w:sz w:val="24"/>
          <w:szCs w:val="24"/>
        </w:rPr>
        <w:tab/>
      </w:r>
      <w:proofErr w:type="gramStart"/>
      <w:r w:rsidR="00B161A5" w:rsidRPr="00825F8A">
        <w:rPr>
          <w:sz w:val="24"/>
          <w:szCs w:val="24"/>
          <w:u w:val="single"/>
        </w:rPr>
        <w:t>Plagioclase.</w:t>
      </w:r>
      <w:proofErr w:type="gramEnd"/>
      <w:r w:rsidR="00B161A5">
        <w:rPr>
          <w:sz w:val="24"/>
          <w:szCs w:val="24"/>
        </w:rPr>
        <w:t xml:space="preserve"> </w:t>
      </w:r>
      <w:r w:rsidRPr="00022B05">
        <w:rPr>
          <w:sz w:val="24"/>
          <w:szCs w:val="24"/>
        </w:rPr>
        <w:t>Plagioclase anorthite</w:t>
      </w:r>
      <w:r w:rsidR="00702DD7" w:rsidRPr="00022B05">
        <w:rPr>
          <w:sz w:val="24"/>
          <w:szCs w:val="24"/>
        </w:rPr>
        <w:t xml:space="preserve"> (An)</w:t>
      </w:r>
      <w:r w:rsidRPr="00022B05">
        <w:rPr>
          <w:sz w:val="24"/>
          <w:szCs w:val="24"/>
        </w:rPr>
        <w:t xml:space="preserve"> contents range between 80.6 and 91.6% in samples the modal proportions of a plagioclase lherzolite or plagioclase websterite, and between 58.</w:t>
      </w:r>
      <w:r w:rsidR="007D32AD">
        <w:rPr>
          <w:sz w:val="24"/>
          <w:szCs w:val="24"/>
        </w:rPr>
        <w:t>8</w:t>
      </w:r>
      <w:r w:rsidR="007D32AD" w:rsidRPr="00022B05">
        <w:rPr>
          <w:sz w:val="24"/>
          <w:szCs w:val="24"/>
        </w:rPr>
        <w:t xml:space="preserve"> </w:t>
      </w:r>
      <w:r w:rsidRPr="00022B05">
        <w:rPr>
          <w:sz w:val="24"/>
          <w:szCs w:val="24"/>
        </w:rPr>
        <w:t>and 69.</w:t>
      </w:r>
      <w:r w:rsidR="007D32AD">
        <w:rPr>
          <w:sz w:val="24"/>
          <w:szCs w:val="24"/>
        </w:rPr>
        <w:t>6</w:t>
      </w:r>
      <w:r w:rsidRPr="00022B05">
        <w:rPr>
          <w:sz w:val="24"/>
          <w:szCs w:val="24"/>
        </w:rPr>
        <w:t xml:space="preserve">% in </w:t>
      </w:r>
      <w:r w:rsidRPr="00022B05">
        <w:rPr>
          <w:rStyle w:val="Strong"/>
          <w:b w:val="0"/>
          <w:sz w:val="24"/>
          <w:szCs w:val="24"/>
        </w:rPr>
        <w:t xml:space="preserve">troctolites, olivine gabbros, gabbros and gabbronorites (Figures </w:t>
      </w:r>
      <w:r w:rsidRPr="00022B05">
        <w:rPr>
          <w:sz w:val="24"/>
          <w:szCs w:val="24"/>
        </w:rPr>
        <w:t xml:space="preserve">8a and 8b, Table </w:t>
      </w:r>
      <w:r w:rsidR="00EC21E5">
        <w:rPr>
          <w:sz w:val="24"/>
          <w:szCs w:val="24"/>
        </w:rPr>
        <w:t>5</w:t>
      </w:r>
      <w:r w:rsidRPr="00022B05">
        <w:rPr>
          <w:sz w:val="24"/>
          <w:szCs w:val="24"/>
        </w:rPr>
        <w:t xml:space="preserve">). </w:t>
      </w:r>
      <w:proofErr w:type="gramStart"/>
      <w:r w:rsidRPr="00022B05">
        <w:rPr>
          <w:sz w:val="24"/>
          <w:szCs w:val="24"/>
        </w:rPr>
        <w:t>The An</w:t>
      </w:r>
      <w:proofErr w:type="gramEnd"/>
      <w:r w:rsidRPr="00022B05">
        <w:rPr>
          <w:sz w:val="24"/>
          <w:szCs w:val="24"/>
        </w:rPr>
        <w:t xml:space="preserve"> content in </w:t>
      </w:r>
      <w:r w:rsidR="00E55178">
        <w:rPr>
          <w:sz w:val="24"/>
          <w:szCs w:val="24"/>
        </w:rPr>
        <w:t>the</w:t>
      </w:r>
      <w:r w:rsidR="00825F8A">
        <w:rPr>
          <w:sz w:val="24"/>
          <w:szCs w:val="24"/>
        </w:rPr>
        <w:t>se</w:t>
      </w:r>
      <w:r w:rsidR="00E55178" w:rsidRPr="00022B05">
        <w:rPr>
          <w:sz w:val="24"/>
          <w:szCs w:val="24"/>
        </w:rPr>
        <w:t xml:space="preserve"> </w:t>
      </w:r>
      <w:r w:rsidRPr="00022B05">
        <w:rPr>
          <w:sz w:val="24"/>
          <w:szCs w:val="24"/>
        </w:rPr>
        <w:t xml:space="preserve">samples therefore appears to be inversely correlated with the modal proportion of plagioclase. </w:t>
      </w:r>
    </w:p>
    <w:p w14:paraId="4DB39977" w14:textId="292382B0" w:rsidR="00825F8A" w:rsidRPr="00022B05" w:rsidRDefault="00825F8A" w:rsidP="00825F8A">
      <w:pPr>
        <w:tabs>
          <w:tab w:val="left" w:pos="912"/>
          <w:tab w:val="left" w:pos="1416"/>
          <w:tab w:val="left" w:pos="2124"/>
          <w:tab w:val="left" w:pos="2832"/>
          <w:tab w:val="left" w:pos="3540"/>
          <w:tab w:val="left" w:pos="4248"/>
          <w:tab w:val="left" w:pos="5903"/>
        </w:tabs>
        <w:spacing w:after="120"/>
        <w:jc w:val="both"/>
        <w:rPr>
          <w:sz w:val="24"/>
          <w:szCs w:val="24"/>
        </w:rPr>
      </w:pPr>
      <w:r w:rsidRPr="00022B05">
        <w:rPr>
          <w:sz w:val="24"/>
          <w:szCs w:val="24"/>
        </w:rPr>
        <w:tab/>
        <w:t>In order to further investigate this relation, we selected a sample in which plagioclase abundance var</w:t>
      </w:r>
      <w:r>
        <w:rPr>
          <w:sz w:val="24"/>
          <w:szCs w:val="24"/>
        </w:rPr>
        <w:t>ies</w:t>
      </w:r>
      <w:r w:rsidRPr="00022B05">
        <w:rPr>
          <w:sz w:val="24"/>
          <w:szCs w:val="24"/>
        </w:rPr>
        <w:t xml:space="preserve"> significantly over scales of a few centimeters, and in which the range of measured An values is large (66.5 to 85.</w:t>
      </w:r>
      <w:r>
        <w:rPr>
          <w:sz w:val="24"/>
          <w:szCs w:val="24"/>
        </w:rPr>
        <w:t>2</w:t>
      </w:r>
      <w:r w:rsidRPr="00022B05">
        <w:rPr>
          <w:sz w:val="24"/>
          <w:szCs w:val="24"/>
        </w:rPr>
        <w:t xml:space="preserve">%; Figure 9a). In this sample, we compared the composition of plagioclase grains measured in two parallel thin sections cut within 1.5 centimeters of one another, one with a plagioclase-websterite modal mineralogy (A), the other with a gabbronorite mineralogy (B; Figure 9b). Plagioclase grains belong to three types: small grains isolated in the mafic mineral assemblage (thin section A), small grains enclosed into clinopyroxenes (thin sections A and B), and larger grains (≥ 500µm to 1mm; thin section B). The small plagioclase grains (inclusions in the clinopyroxenes or in the mafic groundmass) have similar anorthite </w:t>
      </w:r>
      <w:proofErr w:type="gramStart"/>
      <w:r w:rsidRPr="00022B05">
        <w:rPr>
          <w:sz w:val="24"/>
          <w:szCs w:val="24"/>
        </w:rPr>
        <w:t>contents,</w:t>
      </w:r>
      <w:proofErr w:type="gramEnd"/>
      <w:r w:rsidRPr="00022B05">
        <w:rPr>
          <w:sz w:val="24"/>
          <w:szCs w:val="24"/>
        </w:rPr>
        <w:t xml:space="preserve"> between 73.5 and 85.</w:t>
      </w:r>
      <w:r>
        <w:rPr>
          <w:sz w:val="24"/>
          <w:szCs w:val="24"/>
        </w:rPr>
        <w:t>2</w:t>
      </w:r>
      <w:r w:rsidRPr="00022B05">
        <w:rPr>
          <w:sz w:val="24"/>
          <w:szCs w:val="24"/>
        </w:rPr>
        <w:t>% (</w:t>
      </w:r>
      <w:r w:rsidR="00772142">
        <w:rPr>
          <w:sz w:val="24"/>
          <w:szCs w:val="24"/>
        </w:rPr>
        <w:t xml:space="preserve">mean An value of </w:t>
      </w:r>
      <w:r w:rsidRPr="00022B05">
        <w:rPr>
          <w:sz w:val="24"/>
          <w:szCs w:val="24"/>
        </w:rPr>
        <w:t>80.</w:t>
      </w:r>
      <w:r>
        <w:rPr>
          <w:sz w:val="24"/>
          <w:szCs w:val="24"/>
        </w:rPr>
        <w:t>8</w:t>
      </w:r>
      <w:r w:rsidRPr="00022B05">
        <w:rPr>
          <w:sz w:val="24"/>
          <w:szCs w:val="24"/>
        </w:rPr>
        <w:t>±4.</w:t>
      </w:r>
      <w:r>
        <w:rPr>
          <w:sz w:val="24"/>
          <w:szCs w:val="24"/>
        </w:rPr>
        <w:t>1</w:t>
      </w:r>
      <w:r w:rsidRPr="00022B05">
        <w:rPr>
          <w:sz w:val="24"/>
          <w:szCs w:val="24"/>
        </w:rPr>
        <w:t xml:space="preserve">%) </w:t>
      </w:r>
      <w:proofErr w:type="gramStart"/>
      <w:r w:rsidRPr="00022B05">
        <w:rPr>
          <w:sz w:val="24"/>
          <w:szCs w:val="24"/>
        </w:rPr>
        <w:t>(Figure 9c).</w:t>
      </w:r>
      <w:proofErr w:type="gramEnd"/>
      <w:r w:rsidRPr="00022B05">
        <w:rPr>
          <w:sz w:val="24"/>
          <w:szCs w:val="24"/>
        </w:rPr>
        <w:t xml:space="preserve"> The larger grains have lower anorthite </w:t>
      </w:r>
      <w:proofErr w:type="gramStart"/>
      <w:r w:rsidRPr="00022B05">
        <w:rPr>
          <w:sz w:val="24"/>
          <w:szCs w:val="24"/>
        </w:rPr>
        <w:t>content,</w:t>
      </w:r>
      <w:proofErr w:type="gramEnd"/>
      <w:r w:rsidRPr="00022B05">
        <w:rPr>
          <w:sz w:val="24"/>
          <w:szCs w:val="24"/>
        </w:rPr>
        <w:t xml:space="preserve"> between 66.5 and 74.1% (</w:t>
      </w:r>
      <w:r w:rsidR="00772142">
        <w:rPr>
          <w:sz w:val="24"/>
          <w:szCs w:val="24"/>
        </w:rPr>
        <w:t xml:space="preserve">mean An value of </w:t>
      </w:r>
      <w:r w:rsidRPr="00022B05">
        <w:rPr>
          <w:sz w:val="24"/>
          <w:szCs w:val="24"/>
        </w:rPr>
        <w:t>68.8±2.</w:t>
      </w:r>
      <w:r>
        <w:rPr>
          <w:sz w:val="24"/>
          <w:szCs w:val="24"/>
        </w:rPr>
        <w:t>4</w:t>
      </w:r>
      <w:r w:rsidRPr="00022B05">
        <w:rPr>
          <w:sz w:val="24"/>
          <w:szCs w:val="24"/>
        </w:rPr>
        <w:t xml:space="preserve">%) </w:t>
      </w:r>
      <w:proofErr w:type="gramStart"/>
      <w:r w:rsidRPr="00022B05">
        <w:rPr>
          <w:sz w:val="24"/>
          <w:szCs w:val="24"/>
        </w:rPr>
        <w:t>(Figure 9c).</w:t>
      </w:r>
      <w:proofErr w:type="gramEnd"/>
    </w:p>
    <w:p w14:paraId="1C6E4757" w14:textId="5C8EC6E9" w:rsidR="00825F8A" w:rsidRDefault="00825F8A" w:rsidP="008E3798">
      <w:pPr>
        <w:tabs>
          <w:tab w:val="left" w:pos="912"/>
          <w:tab w:val="left" w:pos="1416"/>
          <w:tab w:val="left" w:pos="2124"/>
          <w:tab w:val="left" w:pos="2832"/>
          <w:tab w:val="left" w:pos="3540"/>
          <w:tab w:val="left" w:pos="4248"/>
          <w:tab w:val="left" w:pos="5903"/>
        </w:tabs>
        <w:spacing w:after="120"/>
        <w:jc w:val="both"/>
        <w:rPr>
          <w:sz w:val="24"/>
          <w:szCs w:val="24"/>
        </w:rPr>
      </w:pPr>
      <w:r w:rsidRPr="00022B05">
        <w:rPr>
          <w:sz w:val="24"/>
          <w:szCs w:val="24"/>
        </w:rPr>
        <w:tab/>
      </w:r>
      <w:commentRangeStart w:id="45"/>
      <w:r w:rsidRPr="00022B05">
        <w:rPr>
          <w:sz w:val="24"/>
          <w:szCs w:val="24"/>
        </w:rPr>
        <w:t xml:space="preserve">Plagioclase in this sample, similar to other samples that plot in the 65-91.6 range of An contents, has low (&lt;0.03 </w:t>
      </w:r>
      <w:proofErr w:type="gramStart"/>
      <w:r w:rsidRPr="00022B05">
        <w:rPr>
          <w:sz w:val="24"/>
          <w:szCs w:val="24"/>
        </w:rPr>
        <w:t>wt%</w:t>
      </w:r>
      <w:proofErr w:type="gramEnd"/>
      <w:r w:rsidRPr="00022B05">
        <w:rPr>
          <w:sz w:val="24"/>
          <w:szCs w:val="24"/>
        </w:rPr>
        <w:t>) K</w:t>
      </w:r>
      <w:r w:rsidRPr="00022B05">
        <w:rPr>
          <w:sz w:val="24"/>
          <w:szCs w:val="24"/>
          <w:vertAlign w:val="subscript"/>
        </w:rPr>
        <w:t>2</w:t>
      </w:r>
      <w:r w:rsidRPr="00022B05">
        <w:rPr>
          <w:sz w:val="24"/>
          <w:szCs w:val="24"/>
        </w:rPr>
        <w:t>O contents (the dispersion is interpreted as due to analytical error at these low concentrations). By contrast, large plagioclase grains in several samples of troctolite, olivine gabbro and gabbro have yet lower plagioclase An contents (58.</w:t>
      </w:r>
      <w:r>
        <w:rPr>
          <w:sz w:val="24"/>
          <w:szCs w:val="24"/>
        </w:rPr>
        <w:t>8</w:t>
      </w:r>
      <w:r w:rsidRPr="00022B05">
        <w:rPr>
          <w:sz w:val="24"/>
          <w:szCs w:val="24"/>
        </w:rPr>
        <w:t xml:space="preserve"> to 62.9%), and slightly higher K</w:t>
      </w:r>
      <w:r w:rsidRPr="00022B05">
        <w:rPr>
          <w:sz w:val="24"/>
          <w:szCs w:val="24"/>
          <w:vertAlign w:val="subscript"/>
        </w:rPr>
        <w:t>2</w:t>
      </w:r>
      <w:r w:rsidRPr="00022B05">
        <w:rPr>
          <w:sz w:val="24"/>
          <w:szCs w:val="24"/>
        </w:rPr>
        <w:t xml:space="preserve">O </w:t>
      </w:r>
      <w:r>
        <w:rPr>
          <w:sz w:val="24"/>
          <w:szCs w:val="24"/>
        </w:rPr>
        <w:t>(</w:t>
      </w:r>
      <w:r w:rsidRPr="00022B05">
        <w:rPr>
          <w:sz w:val="24"/>
          <w:szCs w:val="24"/>
        </w:rPr>
        <w:t>and TiO</w:t>
      </w:r>
      <w:r w:rsidRPr="00022B05">
        <w:rPr>
          <w:sz w:val="24"/>
          <w:szCs w:val="24"/>
          <w:vertAlign w:val="subscript"/>
        </w:rPr>
        <w:t>2</w:t>
      </w:r>
      <w:r>
        <w:rPr>
          <w:sz w:val="24"/>
          <w:szCs w:val="24"/>
        </w:rPr>
        <w:t>)</w:t>
      </w:r>
      <w:r w:rsidRPr="00022B05">
        <w:rPr>
          <w:sz w:val="24"/>
          <w:szCs w:val="24"/>
        </w:rPr>
        <w:t xml:space="preserve"> contents</w:t>
      </w:r>
      <w:r>
        <w:rPr>
          <w:sz w:val="24"/>
          <w:szCs w:val="24"/>
        </w:rPr>
        <w:t xml:space="preserve"> </w:t>
      </w:r>
      <w:r w:rsidRPr="00E959A4">
        <w:rPr>
          <w:sz w:val="24"/>
          <w:szCs w:val="24"/>
          <w:highlight w:val="yellow"/>
          <w:rPrChange w:id="46" w:author="Daniele" w:date="2016-04-04T09:59:00Z">
            <w:rPr>
              <w:sz w:val="24"/>
              <w:szCs w:val="24"/>
            </w:rPr>
          </w:rPrChange>
        </w:rPr>
        <w:t>(up to 0.05 wt% for K</w:t>
      </w:r>
      <w:r w:rsidRPr="00E959A4">
        <w:rPr>
          <w:sz w:val="24"/>
          <w:szCs w:val="24"/>
          <w:highlight w:val="yellow"/>
          <w:vertAlign w:val="subscript"/>
          <w:rPrChange w:id="47" w:author="Daniele" w:date="2016-04-04T09:59:00Z">
            <w:rPr>
              <w:sz w:val="24"/>
              <w:szCs w:val="24"/>
              <w:vertAlign w:val="subscript"/>
            </w:rPr>
          </w:rPrChange>
        </w:rPr>
        <w:t>2</w:t>
      </w:r>
      <w:r w:rsidRPr="00E959A4">
        <w:rPr>
          <w:sz w:val="24"/>
          <w:szCs w:val="24"/>
          <w:highlight w:val="yellow"/>
          <w:rPrChange w:id="48" w:author="Daniele" w:date="2016-04-04T09:59:00Z">
            <w:rPr>
              <w:sz w:val="24"/>
              <w:szCs w:val="24"/>
            </w:rPr>
          </w:rPrChange>
        </w:rPr>
        <w:t>O, and between</w:t>
      </w:r>
      <w:r>
        <w:rPr>
          <w:sz w:val="24"/>
          <w:szCs w:val="24"/>
        </w:rPr>
        <w:t xml:space="preserve"> 0.03 and 0.08 wt% for </w:t>
      </w:r>
      <w:r w:rsidRPr="00022B05">
        <w:rPr>
          <w:sz w:val="24"/>
          <w:szCs w:val="24"/>
        </w:rPr>
        <w:t>TiO</w:t>
      </w:r>
      <w:r w:rsidRPr="00022B05">
        <w:rPr>
          <w:sz w:val="24"/>
          <w:szCs w:val="24"/>
          <w:vertAlign w:val="subscript"/>
        </w:rPr>
        <w:t>2</w:t>
      </w:r>
      <w:r>
        <w:rPr>
          <w:sz w:val="24"/>
          <w:szCs w:val="24"/>
        </w:rPr>
        <w:t>)</w:t>
      </w:r>
      <w:r w:rsidRPr="00022B05">
        <w:rPr>
          <w:sz w:val="24"/>
          <w:szCs w:val="24"/>
        </w:rPr>
        <w:t xml:space="preserve"> (Figure 9a</w:t>
      </w:r>
      <w:commentRangeEnd w:id="45"/>
      <w:r w:rsidR="002B1DB5">
        <w:rPr>
          <w:rStyle w:val="CommentReference"/>
          <w:rFonts w:asciiTheme="minorHAnsi" w:eastAsiaTheme="minorEastAsia" w:hAnsiTheme="minorHAnsi" w:cstheme="minorBidi"/>
          <w:lang w:val="fr-FR" w:eastAsia="fr-FR"/>
        </w:rPr>
        <w:commentReference w:id="45"/>
      </w:r>
      <w:r w:rsidRPr="00022B05">
        <w:rPr>
          <w:sz w:val="24"/>
          <w:szCs w:val="24"/>
        </w:rPr>
        <w:t>). This sample-scale study therefore indicates that the highest An values (73.5 to 85.</w:t>
      </w:r>
      <w:r>
        <w:rPr>
          <w:sz w:val="24"/>
          <w:szCs w:val="24"/>
        </w:rPr>
        <w:t>2</w:t>
      </w:r>
      <w:r w:rsidRPr="00022B05">
        <w:rPr>
          <w:sz w:val="24"/>
          <w:szCs w:val="24"/>
        </w:rPr>
        <w:t xml:space="preserve">%) are measured in small plagioclase grains isolated in mafic mineral assemblages, and that these small An-rich grains can be preserved as inclusions in clinopyroxenes in gabbroic samples that also contain plagioclase-rich domains with lower An contents. Additionally, we identify a subgroup of troctolites, olivine gabbros and gabbros that </w:t>
      </w:r>
      <w:proofErr w:type="gramStart"/>
      <w:r w:rsidRPr="00022B05">
        <w:rPr>
          <w:sz w:val="24"/>
          <w:szCs w:val="24"/>
        </w:rPr>
        <w:lastRenderedPageBreak/>
        <w:t>contains</w:t>
      </w:r>
      <w:proofErr w:type="gramEnd"/>
      <w:r w:rsidRPr="00022B05">
        <w:rPr>
          <w:sz w:val="24"/>
          <w:szCs w:val="24"/>
        </w:rPr>
        <w:t xml:space="preserve"> plagioclase with yet lower An content (58.</w:t>
      </w:r>
      <w:r>
        <w:rPr>
          <w:sz w:val="24"/>
          <w:szCs w:val="24"/>
        </w:rPr>
        <w:t>8</w:t>
      </w:r>
      <w:r w:rsidRPr="00022B05">
        <w:rPr>
          <w:sz w:val="24"/>
          <w:szCs w:val="24"/>
        </w:rPr>
        <w:t xml:space="preserve"> to 62.9%) </w:t>
      </w:r>
      <w:commentRangeStart w:id="49"/>
      <w:r w:rsidRPr="00022B05">
        <w:rPr>
          <w:sz w:val="24"/>
          <w:szCs w:val="24"/>
        </w:rPr>
        <w:t>and higher K</w:t>
      </w:r>
      <w:r w:rsidRPr="00022B05">
        <w:rPr>
          <w:sz w:val="24"/>
          <w:szCs w:val="24"/>
          <w:vertAlign w:val="subscript"/>
        </w:rPr>
        <w:t>2</w:t>
      </w:r>
      <w:r w:rsidRPr="00022B05">
        <w:rPr>
          <w:sz w:val="24"/>
          <w:szCs w:val="24"/>
        </w:rPr>
        <w:t xml:space="preserve">O contents </w:t>
      </w:r>
      <w:commentRangeEnd w:id="49"/>
      <w:r w:rsidR="002B1DB5">
        <w:rPr>
          <w:rStyle w:val="CommentReference"/>
          <w:rFonts w:asciiTheme="minorHAnsi" w:eastAsiaTheme="minorEastAsia" w:hAnsiTheme="minorHAnsi" w:cstheme="minorBidi"/>
          <w:lang w:val="fr-FR" w:eastAsia="fr-FR"/>
        </w:rPr>
        <w:commentReference w:id="49"/>
      </w:r>
      <w:r w:rsidRPr="00022B05">
        <w:rPr>
          <w:sz w:val="24"/>
          <w:szCs w:val="24"/>
        </w:rPr>
        <w:t>(Figure 9a).</w:t>
      </w:r>
    </w:p>
    <w:p w14:paraId="5068AB02" w14:textId="046FE0F6" w:rsidR="002063D3" w:rsidRDefault="001F2B1D" w:rsidP="008E3798">
      <w:pPr>
        <w:tabs>
          <w:tab w:val="left" w:pos="912"/>
          <w:tab w:val="left" w:pos="1416"/>
          <w:tab w:val="left" w:pos="2124"/>
          <w:tab w:val="left" w:pos="2832"/>
          <w:tab w:val="left" w:pos="3540"/>
          <w:tab w:val="left" w:pos="4248"/>
          <w:tab w:val="left" w:pos="5903"/>
        </w:tabs>
        <w:spacing w:after="120"/>
        <w:jc w:val="both"/>
        <w:rPr>
          <w:sz w:val="24"/>
          <w:szCs w:val="24"/>
        </w:rPr>
      </w:pPr>
      <w:r>
        <w:rPr>
          <w:noProof/>
          <w:sz w:val="24"/>
          <w:szCs w:val="24"/>
          <w:lang w:val="en-GB" w:eastAsia="en-GB"/>
        </w:rPr>
        <w:drawing>
          <wp:inline distT="0" distB="0" distL="0" distR="0" wp14:anchorId="5A754A2A" wp14:editId="7489910E">
            <wp:extent cx="4200943" cy="4744720"/>
            <wp:effectExtent l="0" t="0" r="0" b="5080"/>
            <wp:docPr id="17" name="Image 17" descr="Sans titre:Users:MarinePaquet:Documents:PhD:Sujet Basaltes - Stage M2:Papiers:Majeurs &amp; Traces:Figures:Mg#Cpx_Cr2O3Cpx_AnPlagb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ns titre:Users:MarinePaquet:Documents:PhD:Sujet Basaltes - Stage M2:Papiers:Majeurs &amp; Traces:Figures:Mg#Cpx_Cr2O3Cpx_AnPlagbis.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11795" r="20855"/>
                    <a:stretch/>
                  </pic:blipFill>
                  <pic:spPr bwMode="auto">
                    <a:xfrm>
                      <a:off x="0" y="0"/>
                      <a:ext cx="4200943" cy="4744720"/>
                    </a:xfrm>
                    <a:prstGeom prst="rect">
                      <a:avLst/>
                    </a:prstGeom>
                    <a:noFill/>
                    <a:ln>
                      <a:noFill/>
                    </a:ln>
                    <a:extLst>
                      <a:ext uri="{53640926-AAD7-44D8-BBD7-CCE9431645EC}">
                        <a14:shadowObscured xmlns:a14="http://schemas.microsoft.com/office/drawing/2010/main"/>
                      </a:ext>
                    </a:extLst>
                  </pic:spPr>
                </pic:pic>
              </a:graphicData>
            </a:graphic>
          </wp:inline>
        </w:drawing>
      </w:r>
    </w:p>
    <w:p w14:paraId="7EA3EEFF" w14:textId="492351B5" w:rsidR="00855702" w:rsidRDefault="002063D3" w:rsidP="008E3798">
      <w:pPr>
        <w:tabs>
          <w:tab w:val="left" w:pos="912"/>
          <w:tab w:val="left" w:pos="1416"/>
          <w:tab w:val="left" w:pos="2124"/>
          <w:tab w:val="left" w:pos="2832"/>
          <w:tab w:val="left" w:pos="3540"/>
          <w:tab w:val="left" w:pos="4248"/>
          <w:tab w:val="left" w:pos="5903"/>
        </w:tabs>
        <w:spacing w:after="120"/>
        <w:jc w:val="both"/>
        <w:rPr>
          <w:sz w:val="24"/>
        </w:rPr>
      </w:pPr>
      <w:proofErr w:type="gramStart"/>
      <w:r w:rsidRPr="00E137B3">
        <w:rPr>
          <w:b/>
          <w:sz w:val="24"/>
          <w:szCs w:val="24"/>
        </w:rPr>
        <w:t xml:space="preserve">Figure </w:t>
      </w:r>
      <w:r>
        <w:rPr>
          <w:b/>
          <w:sz w:val="24"/>
          <w:szCs w:val="24"/>
        </w:rPr>
        <w:t>8</w:t>
      </w:r>
      <w:r w:rsidRPr="00E137B3">
        <w:rPr>
          <w:sz w:val="24"/>
          <w:szCs w:val="24"/>
        </w:rPr>
        <w:t>.</w:t>
      </w:r>
      <w:proofErr w:type="gramEnd"/>
      <w:r w:rsidRPr="005F7E11">
        <w:rPr>
          <w:sz w:val="32"/>
          <w:szCs w:val="24"/>
        </w:rPr>
        <w:t xml:space="preserve"> </w:t>
      </w:r>
      <w:proofErr w:type="gramStart"/>
      <w:r w:rsidR="00E827EC" w:rsidRPr="00E827EC">
        <w:rPr>
          <w:sz w:val="24"/>
        </w:rPr>
        <w:t>Clinopyroxene and plagioclase major element composition in samples of the plagioclase-bearing ultramafic to gabbroic suite.</w:t>
      </w:r>
      <w:proofErr w:type="gramEnd"/>
      <w:r w:rsidR="00E827EC" w:rsidRPr="00E827EC">
        <w:rPr>
          <w:sz w:val="24"/>
        </w:rPr>
        <w:t xml:space="preserve"> </w:t>
      </w:r>
      <w:r w:rsidR="00E827EC" w:rsidRPr="00E827EC">
        <w:rPr>
          <w:b/>
          <w:sz w:val="24"/>
        </w:rPr>
        <w:t>(a)</w:t>
      </w:r>
      <w:r w:rsidR="00E827EC" w:rsidRPr="00E827EC">
        <w:rPr>
          <w:sz w:val="24"/>
        </w:rPr>
        <w:t xml:space="preserve"> </w:t>
      </w:r>
      <w:r w:rsidR="00CC07B3">
        <w:rPr>
          <w:sz w:val="24"/>
        </w:rPr>
        <w:t xml:space="preserve">Clinopyroxene </w:t>
      </w:r>
      <w:r w:rsidR="00E827EC" w:rsidRPr="00E827EC">
        <w:rPr>
          <w:sz w:val="24"/>
        </w:rPr>
        <w:t xml:space="preserve">Mg# as a function of plagioclase anorthite content. </w:t>
      </w:r>
      <w:proofErr w:type="gramStart"/>
      <w:r w:rsidR="00E827EC" w:rsidRPr="00E827EC">
        <w:rPr>
          <w:b/>
          <w:sz w:val="24"/>
        </w:rPr>
        <w:t>(b)</w:t>
      </w:r>
      <w:r w:rsidR="00E827EC" w:rsidRPr="00E827EC">
        <w:rPr>
          <w:sz w:val="24"/>
        </w:rPr>
        <w:t xml:space="preserve"> </w:t>
      </w:r>
      <w:r w:rsidR="00CC07B3">
        <w:rPr>
          <w:sz w:val="24"/>
        </w:rPr>
        <w:t xml:space="preserve">Clinopyroxene </w:t>
      </w:r>
      <w:r w:rsidR="00E827EC" w:rsidRPr="00E827EC">
        <w:rPr>
          <w:sz w:val="24"/>
        </w:rPr>
        <w:t>Cr</w:t>
      </w:r>
      <w:r w:rsidR="00E827EC" w:rsidRPr="00E827EC">
        <w:rPr>
          <w:sz w:val="24"/>
          <w:vertAlign w:val="subscript"/>
        </w:rPr>
        <w:t>2</w:t>
      </w:r>
      <w:r w:rsidR="00E827EC" w:rsidRPr="00E827EC">
        <w:rPr>
          <w:sz w:val="24"/>
        </w:rPr>
        <w:t>O</w:t>
      </w:r>
      <w:r w:rsidR="00E827EC" w:rsidRPr="00E827EC">
        <w:rPr>
          <w:sz w:val="24"/>
          <w:vertAlign w:val="subscript"/>
        </w:rPr>
        <w:t>3</w:t>
      </w:r>
      <w:r w:rsidR="00E827EC" w:rsidRPr="00E827EC">
        <w:rPr>
          <w:sz w:val="24"/>
        </w:rPr>
        <w:t xml:space="preserve"> content as a function of plagioclase anorthite content.</w:t>
      </w:r>
      <w:proofErr w:type="gramEnd"/>
      <w:r w:rsidR="00E827EC" w:rsidRPr="00E827EC">
        <w:rPr>
          <w:sz w:val="24"/>
        </w:rPr>
        <w:t xml:space="preserve"> Diamond data point corresponds to the average composition of several grains in each sample (n values in Tables 3 and 4). Error bars: ±1 std. Diamonds are colored according to modal minaralogy: plagioclase-bearing lherzolites in green, plagioclase-bearing</w:t>
      </w:r>
      <w:r w:rsidR="00E827EC" w:rsidRPr="00E827EC" w:rsidDel="009D039D">
        <w:rPr>
          <w:sz w:val="24"/>
        </w:rPr>
        <w:t xml:space="preserve"> </w:t>
      </w:r>
      <w:r w:rsidR="00E827EC" w:rsidRPr="00E827EC">
        <w:rPr>
          <w:sz w:val="24"/>
        </w:rPr>
        <w:t xml:space="preserve">websterites in purple, troctolites, olivine gabbros and gabbros in blue. The blue-purple diamond corresponds to hybrid sample SMS6-5-7 described in Figure 9b. Diamonds with a cross inside correspond to samples for which we also </w:t>
      </w:r>
      <w:r w:rsidR="00CC07B3">
        <w:rPr>
          <w:sz w:val="24"/>
        </w:rPr>
        <w:t>analyzed</w:t>
      </w:r>
      <w:r w:rsidR="00CC07B3" w:rsidRPr="00E827EC">
        <w:rPr>
          <w:sz w:val="24"/>
        </w:rPr>
        <w:t xml:space="preserve"> </w:t>
      </w:r>
      <w:r w:rsidR="00E827EC" w:rsidRPr="00E827EC">
        <w:rPr>
          <w:sz w:val="24"/>
        </w:rPr>
        <w:t>in-situ trace elements. Orange</w:t>
      </w:r>
      <w:r w:rsidR="00CC07B3">
        <w:rPr>
          <w:sz w:val="24"/>
        </w:rPr>
        <w:t xml:space="preserve"> and green</w:t>
      </w:r>
      <w:r w:rsidR="00E827EC" w:rsidRPr="00E827EC">
        <w:rPr>
          <w:sz w:val="24"/>
        </w:rPr>
        <w:t xml:space="preserve"> bars show range</w:t>
      </w:r>
      <w:r w:rsidR="00CC07B3">
        <w:rPr>
          <w:sz w:val="24"/>
        </w:rPr>
        <w:t>s</w:t>
      </w:r>
      <w:r w:rsidR="00E827EC" w:rsidRPr="00E827EC">
        <w:rPr>
          <w:sz w:val="24"/>
        </w:rPr>
        <w:t xml:space="preserve"> of composition reported for residual clinopyroxene in plagioclase-free </w:t>
      </w:r>
      <w:r w:rsidR="00CC07B3">
        <w:rPr>
          <w:sz w:val="24"/>
        </w:rPr>
        <w:t>peridotite</w:t>
      </w:r>
      <w:r w:rsidR="00CC07B3" w:rsidRPr="00E827EC">
        <w:rPr>
          <w:sz w:val="24"/>
        </w:rPr>
        <w:t xml:space="preserve"> </w:t>
      </w:r>
      <w:r w:rsidR="00E827EC" w:rsidRPr="00E827EC">
        <w:rPr>
          <w:sz w:val="24"/>
        </w:rPr>
        <w:t xml:space="preserve">samples </w:t>
      </w:r>
      <w:r w:rsidR="00CC07B3">
        <w:rPr>
          <w:sz w:val="24"/>
        </w:rPr>
        <w:t>[</w:t>
      </w:r>
      <w:r w:rsidR="00E827EC" w:rsidRPr="00E827EC">
        <w:rPr>
          <w:i/>
          <w:sz w:val="24"/>
        </w:rPr>
        <w:t>Seyler et al.</w:t>
      </w:r>
      <w:r w:rsidR="00CC07B3">
        <w:rPr>
          <w:i/>
          <w:sz w:val="24"/>
        </w:rPr>
        <w:t>,</w:t>
      </w:r>
      <w:r w:rsidR="00E827EC" w:rsidRPr="00E827EC">
        <w:rPr>
          <w:sz w:val="24"/>
        </w:rPr>
        <w:t xml:space="preserve"> </w:t>
      </w:r>
      <w:r w:rsidR="00E827EC">
        <w:rPr>
          <w:sz w:val="24"/>
        </w:rPr>
        <w:t>2003]</w:t>
      </w:r>
      <w:r w:rsidR="00CC07B3">
        <w:rPr>
          <w:sz w:val="24"/>
        </w:rPr>
        <w:t xml:space="preserve"> and in plagioclase-free websterites [Brunelli et al., unpublished data] respectively. </w:t>
      </w:r>
      <w:r w:rsidR="00E827EC" w:rsidRPr="00E827EC">
        <w:rPr>
          <w:sz w:val="24"/>
        </w:rPr>
        <w:t xml:space="preserve">The Mg# of clinopyroxenes in </w:t>
      </w:r>
      <w:r w:rsidR="00377761">
        <w:rPr>
          <w:sz w:val="24"/>
        </w:rPr>
        <w:t>the plagioclase-bearing</w:t>
      </w:r>
      <w:r w:rsidR="00377761" w:rsidRPr="00E827EC">
        <w:rPr>
          <w:sz w:val="24"/>
        </w:rPr>
        <w:t xml:space="preserve"> </w:t>
      </w:r>
      <w:r w:rsidR="00E827EC" w:rsidRPr="00E827EC">
        <w:rPr>
          <w:sz w:val="24"/>
        </w:rPr>
        <w:t xml:space="preserve">samples appears buffered by that of the reacted residual peridotite. The </w:t>
      </w:r>
      <w:r w:rsidR="00377761" w:rsidRPr="00E827EC">
        <w:rPr>
          <w:sz w:val="24"/>
        </w:rPr>
        <w:t>Cr</w:t>
      </w:r>
      <w:r w:rsidR="00377761" w:rsidRPr="00E827EC">
        <w:rPr>
          <w:sz w:val="24"/>
          <w:vertAlign w:val="subscript"/>
        </w:rPr>
        <w:t>2</w:t>
      </w:r>
      <w:r w:rsidR="00377761" w:rsidRPr="00E827EC">
        <w:rPr>
          <w:sz w:val="24"/>
        </w:rPr>
        <w:t>O</w:t>
      </w:r>
      <w:r w:rsidR="00377761" w:rsidRPr="00E827EC">
        <w:rPr>
          <w:sz w:val="24"/>
          <w:vertAlign w:val="subscript"/>
        </w:rPr>
        <w:t>3</w:t>
      </w:r>
      <w:r w:rsidR="00377761" w:rsidRPr="00377761">
        <w:rPr>
          <w:sz w:val="24"/>
        </w:rPr>
        <w:t xml:space="preserve"> </w:t>
      </w:r>
      <w:r w:rsidR="00E827EC" w:rsidRPr="00E827EC">
        <w:rPr>
          <w:sz w:val="24"/>
        </w:rPr>
        <w:t xml:space="preserve">content of clinopyroxenes shows a greater variability, with lower values in the plagioclase-bearing websterites, and in some troctolites, olivine gabbros and gabbros. Points for ODP Site 735 correspond to a subset of the data with plagioclase </w:t>
      </w:r>
      <w:proofErr w:type="gramStart"/>
      <w:r w:rsidR="00E827EC" w:rsidRPr="00E827EC">
        <w:rPr>
          <w:sz w:val="24"/>
        </w:rPr>
        <w:t>An</w:t>
      </w:r>
      <w:proofErr w:type="gramEnd"/>
      <w:r w:rsidR="00E827EC" w:rsidRPr="00E827EC">
        <w:rPr>
          <w:sz w:val="24"/>
        </w:rPr>
        <w:t xml:space="preserve"> contents &gt; 55%.</w:t>
      </w:r>
    </w:p>
    <w:p w14:paraId="40F62138" w14:textId="77777777" w:rsidR="008F1DBE" w:rsidRDefault="008F1DBE" w:rsidP="008E3798">
      <w:pPr>
        <w:tabs>
          <w:tab w:val="left" w:pos="912"/>
          <w:tab w:val="left" w:pos="1416"/>
          <w:tab w:val="left" w:pos="2124"/>
          <w:tab w:val="left" w:pos="2832"/>
          <w:tab w:val="left" w:pos="3540"/>
          <w:tab w:val="left" w:pos="4248"/>
          <w:tab w:val="left" w:pos="5903"/>
        </w:tabs>
        <w:spacing w:after="120"/>
        <w:jc w:val="both"/>
        <w:rPr>
          <w:sz w:val="24"/>
        </w:rPr>
        <w:sectPr w:rsidR="008F1DBE" w:rsidSect="00C74084">
          <w:pgSz w:w="12240" w:h="15840"/>
          <w:pgMar w:top="1440" w:right="1440" w:bottom="1440" w:left="1440" w:header="432" w:footer="720" w:gutter="0"/>
          <w:cols w:space="720"/>
          <w:docGrid w:linePitch="360"/>
        </w:sectPr>
      </w:pPr>
    </w:p>
    <w:p w14:paraId="791C7A2E" w14:textId="77777777" w:rsidR="00377761" w:rsidRPr="00E313B9" w:rsidRDefault="00377761" w:rsidP="00377761">
      <w:pPr>
        <w:pStyle w:val="FigureorTableCaption"/>
      </w:pPr>
      <w:proofErr w:type="gramStart"/>
      <w:r w:rsidRPr="00022B05">
        <w:rPr>
          <w:b/>
        </w:rPr>
        <w:lastRenderedPageBreak/>
        <w:t xml:space="preserve">Table </w:t>
      </w:r>
      <w:r>
        <w:rPr>
          <w:b/>
        </w:rPr>
        <w:t>5</w:t>
      </w:r>
      <w:r w:rsidRPr="00022B05">
        <w:rPr>
          <w:b/>
        </w:rPr>
        <w:t>.</w:t>
      </w:r>
      <w:proofErr w:type="gramEnd"/>
      <w:r w:rsidRPr="00022B05">
        <w:t xml:space="preserve"> </w:t>
      </w:r>
      <w:r w:rsidRPr="00E313B9">
        <w:rPr>
          <w:color w:val="000000"/>
        </w:rPr>
        <w:t xml:space="preserve">Major element </w:t>
      </w:r>
      <w:commentRangeStart w:id="50"/>
      <w:r w:rsidRPr="00E313B9">
        <w:rPr>
          <w:color w:val="000000"/>
        </w:rPr>
        <w:t xml:space="preserve">compositions </w:t>
      </w:r>
      <w:commentRangeEnd w:id="50"/>
      <w:r w:rsidR="002B1DB5">
        <w:rPr>
          <w:rStyle w:val="CommentReference"/>
          <w:rFonts w:asciiTheme="minorHAnsi" w:eastAsiaTheme="minorEastAsia" w:hAnsiTheme="minorHAnsi" w:cstheme="minorBidi"/>
          <w:kern w:val="0"/>
          <w:lang w:val="fr-FR" w:eastAsia="fr-FR"/>
        </w:rPr>
        <w:commentReference w:id="50"/>
      </w:r>
      <w:r w:rsidRPr="00E313B9">
        <w:rPr>
          <w:color w:val="000000"/>
        </w:rPr>
        <w:t>(</w:t>
      </w:r>
      <w:proofErr w:type="gramStart"/>
      <w:r w:rsidRPr="00E313B9">
        <w:rPr>
          <w:color w:val="000000"/>
        </w:rPr>
        <w:t>wt%</w:t>
      </w:r>
      <w:proofErr w:type="gramEnd"/>
      <w:r w:rsidRPr="00E313B9">
        <w:rPr>
          <w:color w:val="000000"/>
        </w:rPr>
        <w:t xml:space="preserve">) of plagioclases of representative plagioclase-bearing ultramafic rocks. Average composition of several plagioclase grains in each sample. Error bars: ±1 </w:t>
      </w:r>
      <w:proofErr w:type="gramStart"/>
      <w:r w:rsidRPr="00E313B9">
        <w:rPr>
          <w:color w:val="000000"/>
        </w:rPr>
        <w:t>std</w:t>
      </w:r>
      <w:proofErr w:type="gramEnd"/>
      <w:r w:rsidRPr="00E313B9">
        <w:rPr>
          <w:color w:val="000000"/>
        </w:rPr>
        <w:t>.</w:t>
      </w:r>
    </w:p>
    <w:p w14:paraId="5BB2E588" w14:textId="77777777" w:rsidR="00377761" w:rsidRDefault="00377761" w:rsidP="008E3798">
      <w:pPr>
        <w:tabs>
          <w:tab w:val="left" w:pos="912"/>
          <w:tab w:val="left" w:pos="1416"/>
          <w:tab w:val="left" w:pos="2124"/>
          <w:tab w:val="left" w:pos="2832"/>
          <w:tab w:val="left" w:pos="3540"/>
          <w:tab w:val="left" w:pos="4248"/>
          <w:tab w:val="left" w:pos="5903"/>
        </w:tabs>
        <w:spacing w:after="120"/>
        <w:jc w:val="both"/>
        <w:rPr>
          <w:sz w:val="24"/>
          <w:szCs w:val="24"/>
        </w:rPr>
      </w:pPr>
    </w:p>
    <w:tbl>
      <w:tblPr>
        <w:tblW w:w="5000" w:type="pct"/>
        <w:tblCellMar>
          <w:left w:w="70" w:type="dxa"/>
          <w:right w:w="70" w:type="dxa"/>
        </w:tblCellMar>
        <w:tblLook w:val="04A0" w:firstRow="1" w:lastRow="0" w:firstColumn="1" w:lastColumn="0" w:noHBand="0" w:noVBand="1"/>
      </w:tblPr>
      <w:tblGrid>
        <w:gridCol w:w="661"/>
        <w:gridCol w:w="821"/>
        <w:gridCol w:w="398"/>
        <w:gridCol w:w="186"/>
        <w:gridCol w:w="820"/>
        <w:gridCol w:w="398"/>
        <w:gridCol w:w="186"/>
        <w:gridCol w:w="820"/>
        <w:gridCol w:w="398"/>
        <w:gridCol w:w="186"/>
        <w:gridCol w:w="770"/>
        <w:gridCol w:w="448"/>
        <w:gridCol w:w="186"/>
        <w:gridCol w:w="820"/>
        <w:gridCol w:w="398"/>
        <w:gridCol w:w="186"/>
        <w:gridCol w:w="820"/>
        <w:gridCol w:w="398"/>
        <w:gridCol w:w="186"/>
        <w:gridCol w:w="773"/>
        <w:gridCol w:w="448"/>
        <w:gridCol w:w="186"/>
        <w:gridCol w:w="823"/>
        <w:gridCol w:w="398"/>
        <w:gridCol w:w="186"/>
        <w:gridCol w:w="823"/>
        <w:gridCol w:w="377"/>
      </w:tblGrid>
      <w:tr w:rsidR="00855702" w:rsidRPr="00855702" w14:paraId="2513491E" w14:textId="77777777" w:rsidTr="00D247B7">
        <w:trPr>
          <w:trHeight w:val="240"/>
        </w:trPr>
        <w:tc>
          <w:tcPr>
            <w:tcW w:w="252" w:type="pct"/>
            <w:tcBorders>
              <w:top w:val="single" w:sz="4" w:space="0" w:color="auto"/>
              <w:left w:val="nil"/>
              <w:bottom w:val="nil"/>
              <w:right w:val="nil"/>
            </w:tcBorders>
            <w:shd w:val="clear" w:color="auto" w:fill="auto"/>
            <w:noWrap/>
            <w:vAlign w:val="bottom"/>
            <w:hideMark/>
          </w:tcPr>
          <w:p w14:paraId="3CF5E3E2" w14:textId="77777777" w:rsidR="00855702" w:rsidRPr="001F338C" w:rsidRDefault="00855702" w:rsidP="00855702">
            <w:pPr>
              <w:rPr>
                <w:rFonts w:eastAsia="Times New Roman"/>
                <w:b/>
                <w:bCs/>
                <w:sz w:val="18"/>
                <w:szCs w:val="18"/>
                <w:lang w:val="en-GB" w:eastAsia="fr-FR"/>
                <w:rPrChange w:id="51" w:author="Daniele" w:date="2016-04-03T18:30:00Z">
                  <w:rPr>
                    <w:rFonts w:eastAsia="Times New Roman"/>
                    <w:b/>
                    <w:bCs/>
                    <w:sz w:val="18"/>
                    <w:szCs w:val="18"/>
                    <w:lang w:val="fr-FR" w:eastAsia="fr-FR"/>
                  </w:rPr>
                </w:rPrChange>
              </w:rPr>
            </w:pPr>
            <w:r w:rsidRPr="001F338C">
              <w:rPr>
                <w:rFonts w:eastAsia="Times New Roman"/>
                <w:b/>
                <w:bCs/>
                <w:sz w:val="18"/>
                <w:szCs w:val="18"/>
                <w:lang w:val="en-GB" w:eastAsia="fr-FR"/>
                <w:rPrChange w:id="52" w:author="Daniele" w:date="2016-04-03T18:30:00Z">
                  <w:rPr>
                    <w:rFonts w:eastAsia="Times New Roman"/>
                    <w:b/>
                    <w:bCs/>
                    <w:sz w:val="18"/>
                    <w:szCs w:val="18"/>
                    <w:lang w:val="fr-FR" w:eastAsia="fr-FR"/>
                  </w:rPr>
                </w:rPrChange>
              </w:rPr>
              <w:t> </w:t>
            </w:r>
          </w:p>
        </w:tc>
        <w:tc>
          <w:tcPr>
            <w:tcW w:w="465" w:type="pct"/>
            <w:gridSpan w:val="2"/>
            <w:tcBorders>
              <w:top w:val="single" w:sz="4" w:space="0" w:color="auto"/>
              <w:left w:val="nil"/>
              <w:bottom w:val="single" w:sz="4" w:space="0" w:color="auto"/>
              <w:right w:val="nil"/>
            </w:tcBorders>
            <w:shd w:val="clear" w:color="auto" w:fill="auto"/>
            <w:noWrap/>
            <w:vAlign w:val="bottom"/>
            <w:hideMark/>
          </w:tcPr>
          <w:p w14:paraId="40343A0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SMS6-2-1</w:t>
            </w:r>
          </w:p>
        </w:tc>
        <w:tc>
          <w:tcPr>
            <w:tcW w:w="71" w:type="pct"/>
            <w:tcBorders>
              <w:top w:val="single" w:sz="4" w:space="0" w:color="auto"/>
              <w:left w:val="nil"/>
              <w:bottom w:val="nil"/>
              <w:right w:val="nil"/>
            </w:tcBorders>
            <w:shd w:val="clear" w:color="auto" w:fill="auto"/>
            <w:noWrap/>
            <w:vAlign w:val="bottom"/>
            <w:hideMark/>
          </w:tcPr>
          <w:p w14:paraId="2EA3121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465" w:type="pct"/>
            <w:gridSpan w:val="2"/>
            <w:tcBorders>
              <w:top w:val="single" w:sz="4" w:space="0" w:color="auto"/>
              <w:left w:val="nil"/>
              <w:bottom w:val="single" w:sz="4" w:space="0" w:color="auto"/>
              <w:right w:val="nil"/>
            </w:tcBorders>
            <w:shd w:val="clear" w:color="auto" w:fill="auto"/>
            <w:noWrap/>
            <w:vAlign w:val="bottom"/>
            <w:hideMark/>
          </w:tcPr>
          <w:p w14:paraId="40F98CE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SMS6-5-2</w:t>
            </w:r>
          </w:p>
        </w:tc>
        <w:tc>
          <w:tcPr>
            <w:tcW w:w="71" w:type="pct"/>
            <w:tcBorders>
              <w:top w:val="single" w:sz="4" w:space="0" w:color="auto"/>
              <w:left w:val="nil"/>
              <w:bottom w:val="nil"/>
              <w:right w:val="nil"/>
            </w:tcBorders>
            <w:shd w:val="clear" w:color="auto" w:fill="auto"/>
            <w:noWrap/>
            <w:vAlign w:val="bottom"/>
            <w:hideMark/>
          </w:tcPr>
          <w:p w14:paraId="409FCC5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465" w:type="pct"/>
            <w:gridSpan w:val="2"/>
            <w:tcBorders>
              <w:top w:val="single" w:sz="4" w:space="0" w:color="auto"/>
              <w:left w:val="nil"/>
              <w:bottom w:val="single" w:sz="4" w:space="0" w:color="auto"/>
              <w:right w:val="nil"/>
            </w:tcBorders>
            <w:shd w:val="clear" w:color="auto" w:fill="auto"/>
            <w:noWrap/>
            <w:vAlign w:val="bottom"/>
            <w:hideMark/>
          </w:tcPr>
          <w:p w14:paraId="4D6E1B1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SMS6-5-7</w:t>
            </w:r>
          </w:p>
        </w:tc>
        <w:tc>
          <w:tcPr>
            <w:tcW w:w="71" w:type="pct"/>
            <w:tcBorders>
              <w:top w:val="single" w:sz="4" w:space="0" w:color="auto"/>
              <w:left w:val="nil"/>
              <w:bottom w:val="nil"/>
              <w:right w:val="nil"/>
            </w:tcBorders>
            <w:shd w:val="clear" w:color="auto" w:fill="auto"/>
            <w:noWrap/>
            <w:vAlign w:val="bottom"/>
            <w:hideMark/>
          </w:tcPr>
          <w:p w14:paraId="1411144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465" w:type="pct"/>
            <w:gridSpan w:val="2"/>
            <w:tcBorders>
              <w:top w:val="single" w:sz="4" w:space="0" w:color="auto"/>
              <w:left w:val="nil"/>
              <w:bottom w:val="single" w:sz="4" w:space="0" w:color="auto"/>
              <w:right w:val="nil"/>
            </w:tcBorders>
            <w:shd w:val="clear" w:color="auto" w:fill="auto"/>
            <w:noWrap/>
            <w:vAlign w:val="bottom"/>
            <w:hideMark/>
          </w:tcPr>
          <w:p w14:paraId="6E4384A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SMS7-4-2</w:t>
            </w:r>
          </w:p>
        </w:tc>
        <w:tc>
          <w:tcPr>
            <w:tcW w:w="71" w:type="pct"/>
            <w:tcBorders>
              <w:top w:val="single" w:sz="4" w:space="0" w:color="auto"/>
              <w:left w:val="nil"/>
              <w:bottom w:val="nil"/>
              <w:right w:val="nil"/>
            </w:tcBorders>
            <w:shd w:val="clear" w:color="auto" w:fill="auto"/>
            <w:noWrap/>
            <w:vAlign w:val="bottom"/>
            <w:hideMark/>
          </w:tcPr>
          <w:p w14:paraId="2F445EC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465" w:type="pct"/>
            <w:gridSpan w:val="2"/>
            <w:tcBorders>
              <w:top w:val="single" w:sz="4" w:space="0" w:color="auto"/>
              <w:left w:val="nil"/>
              <w:bottom w:val="single" w:sz="4" w:space="0" w:color="auto"/>
              <w:right w:val="nil"/>
            </w:tcBorders>
            <w:shd w:val="clear" w:color="auto" w:fill="auto"/>
            <w:noWrap/>
            <w:vAlign w:val="bottom"/>
            <w:hideMark/>
          </w:tcPr>
          <w:p w14:paraId="6CF57C1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SMS17-4-22</w:t>
            </w:r>
          </w:p>
        </w:tc>
        <w:tc>
          <w:tcPr>
            <w:tcW w:w="71" w:type="pct"/>
            <w:tcBorders>
              <w:top w:val="single" w:sz="4" w:space="0" w:color="auto"/>
              <w:left w:val="nil"/>
              <w:bottom w:val="nil"/>
              <w:right w:val="nil"/>
            </w:tcBorders>
            <w:shd w:val="clear" w:color="auto" w:fill="auto"/>
            <w:noWrap/>
            <w:vAlign w:val="center"/>
            <w:hideMark/>
          </w:tcPr>
          <w:p w14:paraId="20A58EB7"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465" w:type="pct"/>
            <w:gridSpan w:val="2"/>
            <w:tcBorders>
              <w:top w:val="single" w:sz="4" w:space="0" w:color="auto"/>
              <w:left w:val="nil"/>
              <w:bottom w:val="single" w:sz="4" w:space="0" w:color="auto"/>
              <w:right w:val="nil"/>
            </w:tcBorders>
            <w:shd w:val="clear" w:color="auto" w:fill="auto"/>
            <w:noWrap/>
            <w:vAlign w:val="center"/>
            <w:hideMark/>
          </w:tcPr>
          <w:p w14:paraId="0A60C3BF"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SMS17-5-6</w:t>
            </w:r>
          </w:p>
        </w:tc>
        <w:tc>
          <w:tcPr>
            <w:tcW w:w="71" w:type="pct"/>
            <w:tcBorders>
              <w:top w:val="single" w:sz="4" w:space="0" w:color="auto"/>
              <w:left w:val="nil"/>
              <w:bottom w:val="nil"/>
              <w:right w:val="nil"/>
            </w:tcBorders>
            <w:shd w:val="clear" w:color="auto" w:fill="auto"/>
            <w:noWrap/>
            <w:vAlign w:val="center"/>
            <w:hideMark/>
          </w:tcPr>
          <w:p w14:paraId="3D4231E1"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466" w:type="pct"/>
            <w:gridSpan w:val="2"/>
            <w:tcBorders>
              <w:top w:val="single" w:sz="4" w:space="0" w:color="auto"/>
              <w:left w:val="nil"/>
              <w:bottom w:val="single" w:sz="4" w:space="0" w:color="auto"/>
              <w:right w:val="nil"/>
            </w:tcBorders>
            <w:shd w:val="clear" w:color="auto" w:fill="auto"/>
            <w:noWrap/>
            <w:vAlign w:val="center"/>
            <w:hideMark/>
          </w:tcPr>
          <w:p w14:paraId="2F80671F"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SMS29-3-9</w:t>
            </w:r>
          </w:p>
        </w:tc>
        <w:tc>
          <w:tcPr>
            <w:tcW w:w="71" w:type="pct"/>
            <w:tcBorders>
              <w:top w:val="single" w:sz="4" w:space="0" w:color="auto"/>
              <w:left w:val="nil"/>
              <w:bottom w:val="nil"/>
              <w:right w:val="nil"/>
            </w:tcBorders>
            <w:shd w:val="clear" w:color="auto" w:fill="auto"/>
            <w:noWrap/>
            <w:vAlign w:val="center"/>
            <w:hideMark/>
          </w:tcPr>
          <w:p w14:paraId="6C00D6B1"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466" w:type="pct"/>
            <w:gridSpan w:val="2"/>
            <w:tcBorders>
              <w:top w:val="single" w:sz="4" w:space="0" w:color="auto"/>
              <w:left w:val="nil"/>
              <w:bottom w:val="single" w:sz="4" w:space="0" w:color="auto"/>
              <w:right w:val="nil"/>
            </w:tcBorders>
            <w:shd w:val="clear" w:color="auto" w:fill="auto"/>
            <w:noWrap/>
            <w:vAlign w:val="center"/>
            <w:hideMark/>
          </w:tcPr>
          <w:p w14:paraId="77393A9C"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ED21-10-3</w:t>
            </w:r>
          </w:p>
        </w:tc>
        <w:tc>
          <w:tcPr>
            <w:tcW w:w="71" w:type="pct"/>
            <w:tcBorders>
              <w:top w:val="single" w:sz="4" w:space="0" w:color="auto"/>
              <w:left w:val="nil"/>
              <w:bottom w:val="nil"/>
              <w:right w:val="nil"/>
            </w:tcBorders>
            <w:shd w:val="clear" w:color="auto" w:fill="auto"/>
            <w:noWrap/>
            <w:vAlign w:val="center"/>
            <w:hideMark/>
          </w:tcPr>
          <w:p w14:paraId="698A6BAE"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458" w:type="pct"/>
            <w:gridSpan w:val="2"/>
            <w:tcBorders>
              <w:top w:val="single" w:sz="4" w:space="0" w:color="auto"/>
              <w:left w:val="nil"/>
              <w:bottom w:val="single" w:sz="4" w:space="0" w:color="auto"/>
              <w:right w:val="nil"/>
            </w:tcBorders>
            <w:shd w:val="clear" w:color="auto" w:fill="auto"/>
            <w:noWrap/>
            <w:vAlign w:val="center"/>
            <w:hideMark/>
          </w:tcPr>
          <w:p w14:paraId="7E51D989"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ED23-3-6</w:t>
            </w:r>
          </w:p>
        </w:tc>
      </w:tr>
      <w:tr w:rsidR="00D247B7" w:rsidRPr="00855702" w14:paraId="34220A7F" w14:textId="77777777" w:rsidTr="00D247B7">
        <w:trPr>
          <w:trHeight w:val="240"/>
        </w:trPr>
        <w:tc>
          <w:tcPr>
            <w:tcW w:w="252" w:type="pct"/>
            <w:tcBorders>
              <w:top w:val="nil"/>
              <w:left w:val="nil"/>
              <w:bottom w:val="nil"/>
              <w:right w:val="nil"/>
            </w:tcBorders>
            <w:shd w:val="clear" w:color="auto" w:fill="auto"/>
            <w:noWrap/>
            <w:vAlign w:val="bottom"/>
            <w:hideMark/>
          </w:tcPr>
          <w:p w14:paraId="6FE8D08C" w14:textId="77777777" w:rsidR="00D247B7" w:rsidRPr="00855702" w:rsidRDefault="00D247B7" w:rsidP="00855702">
            <w:pPr>
              <w:rPr>
                <w:rFonts w:eastAsia="Times New Roman"/>
                <w:b/>
                <w:bCs/>
                <w:sz w:val="18"/>
                <w:szCs w:val="18"/>
                <w:lang w:val="fr-FR" w:eastAsia="fr-FR"/>
              </w:rPr>
            </w:pPr>
          </w:p>
        </w:tc>
        <w:tc>
          <w:tcPr>
            <w:tcW w:w="465" w:type="pct"/>
            <w:gridSpan w:val="2"/>
            <w:tcBorders>
              <w:top w:val="nil"/>
              <w:left w:val="nil"/>
              <w:bottom w:val="nil"/>
              <w:right w:val="nil"/>
            </w:tcBorders>
            <w:shd w:val="clear" w:color="auto" w:fill="auto"/>
            <w:noWrap/>
            <w:vAlign w:val="center"/>
            <w:hideMark/>
          </w:tcPr>
          <w:p w14:paraId="6FF962A9" w14:textId="4B474E86"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4D4AD458" w14:textId="77777777" w:rsidR="00D247B7" w:rsidRPr="00855702" w:rsidRDefault="00D247B7" w:rsidP="00855702">
            <w:pPr>
              <w:jc w:val="center"/>
              <w:rPr>
                <w:rFonts w:eastAsia="Times New Roman"/>
                <w:sz w:val="18"/>
                <w:szCs w:val="18"/>
                <w:lang w:val="fr-FR" w:eastAsia="fr-FR"/>
              </w:rPr>
            </w:pPr>
          </w:p>
        </w:tc>
        <w:tc>
          <w:tcPr>
            <w:tcW w:w="465" w:type="pct"/>
            <w:gridSpan w:val="2"/>
            <w:tcBorders>
              <w:top w:val="nil"/>
              <w:left w:val="nil"/>
              <w:bottom w:val="nil"/>
              <w:right w:val="nil"/>
            </w:tcBorders>
            <w:shd w:val="clear" w:color="auto" w:fill="auto"/>
            <w:noWrap/>
            <w:vAlign w:val="center"/>
            <w:hideMark/>
          </w:tcPr>
          <w:p w14:paraId="6E8E6997" w14:textId="4C538499"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6875A709" w14:textId="77777777" w:rsidR="00D247B7" w:rsidRPr="00855702" w:rsidRDefault="00D247B7" w:rsidP="00855702">
            <w:pPr>
              <w:jc w:val="center"/>
              <w:rPr>
                <w:rFonts w:eastAsia="Times New Roman"/>
                <w:sz w:val="18"/>
                <w:szCs w:val="18"/>
                <w:lang w:val="fr-FR" w:eastAsia="fr-FR"/>
              </w:rPr>
            </w:pPr>
          </w:p>
        </w:tc>
        <w:tc>
          <w:tcPr>
            <w:tcW w:w="465" w:type="pct"/>
            <w:gridSpan w:val="2"/>
            <w:tcBorders>
              <w:top w:val="nil"/>
              <w:left w:val="nil"/>
              <w:bottom w:val="nil"/>
              <w:right w:val="nil"/>
            </w:tcBorders>
            <w:shd w:val="clear" w:color="auto" w:fill="auto"/>
            <w:noWrap/>
            <w:vAlign w:val="center"/>
            <w:hideMark/>
          </w:tcPr>
          <w:p w14:paraId="07DAC2CB" w14:textId="59DAC253"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6E6F87D6" w14:textId="77777777" w:rsidR="00D247B7" w:rsidRPr="00855702" w:rsidRDefault="00D247B7" w:rsidP="00855702">
            <w:pPr>
              <w:jc w:val="center"/>
              <w:rPr>
                <w:rFonts w:eastAsia="Times New Roman"/>
                <w:sz w:val="18"/>
                <w:szCs w:val="18"/>
                <w:lang w:val="fr-FR" w:eastAsia="fr-FR"/>
              </w:rPr>
            </w:pPr>
          </w:p>
        </w:tc>
        <w:tc>
          <w:tcPr>
            <w:tcW w:w="465" w:type="pct"/>
            <w:gridSpan w:val="2"/>
            <w:tcBorders>
              <w:top w:val="nil"/>
              <w:left w:val="nil"/>
              <w:bottom w:val="nil"/>
              <w:right w:val="nil"/>
            </w:tcBorders>
            <w:shd w:val="clear" w:color="auto" w:fill="auto"/>
            <w:noWrap/>
            <w:vAlign w:val="center"/>
            <w:hideMark/>
          </w:tcPr>
          <w:p w14:paraId="6E49F924" w14:textId="04482A01"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26E7D26A" w14:textId="77777777" w:rsidR="00D247B7" w:rsidRPr="00855702" w:rsidRDefault="00D247B7" w:rsidP="00855702">
            <w:pPr>
              <w:jc w:val="center"/>
              <w:rPr>
                <w:rFonts w:eastAsia="Times New Roman"/>
                <w:sz w:val="18"/>
                <w:szCs w:val="18"/>
                <w:lang w:val="fr-FR" w:eastAsia="fr-FR"/>
              </w:rPr>
            </w:pPr>
          </w:p>
        </w:tc>
        <w:tc>
          <w:tcPr>
            <w:tcW w:w="465" w:type="pct"/>
            <w:gridSpan w:val="2"/>
            <w:tcBorders>
              <w:top w:val="nil"/>
              <w:left w:val="nil"/>
              <w:bottom w:val="nil"/>
              <w:right w:val="nil"/>
            </w:tcBorders>
            <w:shd w:val="clear" w:color="auto" w:fill="auto"/>
            <w:noWrap/>
            <w:vAlign w:val="center"/>
            <w:hideMark/>
          </w:tcPr>
          <w:p w14:paraId="16E268A1" w14:textId="50B0392A"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06D4AD80" w14:textId="77777777" w:rsidR="00D247B7" w:rsidRPr="00855702" w:rsidRDefault="00D247B7" w:rsidP="00855702">
            <w:pPr>
              <w:jc w:val="center"/>
              <w:rPr>
                <w:rFonts w:eastAsia="Times New Roman"/>
                <w:sz w:val="18"/>
                <w:szCs w:val="18"/>
                <w:lang w:val="fr-FR" w:eastAsia="fr-FR"/>
              </w:rPr>
            </w:pPr>
          </w:p>
        </w:tc>
        <w:tc>
          <w:tcPr>
            <w:tcW w:w="465" w:type="pct"/>
            <w:gridSpan w:val="2"/>
            <w:tcBorders>
              <w:top w:val="nil"/>
              <w:left w:val="nil"/>
              <w:bottom w:val="nil"/>
              <w:right w:val="nil"/>
            </w:tcBorders>
            <w:shd w:val="clear" w:color="auto" w:fill="auto"/>
            <w:noWrap/>
            <w:vAlign w:val="center"/>
            <w:hideMark/>
          </w:tcPr>
          <w:p w14:paraId="268E2739" w14:textId="45BDCE31"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36838EDF" w14:textId="77777777" w:rsidR="00D247B7" w:rsidRPr="00855702" w:rsidRDefault="00D247B7" w:rsidP="00855702">
            <w:pPr>
              <w:jc w:val="center"/>
              <w:rPr>
                <w:rFonts w:eastAsia="Times New Roman"/>
                <w:sz w:val="18"/>
                <w:szCs w:val="18"/>
                <w:lang w:val="fr-FR" w:eastAsia="fr-FR"/>
              </w:rPr>
            </w:pPr>
          </w:p>
        </w:tc>
        <w:tc>
          <w:tcPr>
            <w:tcW w:w="466" w:type="pct"/>
            <w:gridSpan w:val="2"/>
            <w:tcBorders>
              <w:top w:val="nil"/>
              <w:left w:val="nil"/>
              <w:bottom w:val="nil"/>
              <w:right w:val="nil"/>
            </w:tcBorders>
            <w:shd w:val="clear" w:color="auto" w:fill="auto"/>
            <w:noWrap/>
            <w:vAlign w:val="center"/>
            <w:hideMark/>
          </w:tcPr>
          <w:p w14:paraId="3914E4C8" w14:textId="0556D655"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71999782" w14:textId="77777777" w:rsidR="00D247B7" w:rsidRPr="00855702" w:rsidRDefault="00D247B7" w:rsidP="00855702">
            <w:pPr>
              <w:jc w:val="center"/>
              <w:rPr>
                <w:rFonts w:eastAsia="Times New Roman"/>
                <w:sz w:val="18"/>
                <w:szCs w:val="18"/>
                <w:lang w:val="fr-FR" w:eastAsia="fr-FR"/>
              </w:rPr>
            </w:pPr>
          </w:p>
        </w:tc>
        <w:tc>
          <w:tcPr>
            <w:tcW w:w="466" w:type="pct"/>
            <w:gridSpan w:val="2"/>
            <w:tcBorders>
              <w:top w:val="nil"/>
              <w:left w:val="nil"/>
              <w:bottom w:val="nil"/>
              <w:right w:val="nil"/>
            </w:tcBorders>
            <w:shd w:val="clear" w:color="auto" w:fill="auto"/>
            <w:noWrap/>
            <w:vAlign w:val="center"/>
            <w:hideMark/>
          </w:tcPr>
          <w:p w14:paraId="04224F9C" w14:textId="315AC846"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3354CB45" w14:textId="77777777" w:rsidR="00D247B7" w:rsidRPr="00855702" w:rsidRDefault="00D247B7" w:rsidP="00855702">
            <w:pPr>
              <w:jc w:val="center"/>
              <w:rPr>
                <w:rFonts w:eastAsia="Times New Roman"/>
                <w:sz w:val="18"/>
                <w:szCs w:val="18"/>
                <w:lang w:val="fr-FR" w:eastAsia="fr-FR"/>
              </w:rPr>
            </w:pPr>
          </w:p>
        </w:tc>
        <w:tc>
          <w:tcPr>
            <w:tcW w:w="458" w:type="pct"/>
            <w:gridSpan w:val="2"/>
            <w:tcBorders>
              <w:top w:val="nil"/>
              <w:left w:val="nil"/>
              <w:bottom w:val="nil"/>
              <w:right w:val="nil"/>
            </w:tcBorders>
            <w:shd w:val="clear" w:color="auto" w:fill="auto"/>
            <w:noWrap/>
            <w:vAlign w:val="center"/>
            <w:hideMark/>
          </w:tcPr>
          <w:p w14:paraId="3EE6B7B2" w14:textId="67200F19" w:rsidR="00D247B7" w:rsidRPr="00855702" w:rsidRDefault="00D247B7" w:rsidP="00855702">
            <w:pPr>
              <w:jc w:val="center"/>
              <w:rPr>
                <w:rFonts w:eastAsia="Times New Roman"/>
                <w:sz w:val="18"/>
                <w:szCs w:val="18"/>
                <w:lang w:val="fr-FR" w:eastAsia="fr-FR"/>
              </w:rPr>
            </w:pPr>
            <w:r w:rsidRPr="00855702">
              <w:rPr>
                <w:rFonts w:eastAsia="Times New Roman"/>
                <w:sz w:val="18"/>
                <w:szCs w:val="18"/>
                <w:lang w:val="fr-FR" w:eastAsia="fr-FR"/>
              </w:rPr>
              <w:t>Core</w:t>
            </w:r>
          </w:p>
        </w:tc>
      </w:tr>
      <w:tr w:rsidR="00855702" w:rsidRPr="00855702" w14:paraId="602FC57A" w14:textId="77777777" w:rsidTr="00D247B7">
        <w:trPr>
          <w:trHeight w:val="240"/>
        </w:trPr>
        <w:tc>
          <w:tcPr>
            <w:tcW w:w="252" w:type="pct"/>
            <w:tcBorders>
              <w:top w:val="nil"/>
              <w:left w:val="nil"/>
              <w:bottom w:val="nil"/>
              <w:right w:val="nil"/>
            </w:tcBorders>
            <w:shd w:val="clear" w:color="auto" w:fill="auto"/>
            <w:noWrap/>
            <w:vAlign w:val="bottom"/>
            <w:hideMark/>
          </w:tcPr>
          <w:p w14:paraId="18F97405" w14:textId="77777777" w:rsidR="00855702" w:rsidRPr="00855702" w:rsidRDefault="00855702" w:rsidP="00855702">
            <w:pPr>
              <w:rPr>
                <w:rFonts w:eastAsia="Times New Roman"/>
                <w:sz w:val="18"/>
                <w:szCs w:val="18"/>
                <w:lang w:val="fr-FR" w:eastAsia="fr-FR"/>
              </w:rPr>
            </w:pPr>
          </w:p>
        </w:tc>
        <w:tc>
          <w:tcPr>
            <w:tcW w:w="313" w:type="pct"/>
            <w:tcBorders>
              <w:top w:val="nil"/>
              <w:left w:val="nil"/>
              <w:bottom w:val="single" w:sz="4" w:space="0" w:color="auto"/>
              <w:right w:val="nil"/>
            </w:tcBorders>
            <w:shd w:val="clear" w:color="auto" w:fill="auto"/>
            <w:noWrap/>
            <w:vAlign w:val="bottom"/>
            <w:hideMark/>
          </w:tcPr>
          <w:p w14:paraId="34E49B0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(n=26)</w:t>
            </w:r>
          </w:p>
        </w:tc>
        <w:tc>
          <w:tcPr>
            <w:tcW w:w="152" w:type="pct"/>
            <w:tcBorders>
              <w:top w:val="nil"/>
              <w:left w:val="nil"/>
              <w:bottom w:val="single" w:sz="4" w:space="0" w:color="auto"/>
              <w:right w:val="nil"/>
            </w:tcBorders>
            <w:shd w:val="clear" w:color="auto" w:fill="auto"/>
            <w:noWrap/>
            <w:vAlign w:val="bottom"/>
            <w:hideMark/>
          </w:tcPr>
          <w:p w14:paraId="411CA374" w14:textId="62D99D9D"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single" w:sz="4" w:space="0" w:color="auto"/>
              <w:right w:val="nil"/>
            </w:tcBorders>
            <w:shd w:val="clear" w:color="auto" w:fill="auto"/>
            <w:noWrap/>
            <w:vAlign w:val="bottom"/>
            <w:hideMark/>
          </w:tcPr>
          <w:p w14:paraId="02B7644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313" w:type="pct"/>
            <w:tcBorders>
              <w:top w:val="nil"/>
              <w:left w:val="nil"/>
              <w:bottom w:val="single" w:sz="4" w:space="0" w:color="auto"/>
              <w:right w:val="nil"/>
            </w:tcBorders>
            <w:shd w:val="clear" w:color="auto" w:fill="auto"/>
            <w:noWrap/>
            <w:vAlign w:val="bottom"/>
            <w:hideMark/>
          </w:tcPr>
          <w:p w14:paraId="508F723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(n=13)</w:t>
            </w:r>
          </w:p>
        </w:tc>
        <w:tc>
          <w:tcPr>
            <w:tcW w:w="152" w:type="pct"/>
            <w:tcBorders>
              <w:top w:val="nil"/>
              <w:left w:val="nil"/>
              <w:bottom w:val="single" w:sz="4" w:space="0" w:color="auto"/>
              <w:right w:val="nil"/>
            </w:tcBorders>
            <w:shd w:val="clear" w:color="auto" w:fill="auto"/>
            <w:noWrap/>
            <w:vAlign w:val="bottom"/>
            <w:hideMark/>
          </w:tcPr>
          <w:p w14:paraId="2A1D1062" w14:textId="4DAA6897"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single" w:sz="4" w:space="0" w:color="auto"/>
              <w:right w:val="nil"/>
            </w:tcBorders>
            <w:shd w:val="clear" w:color="auto" w:fill="auto"/>
            <w:noWrap/>
            <w:vAlign w:val="bottom"/>
            <w:hideMark/>
          </w:tcPr>
          <w:p w14:paraId="380A41C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313" w:type="pct"/>
            <w:tcBorders>
              <w:top w:val="nil"/>
              <w:left w:val="nil"/>
              <w:bottom w:val="single" w:sz="4" w:space="0" w:color="auto"/>
              <w:right w:val="nil"/>
            </w:tcBorders>
            <w:shd w:val="clear" w:color="auto" w:fill="auto"/>
            <w:noWrap/>
            <w:vAlign w:val="bottom"/>
            <w:hideMark/>
          </w:tcPr>
          <w:p w14:paraId="7C89BE9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(n=40)</w:t>
            </w:r>
          </w:p>
        </w:tc>
        <w:tc>
          <w:tcPr>
            <w:tcW w:w="152" w:type="pct"/>
            <w:tcBorders>
              <w:top w:val="nil"/>
              <w:left w:val="nil"/>
              <w:bottom w:val="single" w:sz="4" w:space="0" w:color="auto"/>
              <w:right w:val="nil"/>
            </w:tcBorders>
            <w:shd w:val="clear" w:color="auto" w:fill="auto"/>
            <w:noWrap/>
            <w:vAlign w:val="bottom"/>
            <w:hideMark/>
          </w:tcPr>
          <w:p w14:paraId="4B617E26" w14:textId="7A523D55"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single" w:sz="4" w:space="0" w:color="auto"/>
              <w:right w:val="nil"/>
            </w:tcBorders>
            <w:shd w:val="clear" w:color="auto" w:fill="auto"/>
            <w:noWrap/>
            <w:vAlign w:val="bottom"/>
            <w:hideMark/>
          </w:tcPr>
          <w:p w14:paraId="763142C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294" w:type="pct"/>
            <w:tcBorders>
              <w:top w:val="nil"/>
              <w:left w:val="nil"/>
              <w:bottom w:val="single" w:sz="4" w:space="0" w:color="auto"/>
              <w:right w:val="nil"/>
            </w:tcBorders>
            <w:shd w:val="clear" w:color="auto" w:fill="auto"/>
            <w:noWrap/>
            <w:vAlign w:val="bottom"/>
            <w:hideMark/>
          </w:tcPr>
          <w:p w14:paraId="5ADCD23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(n=2)</w:t>
            </w:r>
          </w:p>
        </w:tc>
        <w:tc>
          <w:tcPr>
            <w:tcW w:w="171" w:type="pct"/>
            <w:tcBorders>
              <w:top w:val="nil"/>
              <w:left w:val="nil"/>
              <w:bottom w:val="single" w:sz="4" w:space="0" w:color="auto"/>
              <w:right w:val="nil"/>
            </w:tcBorders>
            <w:shd w:val="clear" w:color="auto" w:fill="auto"/>
            <w:noWrap/>
            <w:vAlign w:val="bottom"/>
            <w:hideMark/>
          </w:tcPr>
          <w:p w14:paraId="64799212" w14:textId="48EC2FA9"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nil"/>
              <w:right w:val="nil"/>
            </w:tcBorders>
            <w:shd w:val="clear" w:color="auto" w:fill="auto"/>
            <w:noWrap/>
            <w:vAlign w:val="center"/>
            <w:hideMark/>
          </w:tcPr>
          <w:p w14:paraId="26E5B3AD"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single" w:sz="4" w:space="0" w:color="auto"/>
              <w:right w:val="nil"/>
            </w:tcBorders>
            <w:shd w:val="clear" w:color="auto" w:fill="auto"/>
            <w:noWrap/>
            <w:vAlign w:val="bottom"/>
            <w:hideMark/>
          </w:tcPr>
          <w:p w14:paraId="552AC65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(n=10)</w:t>
            </w:r>
          </w:p>
        </w:tc>
        <w:tc>
          <w:tcPr>
            <w:tcW w:w="152" w:type="pct"/>
            <w:tcBorders>
              <w:top w:val="nil"/>
              <w:left w:val="nil"/>
              <w:bottom w:val="single" w:sz="4" w:space="0" w:color="auto"/>
              <w:right w:val="nil"/>
            </w:tcBorders>
            <w:shd w:val="clear" w:color="auto" w:fill="auto"/>
            <w:noWrap/>
            <w:vAlign w:val="bottom"/>
            <w:hideMark/>
          </w:tcPr>
          <w:p w14:paraId="6507F748" w14:textId="492F1207"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single" w:sz="4" w:space="0" w:color="auto"/>
              <w:right w:val="nil"/>
            </w:tcBorders>
            <w:shd w:val="clear" w:color="auto" w:fill="auto"/>
            <w:noWrap/>
            <w:vAlign w:val="bottom"/>
            <w:hideMark/>
          </w:tcPr>
          <w:p w14:paraId="7DA672C6"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3" w:type="pct"/>
            <w:tcBorders>
              <w:top w:val="nil"/>
              <w:left w:val="nil"/>
              <w:bottom w:val="single" w:sz="4" w:space="0" w:color="auto"/>
              <w:right w:val="nil"/>
            </w:tcBorders>
            <w:shd w:val="clear" w:color="auto" w:fill="auto"/>
            <w:noWrap/>
            <w:vAlign w:val="bottom"/>
            <w:hideMark/>
          </w:tcPr>
          <w:p w14:paraId="758E0C2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(n=11)</w:t>
            </w:r>
          </w:p>
        </w:tc>
        <w:tc>
          <w:tcPr>
            <w:tcW w:w="152" w:type="pct"/>
            <w:tcBorders>
              <w:top w:val="nil"/>
              <w:left w:val="nil"/>
              <w:bottom w:val="single" w:sz="4" w:space="0" w:color="auto"/>
              <w:right w:val="nil"/>
            </w:tcBorders>
            <w:shd w:val="clear" w:color="auto" w:fill="auto"/>
            <w:noWrap/>
            <w:vAlign w:val="bottom"/>
            <w:hideMark/>
          </w:tcPr>
          <w:p w14:paraId="6575995F" w14:textId="19FC0CE9"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nil"/>
              <w:right w:val="nil"/>
            </w:tcBorders>
            <w:shd w:val="clear" w:color="auto" w:fill="auto"/>
            <w:noWrap/>
            <w:vAlign w:val="center"/>
            <w:hideMark/>
          </w:tcPr>
          <w:p w14:paraId="6B89C3ED"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single" w:sz="4" w:space="0" w:color="auto"/>
              <w:right w:val="nil"/>
            </w:tcBorders>
            <w:shd w:val="clear" w:color="auto" w:fill="auto"/>
            <w:noWrap/>
            <w:vAlign w:val="bottom"/>
            <w:hideMark/>
          </w:tcPr>
          <w:p w14:paraId="1F2E42F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(n=3)</w:t>
            </w:r>
          </w:p>
        </w:tc>
        <w:tc>
          <w:tcPr>
            <w:tcW w:w="171" w:type="pct"/>
            <w:tcBorders>
              <w:top w:val="nil"/>
              <w:left w:val="nil"/>
              <w:bottom w:val="single" w:sz="4" w:space="0" w:color="auto"/>
              <w:right w:val="nil"/>
            </w:tcBorders>
            <w:shd w:val="clear" w:color="auto" w:fill="auto"/>
            <w:noWrap/>
            <w:vAlign w:val="bottom"/>
            <w:hideMark/>
          </w:tcPr>
          <w:p w14:paraId="4CCB34D3" w14:textId="0539EE0C"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nil"/>
              <w:right w:val="nil"/>
            </w:tcBorders>
            <w:shd w:val="clear" w:color="auto" w:fill="auto"/>
            <w:noWrap/>
            <w:vAlign w:val="center"/>
            <w:hideMark/>
          </w:tcPr>
          <w:p w14:paraId="2AB6669C"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single" w:sz="4" w:space="0" w:color="auto"/>
              <w:right w:val="nil"/>
            </w:tcBorders>
            <w:shd w:val="clear" w:color="auto" w:fill="auto"/>
            <w:noWrap/>
            <w:vAlign w:val="bottom"/>
            <w:hideMark/>
          </w:tcPr>
          <w:p w14:paraId="328B2DF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(n=14)</w:t>
            </w:r>
          </w:p>
        </w:tc>
        <w:tc>
          <w:tcPr>
            <w:tcW w:w="152" w:type="pct"/>
            <w:tcBorders>
              <w:top w:val="nil"/>
              <w:left w:val="nil"/>
              <w:bottom w:val="single" w:sz="4" w:space="0" w:color="auto"/>
              <w:right w:val="nil"/>
            </w:tcBorders>
            <w:shd w:val="clear" w:color="auto" w:fill="auto"/>
            <w:noWrap/>
            <w:vAlign w:val="bottom"/>
            <w:hideMark/>
          </w:tcPr>
          <w:p w14:paraId="2070090C" w14:textId="46260428"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c>
          <w:tcPr>
            <w:tcW w:w="71" w:type="pct"/>
            <w:tcBorders>
              <w:top w:val="nil"/>
              <w:left w:val="nil"/>
              <w:bottom w:val="nil"/>
              <w:right w:val="nil"/>
            </w:tcBorders>
            <w:shd w:val="clear" w:color="auto" w:fill="auto"/>
            <w:noWrap/>
            <w:vAlign w:val="center"/>
            <w:hideMark/>
          </w:tcPr>
          <w:p w14:paraId="0517C570"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single" w:sz="4" w:space="0" w:color="auto"/>
              <w:right w:val="nil"/>
            </w:tcBorders>
            <w:shd w:val="clear" w:color="auto" w:fill="auto"/>
            <w:noWrap/>
            <w:vAlign w:val="bottom"/>
            <w:hideMark/>
          </w:tcPr>
          <w:p w14:paraId="7BFE166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(n=12)</w:t>
            </w:r>
          </w:p>
        </w:tc>
        <w:tc>
          <w:tcPr>
            <w:tcW w:w="144" w:type="pct"/>
            <w:tcBorders>
              <w:top w:val="nil"/>
              <w:left w:val="nil"/>
              <w:bottom w:val="single" w:sz="4" w:space="0" w:color="auto"/>
              <w:right w:val="nil"/>
            </w:tcBorders>
            <w:shd w:val="clear" w:color="auto" w:fill="auto"/>
            <w:noWrap/>
            <w:vAlign w:val="bottom"/>
            <w:hideMark/>
          </w:tcPr>
          <w:p w14:paraId="5DAD6605" w14:textId="28944859" w:rsidR="00855702" w:rsidRPr="00855702" w:rsidRDefault="00D247B7" w:rsidP="00855702">
            <w:pPr>
              <w:jc w:val="center"/>
              <w:rPr>
                <w:rFonts w:eastAsia="Times New Roman"/>
                <w:color w:val="000000"/>
                <w:sz w:val="18"/>
                <w:szCs w:val="18"/>
                <w:lang w:val="fr-FR" w:eastAsia="fr-FR"/>
              </w:rPr>
            </w:pPr>
            <w:r w:rsidRPr="00855702">
              <w:rPr>
                <w:rFonts w:eastAsia="Times New Roman"/>
                <w:sz w:val="18"/>
                <w:szCs w:val="18"/>
                <w:lang w:val="fr-FR" w:eastAsia="fr-FR"/>
              </w:rPr>
              <w:t>±</w:t>
            </w:r>
            <w:r w:rsidR="00855702" w:rsidRPr="00855702">
              <w:rPr>
                <w:rFonts w:eastAsia="Times New Roman"/>
                <w:color w:val="000000"/>
                <w:sz w:val="18"/>
                <w:szCs w:val="18"/>
                <w:lang w:val="fr-FR" w:eastAsia="fr-FR"/>
              </w:rPr>
              <w:t> </w:t>
            </w:r>
          </w:p>
        </w:tc>
      </w:tr>
      <w:tr w:rsidR="00855702" w:rsidRPr="00855702" w14:paraId="5B19211E" w14:textId="77777777" w:rsidTr="00D247B7">
        <w:trPr>
          <w:trHeight w:val="240"/>
        </w:trPr>
        <w:tc>
          <w:tcPr>
            <w:tcW w:w="252" w:type="pct"/>
            <w:tcBorders>
              <w:top w:val="single" w:sz="4" w:space="0" w:color="auto"/>
              <w:left w:val="nil"/>
              <w:bottom w:val="nil"/>
              <w:right w:val="nil"/>
            </w:tcBorders>
            <w:shd w:val="clear" w:color="auto" w:fill="auto"/>
            <w:noWrap/>
            <w:vAlign w:val="center"/>
            <w:hideMark/>
          </w:tcPr>
          <w:p w14:paraId="23B7B63C"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SiO</w:t>
            </w:r>
            <w:r w:rsidRPr="00855702">
              <w:rPr>
                <w:rFonts w:eastAsia="Times New Roman"/>
                <w:sz w:val="18"/>
                <w:szCs w:val="18"/>
                <w:vertAlign w:val="subscript"/>
                <w:lang w:val="fr-FR" w:eastAsia="fr-FR"/>
              </w:rPr>
              <w:t>2</w:t>
            </w:r>
          </w:p>
        </w:tc>
        <w:tc>
          <w:tcPr>
            <w:tcW w:w="313" w:type="pct"/>
            <w:tcBorders>
              <w:top w:val="nil"/>
              <w:left w:val="nil"/>
              <w:bottom w:val="nil"/>
              <w:right w:val="nil"/>
            </w:tcBorders>
            <w:shd w:val="clear" w:color="auto" w:fill="auto"/>
            <w:noWrap/>
            <w:vAlign w:val="bottom"/>
            <w:hideMark/>
          </w:tcPr>
          <w:p w14:paraId="59D6D84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52.9</w:t>
            </w:r>
          </w:p>
        </w:tc>
        <w:tc>
          <w:tcPr>
            <w:tcW w:w="152" w:type="pct"/>
            <w:tcBorders>
              <w:top w:val="nil"/>
              <w:left w:val="nil"/>
              <w:bottom w:val="nil"/>
              <w:right w:val="nil"/>
            </w:tcBorders>
            <w:shd w:val="clear" w:color="auto" w:fill="auto"/>
            <w:noWrap/>
            <w:vAlign w:val="bottom"/>
            <w:hideMark/>
          </w:tcPr>
          <w:p w14:paraId="2233729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w:t>
            </w:r>
          </w:p>
        </w:tc>
        <w:tc>
          <w:tcPr>
            <w:tcW w:w="71" w:type="pct"/>
            <w:tcBorders>
              <w:top w:val="nil"/>
              <w:left w:val="nil"/>
              <w:bottom w:val="nil"/>
              <w:right w:val="nil"/>
            </w:tcBorders>
            <w:shd w:val="clear" w:color="auto" w:fill="auto"/>
            <w:noWrap/>
            <w:vAlign w:val="bottom"/>
            <w:hideMark/>
          </w:tcPr>
          <w:p w14:paraId="2ABF9BB7"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13C5904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46.1</w:t>
            </w:r>
          </w:p>
        </w:tc>
        <w:tc>
          <w:tcPr>
            <w:tcW w:w="152" w:type="pct"/>
            <w:tcBorders>
              <w:top w:val="nil"/>
              <w:left w:val="nil"/>
              <w:bottom w:val="nil"/>
              <w:right w:val="nil"/>
            </w:tcBorders>
            <w:shd w:val="clear" w:color="auto" w:fill="auto"/>
            <w:noWrap/>
            <w:vAlign w:val="bottom"/>
            <w:hideMark/>
          </w:tcPr>
          <w:p w14:paraId="1D3DA52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1.7</w:t>
            </w:r>
          </w:p>
        </w:tc>
        <w:tc>
          <w:tcPr>
            <w:tcW w:w="71" w:type="pct"/>
            <w:tcBorders>
              <w:top w:val="nil"/>
              <w:left w:val="nil"/>
              <w:bottom w:val="nil"/>
              <w:right w:val="nil"/>
            </w:tcBorders>
            <w:shd w:val="clear" w:color="auto" w:fill="auto"/>
            <w:noWrap/>
            <w:vAlign w:val="bottom"/>
            <w:hideMark/>
          </w:tcPr>
          <w:p w14:paraId="60F49D95"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234E389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48.5</w:t>
            </w:r>
          </w:p>
        </w:tc>
        <w:tc>
          <w:tcPr>
            <w:tcW w:w="152" w:type="pct"/>
            <w:tcBorders>
              <w:top w:val="nil"/>
              <w:left w:val="nil"/>
              <w:bottom w:val="nil"/>
              <w:right w:val="nil"/>
            </w:tcBorders>
            <w:shd w:val="clear" w:color="auto" w:fill="auto"/>
            <w:noWrap/>
            <w:vAlign w:val="bottom"/>
            <w:hideMark/>
          </w:tcPr>
          <w:p w14:paraId="0ADED6E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2.0</w:t>
            </w:r>
          </w:p>
        </w:tc>
        <w:tc>
          <w:tcPr>
            <w:tcW w:w="71" w:type="pct"/>
            <w:tcBorders>
              <w:top w:val="nil"/>
              <w:left w:val="nil"/>
              <w:bottom w:val="nil"/>
              <w:right w:val="nil"/>
            </w:tcBorders>
            <w:shd w:val="clear" w:color="auto" w:fill="auto"/>
            <w:noWrap/>
            <w:vAlign w:val="bottom"/>
            <w:hideMark/>
          </w:tcPr>
          <w:p w14:paraId="21E7E730"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589CF2E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52.1</w:t>
            </w:r>
          </w:p>
        </w:tc>
        <w:tc>
          <w:tcPr>
            <w:tcW w:w="171" w:type="pct"/>
            <w:tcBorders>
              <w:top w:val="nil"/>
              <w:left w:val="nil"/>
              <w:bottom w:val="nil"/>
              <w:right w:val="nil"/>
            </w:tcBorders>
            <w:shd w:val="clear" w:color="auto" w:fill="auto"/>
            <w:noWrap/>
            <w:vAlign w:val="bottom"/>
            <w:hideMark/>
          </w:tcPr>
          <w:p w14:paraId="181F794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0.7</w:t>
            </w:r>
          </w:p>
        </w:tc>
        <w:tc>
          <w:tcPr>
            <w:tcW w:w="71" w:type="pct"/>
            <w:tcBorders>
              <w:top w:val="single" w:sz="4" w:space="0" w:color="auto"/>
              <w:left w:val="nil"/>
              <w:bottom w:val="nil"/>
              <w:right w:val="nil"/>
            </w:tcBorders>
            <w:shd w:val="clear" w:color="auto" w:fill="auto"/>
            <w:noWrap/>
            <w:vAlign w:val="bottom"/>
            <w:hideMark/>
          </w:tcPr>
          <w:p w14:paraId="0A7CB88B"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3" w:type="pct"/>
            <w:tcBorders>
              <w:top w:val="nil"/>
              <w:left w:val="nil"/>
              <w:bottom w:val="nil"/>
              <w:right w:val="nil"/>
            </w:tcBorders>
            <w:shd w:val="clear" w:color="auto" w:fill="auto"/>
            <w:noWrap/>
            <w:vAlign w:val="bottom"/>
            <w:hideMark/>
          </w:tcPr>
          <w:p w14:paraId="6DC069D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47.0</w:t>
            </w:r>
          </w:p>
        </w:tc>
        <w:tc>
          <w:tcPr>
            <w:tcW w:w="152" w:type="pct"/>
            <w:tcBorders>
              <w:top w:val="nil"/>
              <w:left w:val="nil"/>
              <w:bottom w:val="nil"/>
              <w:right w:val="nil"/>
            </w:tcBorders>
            <w:shd w:val="clear" w:color="auto" w:fill="auto"/>
            <w:noWrap/>
            <w:vAlign w:val="bottom"/>
            <w:hideMark/>
          </w:tcPr>
          <w:p w14:paraId="09AA141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0.5</w:t>
            </w:r>
          </w:p>
        </w:tc>
        <w:tc>
          <w:tcPr>
            <w:tcW w:w="71" w:type="pct"/>
            <w:tcBorders>
              <w:top w:val="nil"/>
              <w:left w:val="nil"/>
              <w:bottom w:val="nil"/>
              <w:right w:val="nil"/>
            </w:tcBorders>
            <w:shd w:val="clear" w:color="auto" w:fill="auto"/>
            <w:noWrap/>
            <w:vAlign w:val="bottom"/>
            <w:hideMark/>
          </w:tcPr>
          <w:p w14:paraId="5CD05618"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3F83BDF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50.3</w:t>
            </w:r>
          </w:p>
        </w:tc>
        <w:tc>
          <w:tcPr>
            <w:tcW w:w="152" w:type="pct"/>
            <w:tcBorders>
              <w:top w:val="nil"/>
              <w:left w:val="nil"/>
              <w:bottom w:val="nil"/>
              <w:right w:val="nil"/>
            </w:tcBorders>
            <w:shd w:val="clear" w:color="auto" w:fill="auto"/>
            <w:noWrap/>
            <w:vAlign w:val="bottom"/>
            <w:hideMark/>
          </w:tcPr>
          <w:p w14:paraId="3C1BB87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1.1</w:t>
            </w:r>
          </w:p>
        </w:tc>
        <w:tc>
          <w:tcPr>
            <w:tcW w:w="71" w:type="pct"/>
            <w:tcBorders>
              <w:top w:val="single" w:sz="4" w:space="0" w:color="auto"/>
              <w:left w:val="nil"/>
              <w:bottom w:val="nil"/>
              <w:right w:val="nil"/>
            </w:tcBorders>
            <w:shd w:val="clear" w:color="auto" w:fill="auto"/>
            <w:noWrap/>
            <w:vAlign w:val="bottom"/>
            <w:hideMark/>
          </w:tcPr>
          <w:p w14:paraId="0E80CA95"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295" w:type="pct"/>
            <w:tcBorders>
              <w:top w:val="nil"/>
              <w:left w:val="nil"/>
              <w:bottom w:val="nil"/>
              <w:right w:val="nil"/>
            </w:tcBorders>
            <w:shd w:val="clear" w:color="auto" w:fill="auto"/>
            <w:noWrap/>
            <w:vAlign w:val="bottom"/>
            <w:hideMark/>
          </w:tcPr>
          <w:p w14:paraId="7DE87AA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45.1</w:t>
            </w:r>
          </w:p>
        </w:tc>
        <w:tc>
          <w:tcPr>
            <w:tcW w:w="171" w:type="pct"/>
            <w:tcBorders>
              <w:top w:val="nil"/>
              <w:left w:val="nil"/>
              <w:bottom w:val="nil"/>
              <w:right w:val="nil"/>
            </w:tcBorders>
            <w:shd w:val="clear" w:color="auto" w:fill="auto"/>
            <w:noWrap/>
            <w:vAlign w:val="bottom"/>
            <w:hideMark/>
          </w:tcPr>
          <w:p w14:paraId="5AB7937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0.7</w:t>
            </w:r>
          </w:p>
        </w:tc>
        <w:tc>
          <w:tcPr>
            <w:tcW w:w="71" w:type="pct"/>
            <w:tcBorders>
              <w:top w:val="single" w:sz="4" w:space="0" w:color="auto"/>
              <w:left w:val="nil"/>
              <w:bottom w:val="nil"/>
              <w:right w:val="nil"/>
            </w:tcBorders>
            <w:shd w:val="clear" w:color="auto" w:fill="auto"/>
            <w:noWrap/>
            <w:vAlign w:val="bottom"/>
            <w:hideMark/>
          </w:tcPr>
          <w:p w14:paraId="4FA235CB"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4" w:type="pct"/>
            <w:tcBorders>
              <w:top w:val="nil"/>
              <w:left w:val="nil"/>
              <w:bottom w:val="nil"/>
              <w:right w:val="nil"/>
            </w:tcBorders>
            <w:shd w:val="clear" w:color="auto" w:fill="auto"/>
            <w:noWrap/>
            <w:vAlign w:val="bottom"/>
            <w:hideMark/>
          </w:tcPr>
          <w:p w14:paraId="1CF6919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51.0</w:t>
            </w:r>
          </w:p>
        </w:tc>
        <w:tc>
          <w:tcPr>
            <w:tcW w:w="152" w:type="pct"/>
            <w:tcBorders>
              <w:top w:val="nil"/>
              <w:left w:val="nil"/>
              <w:bottom w:val="nil"/>
              <w:right w:val="nil"/>
            </w:tcBorders>
            <w:shd w:val="clear" w:color="auto" w:fill="auto"/>
            <w:noWrap/>
            <w:vAlign w:val="bottom"/>
            <w:hideMark/>
          </w:tcPr>
          <w:p w14:paraId="3A3C872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0.9</w:t>
            </w:r>
          </w:p>
        </w:tc>
        <w:tc>
          <w:tcPr>
            <w:tcW w:w="71" w:type="pct"/>
            <w:tcBorders>
              <w:top w:val="single" w:sz="4" w:space="0" w:color="auto"/>
              <w:left w:val="nil"/>
              <w:bottom w:val="nil"/>
              <w:right w:val="nil"/>
            </w:tcBorders>
            <w:shd w:val="clear" w:color="auto" w:fill="auto"/>
            <w:noWrap/>
            <w:vAlign w:val="bottom"/>
            <w:hideMark/>
          </w:tcPr>
          <w:p w14:paraId="3F19C493"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4" w:type="pct"/>
            <w:tcBorders>
              <w:top w:val="nil"/>
              <w:left w:val="nil"/>
              <w:bottom w:val="nil"/>
              <w:right w:val="nil"/>
            </w:tcBorders>
            <w:shd w:val="clear" w:color="auto" w:fill="auto"/>
            <w:noWrap/>
            <w:vAlign w:val="bottom"/>
            <w:hideMark/>
          </w:tcPr>
          <w:p w14:paraId="5A971A5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47.6</w:t>
            </w:r>
          </w:p>
        </w:tc>
        <w:tc>
          <w:tcPr>
            <w:tcW w:w="144" w:type="pct"/>
            <w:tcBorders>
              <w:top w:val="nil"/>
              <w:left w:val="nil"/>
              <w:bottom w:val="nil"/>
              <w:right w:val="nil"/>
            </w:tcBorders>
            <w:shd w:val="clear" w:color="auto" w:fill="auto"/>
            <w:noWrap/>
            <w:vAlign w:val="bottom"/>
            <w:hideMark/>
          </w:tcPr>
          <w:p w14:paraId="71DA346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0.9</w:t>
            </w:r>
          </w:p>
        </w:tc>
      </w:tr>
      <w:tr w:rsidR="00855702" w:rsidRPr="00855702" w14:paraId="685D021A" w14:textId="77777777" w:rsidTr="00D247B7">
        <w:trPr>
          <w:trHeight w:val="240"/>
        </w:trPr>
        <w:tc>
          <w:tcPr>
            <w:tcW w:w="252" w:type="pct"/>
            <w:tcBorders>
              <w:top w:val="nil"/>
              <w:left w:val="nil"/>
              <w:bottom w:val="nil"/>
              <w:right w:val="nil"/>
            </w:tcBorders>
            <w:shd w:val="clear" w:color="auto" w:fill="auto"/>
            <w:noWrap/>
            <w:vAlign w:val="center"/>
            <w:hideMark/>
          </w:tcPr>
          <w:p w14:paraId="6E1863AC"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TiO</w:t>
            </w:r>
            <w:r w:rsidRPr="00855702">
              <w:rPr>
                <w:rFonts w:eastAsia="Times New Roman"/>
                <w:sz w:val="18"/>
                <w:szCs w:val="18"/>
                <w:vertAlign w:val="subscript"/>
                <w:lang w:val="fr-FR" w:eastAsia="fr-FR"/>
              </w:rPr>
              <w:t>2</w:t>
            </w:r>
          </w:p>
        </w:tc>
        <w:tc>
          <w:tcPr>
            <w:tcW w:w="313" w:type="pct"/>
            <w:tcBorders>
              <w:top w:val="nil"/>
              <w:left w:val="nil"/>
              <w:bottom w:val="nil"/>
              <w:right w:val="nil"/>
            </w:tcBorders>
            <w:shd w:val="clear" w:color="auto" w:fill="auto"/>
            <w:noWrap/>
            <w:vAlign w:val="bottom"/>
            <w:hideMark/>
          </w:tcPr>
          <w:p w14:paraId="38B4AD4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066856E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BDBD601"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6BADD3A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069CBDA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6247461"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7F91765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0A76D8C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0C67220A"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6B9181A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482770A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2C18BAAA"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BBDCDF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4B9478F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9F27B72"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06768FB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0D744E6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1EF8C1F"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1DDF538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1B94732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29137F55"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6C08AEA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24202CA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015DFEAE"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0DFFFDE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30BD471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r>
      <w:tr w:rsidR="00855702" w:rsidRPr="00855702" w14:paraId="5EFA67F2" w14:textId="77777777" w:rsidTr="00D247B7">
        <w:trPr>
          <w:trHeight w:val="240"/>
        </w:trPr>
        <w:tc>
          <w:tcPr>
            <w:tcW w:w="252" w:type="pct"/>
            <w:tcBorders>
              <w:top w:val="nil"/>
              <w:left w:val="nil"/>
              <w:bottom w:val="nil"/>
              <w:right w:val="nil"/>
            </w:tcBorders>
            <w:shd w:val="clear" w:color="auto" w:fill="auto"/>
            <w:noWrap/>
            <w:vAlign w:val="center"/>
            <w:hideMark/>
          </w:tcPr>
          <w:p w14:paraId="53267F3E"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Al</w:t>
            </w:r>
            <w:r w:rsidRPr="00855702">
              <w:rPr>
                <w:rFonts w:eastAsia="Times New Roman"/>
                <w:sz w:val="18"/>
                <w:szCs w:val="18"/>
                <w:vertAlign w:val="subscript"/>
                <w:lang w:val="fr-FR" w:eastAsia="fr-FR"/>
              </w:rPr>
              <w:t>2</w:t>
            </w:r>
            <w:r w:rsidRPr="00855702">
              <w:rPr>
                <w:rFonts w:eastAsia="Times New Roman"/>
                <w:sz w:val="18"/>
                <w:szCs w:val="18"/>
                <w:lang w:val="fr-FR" w:eastAsia="fr-FR"/>
              </w:rPr>
              <w:t>O</w:t>
            </w:r>
            <w:r w:rsidRPr="00855702">
              <w:rPr>
                <w:rFonts w:eastAsia="Times New Roman"/>
                <w:sz w:val="18"/>
                <w:szCs w:val="18"/>
                <w:vertAlign w:val="subscript"/>
                <w:lang w:val="fr-FR" w:eastAsia="fr-FR"/>
              </w:rPr>
              <w:t>3</w:t>
            </w:r>
          </w:p>
        </w:tc>
        <w:tc>
          <w:tcPr>
            <w:tcW w:w="313" w:type="pct"/>
            <w:tcBorders>
              <w:top w:val="nil"/>
              <w:left w:val="nil"/>
              <w:bottom w:val="nil"/>
              <w:right w:val="nil"/>
            </w:tcBorders>
            <w:shd w:val="clear" w:color="auto" w:fill="auto"/>
            <w:noWrap/>
            <w:vAlign w:val="bottom"/>
            <w:hideMark/>
          </w:tcPr>
          <w:p w14:paraId="06EC3CF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30.3</w:t>
            </w:r>
          </w:p>
        </w:tc>
        <w:tc>
          <w:tcPr>
            <w:tcW w:w="152" w:type="pct"/>
            <w:tcBorders>
              <w:top w:val="nil"/>
              <w:left w:val="nil"/>
              <w:bottom w:val="nil"/>
              <w:right w:val="nil"/>
            </w:tcBorders>
            <w:shd w:val="clear" w:color="auto" w:fill="auto"/>
            <w:noWrap/>
            <w:vAlign w:val="bottom"/>
            <w:hideMark/>
          </w:tcPr>
          <w:p w14:paraId="2FEAFE6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0.6</w:t>
            </w:r>
          </w:p>
        </w:tc>
        <w:tc>
          <w:tcPr>
            <w:tcW w:w="71" w:type="pct"/>
            <w:tcBorders>
              <w:top w:val="nil"/>
              <w:left w:val="nil"/>
              <w:bottom w:val="nil"/>
              <w:right w:val="nil"/>
            </w:tcBorders>
            <w:shd w:val="clear" w:color="auto" w:fill="auto"/>
            <w:noWrap/>
            <w:vAlign w:val="bottom"/>
            <w:hideMark/>
          </w:tcPr>
          <w:p w14:paraId="652FBF17"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73C2BC3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34.8</w:t>
            </w:r>
          </w:p>
        </w:tc>
        <w:tc>
          <w:tcPr>
            <w:tcW w:w="152" w:type="pct"/>
            <w:tcBorders>
              <w:top w:val="nil"/>
              <w:left w:val="nil"/>
              <w:bottom w:val="nil"/>
              <w:right w:val="nil"/>
            </w:tcBorders>
            <w:shd w:val="clear" w:color="auto" w:fill="auto"/>
            <w:noWrap/>
            <w:vAlign w:val="bottom"/>
            <w:hideMark/>
          </w:tcPr>
          <w:p w14:paraId="10BC0C5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1.2</w:t>
            </w:r>
          </w:p>
        </w:tc>
        <w:tc>
          <w:tcPr>
            <w:tcW w:w="71" w:type="pct"/>
            <w:tcBorders>
              <w:top w:val="nil"/>
              <w:left w:val="nil"/>
              <w:bottom w:val="nil"/>
              <w:right w:val="nil"/>
            </w:tcBorders>
            <w:shd w:val="clear" w:color="auto" w:fill="auto"/>
            <w:noWrap/>
            <w:vAlign w:val="bottom"/>
            <w:hideMark/>
          </w:tcPr>
          <w:p w14:paraId="1931FE1C"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2DEE3AD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32.8</w:t>
            </w:r>
          </w:p>
        </w:tc>
        <w:tc>
          <w:tcPr>
            <w:tcW w:w="152" w:type="pct"/>
            <w:tcBorders>
              <w:top w:val="nil"/>
              <w:left w:val="nil"/>
              <w:bottom w:val="nil"/>
              <w:right w:val="nil"/>
            </w:tcBorders>
            <w:shd w:val="clear" w:color="auto" w:fill="auto"/>
            <w:noWrap/>
            <w:vAlign w:val="bottom"/>
            <w:hideMark/>
          </w:tcPr>
          <w:p w14:paraId="2754D6B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1.2</w:t>
            </w:r>
          </w:p>
        </w:tc>
        <w:tc>
          <w:tcPr>
            <w:tcW w:w="71" w:type="pct"/>
            <w:tcBorders>
              <w:top w:val="nil"/>
              <w:left w:val="nil"/>
              <w:bottom w:val="nil"/>
              <w:right w:val="nil"/>
            </w:tcBorders>
            <w:shd w:val="clear" w:color="auto" w:fill="auto"/>
            <w:noWrap/>
            <w:vAlign w:val="bottom"/>
            <w:hideMark/>
          </w:tcPr>
          <w:p w14:paraId="7CBE5803"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2D435F0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30.7</w:t>
            </w:r>
          </w:p>
        </w:tc>
        <w:tc>
          <w:tcPr>
            <w:tcW w:w="171" w:type="pct"/>
            <w:tcBorders>
              <w:top w:val="nil"/>
              <w:left w:val="nil"/>
              <w:bottom w:val="nil"/>
              <w:right w:val="nil"/>
            </w:tcBorders>
            <w:shd w:val="clear" w:color="auto" w:fill="auto"/>
            <w:noWrap/>
            <w:vAlign w:val="bottom"/>
            <w:hideMark/>
          </w:tcPr>
          <w:p w14:paraId="0CA0833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04D63391"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2884F4B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33.5</w:t>
            </w:r>
          </w:p>
        </w:tc>
        <w:tc>
          <w:tcPr>
            <w:tcW w:w="152" w:type="pct"/>
            <w:tcBorders>
              <w:top w:val="nil"/>
              <w:left w:val="nil"/>
              <w:bottom w:val="nil"/>
              <w:right w:val="nil"/>
            </w:tcBorders>
            <w:shd w:val="clear" w:color="auto" w:fill="auto"/>
            <w:noWrap/>
            <w:vAlign w:val="bottom"/>
            <w:hideMark/>
          </w:tcPr>
          <w:p w14:paraId="0FAC6B9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0.5</w:t>
            </w:r>
          </w:p>
        </w:tc>
        <w:tc>
          <w:tcPr>
            <w:tcW w:w="71" w:type="pct"/>
            <w:tcBorders>
              <w:top w:val="nil"/>
              <w:left w:val="nil"/>
              <w:bottom w:val="nil"/>
              <w:right w:val="nil"/>
            </w:tcBorders>
            <w:shd w:val="clear" w:color="auto" w:fill="auto"/>
            <w:noWrap/>
            <w:vAlign w:val="bottom"/>
            <w:hideMark/>
          </w:tcPr>
          <w:p w14:paraId="64A95826"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FA79C2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31.7</w:t>
            </w:r>
          </w:p>
        </w:tc>
        <w:tc>
          <w:tcPr>
            <w:tcW w:w="152" w:type="pct"/>
            <w:tcBorders>
              <w:top w:val="nil"/>
              <w:left w:val="nil"/>
              <w:bottom w:val="nil"/>
              <w:right w:val="nil"/>
            </w:tcBorders>
            <w:shd w:val="clear" w:color="auto" w:fill="auto"/>
            <w:noWrap/>
            <w:vAlign w:val="bottom"/>
            <w:hideMark/>
          </w:tcPr>
          <w:p w14:paraId="6C1E185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0.7</w:t>
            </w:r>
          </w:p>
        </w:tc>
        <w:tc>
          <w:tcPr>
            <w:tcW w:w="71" w:type="pct"/>
            <w:tcBorders>
              <w:top w:val="nil"/>
              <w:left w:val="nil"/>
              <w:bottom w:val="nil"/>
              <w:right w:val="nil"/>
            </w:tcBorders>
            <w:shd w:val="clear" w:color="auto" w:fill="auto"/>
            <w:noWrap/>
            <w:vAlign w:val="bottom"/>
            <w:hideMark/>
          </w:tcPr>
          <w:p w14:paraId="5997FCAC"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36C5282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35.2</w:t>
            </w:r>
          </w:p>
        </w:tc>
        <w:tc>
          <w:tcPr>
            <w:tcW w:w="171" w:type="pct"/>
            <w:tcBorders>
              <w:top w:val="nil"/>
              <w:left w:val="nil"/>
              <w:bottom w:val="nil"/>
              <w:right w:val="nil"/>
            </w:tcBorders>
            <w:shd w:val="clear" w:color="auto" w:fill="auto"/>
            <w:noWrap/>
            <w:vAlign w:val="bottom"/>
            <w:hideMark/>
          </w:tcPr>
          <w:p w14:paraId="44A1451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0.3</w:t>
            </w:r>
          </w:p>
        </w:tc>
        <w:tc>
          <w:tcPr>
            <w:tcW w:w="71" w:type="pct"/>
            <w:tcBorders>
              <w:top w:val="nil"/>
              <w:left w:val="nil"/>
              <w:bottom w:val="nil"/>
              <w:right w:val="nil"/>
            </w:tcBorders>
            <w:shd w:val="clear" w:color="auto" w:fill="auto"/>
            <w:noWrap/>
            <w:vAlign w:val="bottom"/>
            <w:hideMark/>
          </w:tcPr>
          <w:p w14:paraId="79E37729"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265F65D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31.4</w:t>
            </w:r>
          </w:p>
        </w:tc>
        <w:tc>
          <w:tcPr>
            <w:tcW w:w="152" w:type="pct"/>
            <w:tcBorders>
              <w:top w:val="nil"/>
              <w:left w:val="nil"/>
              <w:bottom w:val="nil"/>
              <w:right w:val="nil"/>
            </w:tcBorders>
            <w:shd w:val="clear" w:color="auto" w:fill="auto"/>
            <w:noWrap/>
            <w:vAlign w:val="bottom"/>
            <w:hideMark/>
          </w:tcPr>
          <w:p w14:paraId="34D3C6C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c>
          <w:tcPr>
            <w:tcW w:w="71" w:type="pct"/>
            <w:tcBorders>
              <w:top w:val="nil"/>
              <w:left w:val="nil"/>
              <w:bottom w:val="nil"/>
              <w:right w:val="nil"/>
            </w:tcBorders>
            <w:shd w:val="clear" w:color="auto" w:fill="auto"/>
            <w:noWrap/>
            <w:vAlign w:val="bottom"/>
            <w:hideMark/>
          </w:tcPr>
          <w:p w14:paraId="3B7E4F16"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77ACC3B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33.9</w:t>
            </w:r>
          </w:p>
        </w:tc>
        <w:tc>
          <w:tcPr>
            <w:tcW w:w="144" w:type="pct"/>
            <w:tcBorders>
              <w:top w:val="nil"/>
              <w:left w:val="nil"/>
              <w:bottom w:val="nil"/>
              <w:right w:val="nil"/>
            </w:tcBorders>
            <w:shd w:val="clear" w:color="auto" w:fill="auto"/>
            <w:noWrap/>
            <w:vAlign w:val="bottom"/>
            <w:hideMark/>
          </w:tcPr>
          <w:p w14:paraId="39DC998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0.3</w:t>
            </w:r>
          </w:p>
        </w:tc>
      </w:tr>
      <w:tr w:rsidR="00855702" w:rsidRPr="00855702" w14:paraId="4DB0D954" w14:textId="77777777" w:rsidTr="00D247B7">
        <w:trPr>
          <w:trHeight w:val="240"/>
        </w:trPr>
        <w:tc>
          <w:tcPr>
            <w:tcW w:w="252" w:type="pct"/>
            <w:tcBorders>
              <w:top w:val="nil"/>
              <w:left w:val="nil"/>
              <w:bottom w:val="nil"/>
              <w:right w:val="nil"/>
            </w:tcBorders>
            <w:shd w:val="clear" w:color="auto" w:fill="auto"/>
            <w:noWrap/>
            <w:vAlign w:val="center"/>
            <w:hideMark/>
          </w:tcPr>
          <w:p w14:paraId="47728694"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FeO</w:t>
            </w:r>
            <w:r w:rsidRPr="00855702">
              <w:rPr>
                <w:rFonts w:eastAsia="Times New Roman"/>
                <w:sz w:val="18"/>
                <w:szCs w:val="18"/>
                <w:vertAlign w:val="subscript"/>
                <w:lang w:val="fr-FR" w:eastAsia="fr-FR"/>
              </w:rPr>
              <w:t>tot</w:t>
            </w:r>
          </w:p>
        </w:tc>
        <w:tc>
          <w:tcPr>
            <w:tcW w:w="313" w:type="pct"/>
            <w:tcBorders>
              <w:top w:val="nil"/>
              <w:left w:val="nil"/>
              <w:bottom w:val="nil"/>
              <w:right w:val="nil"/>
            </w:tcBorders>
            <w:shd w:val="clear" w:color="auto" w:fill="auto"/>
            <w:noWrap/>
            <w:vAlign w:val="bottom"/>
            <w:hideMark/>
          </w:tcPr>
          <w:p w14:paraId="0FA1C98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4CBD6A9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19AE997E"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5A43359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5F6AB76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C0A6E9E"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57425D7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280895A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C628920"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1B337FD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171" w:type="pct"/>
            <w:tcBorders>
              <w:top w:val="nil"/>
              <w:left w:val="nil"/>
              <w:bottom w:val="nil"/>
              <w:right w:val="nil"/>
            </w:tcBorders>
            <w:shd w:val="clear" w:color="auto" w:fill="auto"/>
            <w:noWrap/>
            <w:vAlign w:val="bottom"/>
            <w:hideMark/>
          </w:tcPr>
          <w:p w14:paraId="21BB640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2CF9E226"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096591B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1893DF0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7BDF6581"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44609E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152" w:type="pct"/>
            <w:tcBorders>
              <w:top w:val="nil"/>
              <w:left w:val="nil"/>
              <w:bottom w:val="nil"/>
              <w:right w:val="nil"/>
            </w:tcBorders>
            <w:shd w:val="clear" w:color="auto" w:fill="auto"/>
            <w:noWrap/>
            <w:vAlign w:val="bottom"/>
            <w:hideMark/>
          </w:tcPr>
          <w:p w14:paraId="4DF6256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7705B562"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310C700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171" w:type="pct"/>
            <w:tcBorders>
              <w:top w:val="nil"/>
              <w:left w:val="nil"/>
              <w:bottom w:val="nil"/>
              <w:right w:val="nil"/>
            </w:tcBorders>
            <w:shd w:val="clear" w:color="auto" w:fill="auto"/>
            <w:noWrap/>
            <w:vAlign w:val="bottom"/>
            <w:hideMark/>
          </w:tcPr>
          <w:p w14:paraId="4533A1E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8D5F194"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72A1A77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3EA32F6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55DE62C"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4E53ED7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144" w:type="pct"/>
            <w:tcBorders>
              <w:top w:val="nil"/>
              <w:left w:val="nil"/>
              <w:bottom w:val="nil"/>
              <w:right w:val="nil"/>
            </w:tcBorders>
            <w:shd w:val="clear" w:color="auto" w:fill="auto"/>
            <w:noWrap/>
            <w:vAlign w:val="bottom"/>
            <w:hideMark/>
          </w:tcPr>
          <w:p w14:paraId="04C9D30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r>
      <w:tr w:rsidR="00855702" w:rsidRPr="00855702" w14:paraId="461FB78F" w14:textId="77777777" w:rsidTr="00D247B7">
        <w:trPr>
          <w:trHeight w:val="240"/>
        </w:trPr>
        <w:tc>
          <w:tcPr>
            <w:tcW w:w="252" w:type="pct"/>
            <w:tcBorders>
              <w:top w:val="nil"/>
              <w:left w:val="nil"/>
              <w:bottom w:val="nil"/>
              <w:right w:val="nil"/>
            </w:tcBorders>
            <w:shd w:val="clear" w:color="auto" w:fill="auto"/>
            <w:noWrap/>
            <w:vAlign w:val="center"/>
            <w:hideMark/>
          </w:tcPr>
          <w:p w14:paraId="148E510C"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MnO</w:t>
            </w:r>
          </w:p>
        </w:tc>
        <w:tc>
          <w:tcPr>
            <w:tcW w:w="313" w:type="pct"/>
            <w:tcBorders>
              <w:top w:val="nil"/>
              <w:left w:val="nil"/>
              <w:bottom w:val="nil"/>
              <w:right w:val="nil"/>
            </w:tcBorders>
            <w:shd w:val="clear" w:color="auto" w:fill="auto"/>
            <w:noWrap/>
            <w:vAlign w:val="bottom"/>
            <w:hideMark/>
          </w:tcPr>
          <w:p w14:paraId="32C7F18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3B8AB74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3A58E02"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1145C88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3D2BC3A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2FDD63A"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6F1052D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6048331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CDDD459"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75283AF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236BE1E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7CC5A38B"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52002C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7817931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B72AA6E"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3901061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775483A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004BF7A3"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7D67EAD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16A88CD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B305425"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6818FE2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21DC3CC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91345E7"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136D729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68D1726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r>
      <w:tr w:rsidR="00855702" w:rsidRPr="00855702" w14:paraId="749BEC5C" w14:textId="77777777" w:rsidTr="00D247B7">
        <w:trPr>
          <w:trHeight w:val="240"/>
        </w:trPr>
        <w:tc>
          <w:tcPr>
            <w:tcW w:w="252" w:type="pct"/>
            <w:tcBorders>
              <w:top w:val="nil"/>
              <w:left w:val="nil"/>
              <w:bottom w:val="nil"/>
              <w:right w:val="nil"/>
            </w:tcBorders>
            <w:shd w:val="clear" w:color="auto" w:fill="auto"/>
            <w:noWrap/>
            <w:vAlign w:val="center"/>
            <w:hideMark/>
          </w:tcPr>
          <w:p w14:paraId="49D1BB5F"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MgO</w:t>
            </w:r>
          </w:p>
        </w:tc>
        <w:tc>
          <w:tcPr>
            <w:tcW w:w="313" w:type="pct"/>
            <w:tcBorders>
              <w:top w:val="nil"/>
              <w:left w:val="nil"/>
              <w:bottom w:val="nil"/>
              <w:right w:val="nil"/>
            </w:tcBorders>
            <w:shd w:val="clear" w:color="auto" w:fill="auto"/>
            <w:noWrap/>
            <w:vAlign w:val="bottom"/>
            <w:hideMark/>
          </w:tcPr>
          <w:p w14:paraId="0E0DFDD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49D0AC4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656ED578"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6800521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6F59C24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17EDEAE"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5B319EB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9A3973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3ED2206"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2B3F227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301AD4E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0656973"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1D8B0C9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7A6FA07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276C4010"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7EE2744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50930EF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4B332C4"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59AF52C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3607AAB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F2DAD3C"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765BC6D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39E7089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F4203A3"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5292828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59A6F1E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r>
      <w:tr w:rsidR="00855702" w:rsidRPr="00855702" w14:paraId="79EECF60" w14:textId="77777777" w:rsidTr="00D247B7">
        <w:trPr>
          <w:trHeight w:val="240"/>
        </w:trPr>
        <w:tc>
          <w:tcPr>
            <w:tcW w:w="252" w:type="pct"/>
            <w:tcBorders>
              <w:top w:val="nil"/>
              <w:left w:val="nil"/>
              <w:bottom w:val="nil"/>
              <w:right w:val="nil"/>
            </w:tcBorders>
            <w:shd w:val="clear" w:color="auto" w:fill="auto"/>
            <w:noWrap/>
            <w:vAlign w:val="center"/>
            <w:hideMark/>
          </w:tcPr>
          <w:p w14:paraId="1CC76868"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CaO</w:t>
            </w:r>
          </w:p>
        </w:tc>
        <w:tc>
          <w:tcPr>
            <w:tcW w:w="313" w:type="pct"/>
            <w:tcBorders>
              <w:top w:val="nil"/>
              <w:left w:val="nil"/>
              <w:bottom w:val="nil"/>
              <w:right w:val="nil"/>
            </w:tcBorders>
            <w:shd w:val="clear" w:color="auto" w:fill="auto"/>
            <w:noWrap/>
            <w:vAlign w:val="bottom"/>
            <w:hideMark/>
          </w:tcPr>
          <w:p w14:paraId="28FD0F5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12.3</w:t>
            </w:r>
          </w:p>
        </w:tc>
        <w:tc>
          <w:tcPr>
            <w:tcW w:w="152" w:type="pct"/>
            <w:tcBorders>
              <w:top w:val="nil"/>
              <w:left w:val="nil"/>
              <w:bottom w:val="nil"/>
              <w:right w:val="nil"/>
            </w:tcBorders>
            <w:shd w:val="clear" w:color="auto" w:fill="auto"/>
            <w:noWrap/>
            <w:vAlign w:val="bottom"/>
            <w:hideMark/>
          </w:tcPr>
          <w:p w14:paraId="0F41260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0.7</w:t>
            </w:r>
          </w:p>
        </w:tc>
        <w:tc>
          <w:tcPr>
            <w:tcW w:w="71" w:type="pct"/>
            <w:tcBorders>
              <w:top w:val="nil"/>
              <w:left w:val="nil"/>
              <w:bottom w:val="nil"/>
              <w:right w:val="nil"/>
            </w:tcBorders>
            <w:shd w:val="clear" w:color="auto" w:fill="auto"/>
            <w:noWrap/>
            <w:vAlign w:val="bottom"/>
            <w:hideMark/>
          </w:tcPr>
          <w:p w14:paraId="515C1289"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543FFC9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17.9</w:t>
            </w:r>
          </w:p>
        </w:tc>
        <w:tc>
          <w:tcPr>
            <w:tcW w:w="152" w:type="pct"/>
            <w:tcBorders>
              <w:top w:val="nil"/>
              <w:left w:val="nil"/>
              <w:bottom w:val="nil"/>
              <w:right w:val="nil"/>
            </w:tcBorders>
            <w:shd w:val="clear" w:color="auto" w:fill="auto"/>
            <w:noWrap/>
            <w:vAlign w:val="bottom"/>
            <w:hideMark/>
          </w:tcPr>
          <w:p w14:paraId="35CB13F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1.2</w:t>
            </w:r>
          </w:p>
        </w:tc>
        <w:tc>
          <w:tcPr>
            <w:tcW w:w="71" w:type="pct"/>
            <w:tcBorders>
              <w:top w:val="nil"/>
              <w:left w:val="nil"/>
              <w:bottom w:val="nil"/>
              <w:right w:val="nil"/>
            </w:tcBorders>
            <w:shd w:val="clear" w:color="auto" w:fill="auto"/>
            <w:noWrap/>
            <w:vAlign w:val="bottom"/>
            <w:hideMark/>
          </w:tcPr>
          <w:p w14:paraId="4ACA9B8A"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59BDD3A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15.7</w:t>
            </w:r>
          </w:p>
        </w:tc>
        <w:tc>
          <w:tcPr>
            <w:tcW w:w="152" w:type="pct"/>
            <w:tcBorders>
              <w:top w:val="nil"/>
              <w:left w:val="nil"/>
              <w:bottom w:val="nil"/>
              <w:right w:val="nil"/>
            </w:tcBorders>
            <w:shd w:val="clear" w:color="auto" w:fill="auto"/>
            <w:noWrap/>
            <w:vAlign w:val="bottom"/>
            <w:hideMark/>
          </w:tcPr>
          <w:p w14:paraId="626E65D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1.4</w:t>
            </w:r>
          </w:p>
        </w:tc>
        <w:tc>
          <w:tcPr>
            <w:tcW w:w="71" w:type="pct"/>
            <w:tcBorders>
              <w:top w:val="nil"/>
              <w:left w:val="nil"/>
              <w:bottom w:val="nil"/>
              <w:right w:val="nil"/>
            </w:tcBorders>
            <w:shd w:val="clear" w:color="auto" w:fill="auto"/>
            <w:noWrap/>
            <w:vAlign w:val="bottom"/>
            <w:hideMark/>
          </w:tcPr>
          <w:p w14:paraId="4044F830"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30F22D8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13.3</w:t>
            </w:r>
          </w:p>
        </w:tc>
        <w:tc>
          <w:tcPr>
            <w:tcW w:w="171" w:type="pct"/>
            <w:tcBorders>
              <w:top w:val="nil"/>
              <w:left w:val="nil"/>
              <w:bottom w:val="nil"/>
              <w:right w:val="nil"/>
            </w:tcBorders>
            <w:shd w:val="clear" w:color="auto" w:fill="auto"/>
            <w:noWrap/>
            <w:vAlign w:val="bottom"/>
            <w:hideMark/>
          </w:tcPr>
          <w:p w14:paraId="55C9FAB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71" w:type="pct"/>
            <w:tcBorders>
              <w:top w:val="nil"/>
              <w:left w:val="nil"/>
              <w:bottom w:val="nil"/>
              <w:right w:val="nil"/>
            </w:tcBorders>
            <w:shd w:val="clear" w:color="auto" w:fill="auto"/>
            <w:noWrap/>
            <w:vAlign w:val="bottom"/>
            <w:hideMark/>
          </w:tcPr>
          <w:p w14:paraId="40A555A4"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21D34FC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16.7</w:t>
            </w:r>
          </w:p>
        </w:tc>
        <w:tc>
          <w:tcPr>
            <w:tcW w:w="152" w:type="pct"/>
            <w:tcBorders>
              <w:top w:val="nil"/>
              <w:left w:val="nil"/>
              <w:bottom w:val="nil"/>
              <w:right w:val="nil"/>
            </w:tcBorders>
            <w:shd w:val="clear" w:color="auto" w:fill="auto"/>
            <w:noWrap/>
            <w:vAlign w:val="bottom"/>
            <w:hideMark/>
          </w:tcPr>
          <w:p w14:paraId="42A7EE3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0.5</w:t>
            </w:r>
          </w:p>
        </w:tc>
        <w:tc>
          <w:tcPr>
            <w:tcW w:w="71" w:type="pct"/>
            <w:tcBorders>
              <w:top w:val="nil"/>
              <w:left w:val="nil"/>
              <w:bottom w:val="nil"/>
              <w:right w:val="nil"/>
            </w:tcBorders>
            <w:shd w:val="clear" w:color="auto" w:fill="auto"/>
            <w:noWrap/>
            <w:vAlign w:val="bottom"/>
            <w:hideMark/>
          </w:tcPr>
          <w:p w14:paraId="3F6A8FEB"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761FFF5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14.4</w:t>
            </w:r>
          </w:p>
        </w:tc>
        <w:tc>
          <w:tcPr>
            <w:tcW w:w="152" w:type="pct"/>
            <w:tcBorders>
              <w:top w:val="nil"/>
              <w:left w:val="nil"/>
              <w:bottom w:val="nil"/>
              <w:right w:val="nil"/>
            </w:tcBorders>
            <w:shd w:val="clear" w:color="auto" w:fill="auto"/>
            <w:noWrap/>
            <w:vAlign w:val="bottom"/>
            <w:hideMark/>
          </w:tcPr>
          <w:p w14:paraId="449385B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0.8</w:t>
            </w:r>
          </w:p>
        </w:tc>
        <w:tc>
          <w:tcPr>
            <w:tcW w:w="71" w:type="pct"/>
            <w:tcBorders>
              <w:top w:val="nil"/>
              <w:left w:val="nil"/>
              <w:bottom w:val="nil"/>
              <w:right w:val="nil"/>
            </w:tcBorders>
            <w:shd w:val="clear" w:color="auto" w:fill="auto"/>
            <w:noWrap/>
            <w:vAlign w:val="bottom"/>
            <w:hideMark/>
          </w:tcPr>
          <w:p w14:paraId="6A7CD674"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523C035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18.2</w:t>
            </w:r>
          </w:p>
        </w:tc>
        <w:tc>
          <w:tcPr>
            <w:tcW w:w="171" w:type="pct"/>
            <w:tcBorders>
              <w:top w:val="nil"/>
              <w:left w:val="nil"/>
              <w:bottom w:val="nil"/>
              <w:right w:val="nil"/>
            </w:tcBorders>
            <w:shd w:val="clear" w:color="auto" w:fill="auto"/>
            <w:noWrap/>
            <w:vAlign w:val="bottom"/>
            <w:hideMark/>
          </w:tcPr>
          <w:p w14:paraId="635933B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c>
          <w:tcPr>
            <w:tcW w:w="71" w:type="pct"/>
            <w:tcBorders>
              <w:top w:val="nil"/>
              <w:left w:val="nil"/>
              <w:bottom w:val="nil"/>
              <w:right w:val="nil"/>
            </w:tcBorders>
            <w:shd w:val="clear" w:color="auto" w:fill="auto"/>
            <w:noWrap/>
            <w:vAlign w:val="bottom"/>
            <w:hideMark/>
          </w:tcPr>
          <w:p w14:paraId="7020D647"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36C95ED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14.0</w:t>
            </w:r>
          </w:p>
        </w:tc>
        <w:tc>
          <w:tcPr>
            <w:tcW w:w="152" w:type="pct"/>
            <w:tcBorders>
              <w:top w:val="nil"/>
              <w:left w:val="nil"/>
              <w:bottom w:val="nil"/>
              <w:right w:val="nil"/>
            </w:tcBorders>
            <w:shd w:val="clear" w:color="auto" w:fill="auto"/>
            <w:noWrap/>
            <w:vAlign w:val="bottom"/>
            <w:hideMark/>
          </w:tcPr>
          <w:p w14:paraId="66488AD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c>
          <w:tcPr>
            <w:tcW w:w="71" w:type="pct"/>
            <w:tcBorders>
              <w:top w:val="nil"/>
              <w:left w:val="nil"/>
              <w:bottom w:val="nil"/>
              <w:right w:val="nil"/>
            </w:tcBorders>
            <w:shd w:val="clear" w:color="auto" w:fill="auto"/>
            <w:noWrap/>
            <w:vAlign w:val="bottom"/>
            <w:hideMark/>
          </w:tcPr>
          <w:p w14:paraId="0802418E"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59999EF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16.8</w:t>
            </w:r>
          </w:p>
        </w:tc>
        <w:tc>
          <w:tcPr>
            <w:tcW w:w="144" w:type="pct"/>
            <w:tcBorders>
              <w:top w:val="nil"/>
              <w:left w:val="nil"/>
              <w:bottom w:val="nil"/>
              <w:right w:val="nil"/>
            </w:tcBorders>
            <w:shd w:val="clear" w:color="auto" w:fill="auto"/>
            <w:noWrap/>
            <w:vAlign w:val="bottom"/>
            <w:hideMark/>
          </w:tcPr>
          <w:p w14:paraId="7573E39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r>
      <w:tr w:rsidR="00855702" w:rsidRPr="00855702" w14:paraId="2D935CC6" w14:textId="77777777" w:rsidTr="00D247B7">
        <w:trPr>
          <w:trHeight w:val="240"/>
        </w:trPr>
        <w:tc>
          <w:tcPr>
            <w:tcW w:w="252" w:type="pct"/>
            <w:tcBorders>
              <w:top w:val="nil"/>
              <w:left w:val="nil"/>
              <w:bottom w:val="nil"/>
              <w:right w:val="nil"/>
            </w:tcBorders>
            <w:shd w:val="clear" w:color="auto" w:fill="auto"/>
            <w:noWrap/>
            <w:vAlign w:val="center"/>
            <w:hideMark/>
          </w:tcPr>
          <w:p w14:paraId="599686A4"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Na</w:t>
            </w:r>
            <w:r w:rsidRPr="00855702">
              <w:rPr>
                <w:rFonts w:eastAsia="Times New Roman"/>
                <w:sz w:val="18"/>
                <w:szCs w:val="18"/>
                <w:vertAlign w:val="subscript"/>
                <w:lang w:val="fr-FR" w:eastAsia="fr-FR"/>
              </w:rPr>
              <w:t>2</w:t>
            </w:r>
            <w:r w:rsidRPr="00855702">
              <w:rPr>
                <w:rFonts w:eastAsia="Times New Roman"/>
                <w:sz w:val="18"/>
                <w:szCs w:val="18"/>
                <w:lang w:val="fr-FR" w:eastAsia="fr-FR"/>
              </w:rPr>
              <w:t>O</w:t>
            </w:r>
          </w:p>
        </w:tc>
        <w:tc>
          <w:tcPr>
            <w:tcW w:w="313" w:type="pct"/>
            <w:tcBorders>
              <w:top w:val="nil"/>
              <w:left w:val="nil"/>
              <w:bottom w:val="nil"/>
              <w:right w:val="nil"/>
            </w:tcBorders>
            <w:shd w:val="clear" w:color="auto" w:fill="auto"/>
            <w:noWrap/>
            <w:vAlign w:val="bottom"/>
            <w:hideMark/>
          </w:tcPr>
          <w:p w14:paraId="7EB829A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4.8</w:t>
            </w:r>
          </w:p>
        </w:tc>
        <w:tc>
          <w:tcPr>
            <w:tcW w:w="152" w:type="pct"/>
            <w:tcBorders>
              <w:top w:val="nil"/>
              <w:left w:val="nil"/>
              <w:bottom w:val="nil"/>
              <w:right w:val="nil"/>
            </w:tcBorders>
            <w:shd w:val="clear" w:color="auto" w:fill="auto"/>
            <w:noWrap/>
            <w:vAlign w:val="bottom"/>
            <w:hideMark/>
          </w:tcPr>
          <w:p w14:paraId="7A22D0F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c>
          <w:tcPr>
            <w:tcW w:w="71" w:type="pct"/>
            <w:tcBorders>
              <w:top w:val="nil"/>
              <w:left w:val="nil"/>
              <w:bottom w:val="nil"/>
              <w:right w:val="nil"/>
            </w:tcBorders>
            <w:shd w:val="clear" w:color="auto" w:fill="auto"/>
            <w:noWrap/>
            <w:vAlign w:val="bottom"/>
            <w:hideMark/>
          </w:tcPr>
          <w:p w14:paraId="24B7AA1D"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3505E34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1.4</w:t>
            </w:r>
          </w:p>
        </w:tc>
        <w:tc>
          <w:tcPr>
            <w:tcW w:w="152" w:type="pct"/>
            <w:tcBorders>
              <w:top w:val="nil"/>
              <w:left w:val="nil"/>
              <w:bottom w:val="nil"/>
              <w:right w:val="nil"/>
            </w:tcBorders>
            <w:shd w:val="clear" w:color="auto" w:fill="auto"/>
            <w:noWrap/>
            <w:vAlign w:val="bottom"/>
            <w:hideMark/>
          </w:tcPr>
          <w:p w14:paraId="3DED760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0.7</w:t>
            </w:r>
          </w:p>
        </w:tc>
        <w:tc>
          <w:tcPr>
            <w:tcW w:w="71" w:type="pct"/>
            <w:tcBorders>
              <w:top w:val="nil"/>
              <w:left w:val="nil"/>
              <w:bottom w:val="nil"/>
              <w:right w:val="nil"/>
            </w:tcBorders>
            <w:shd w:val="clear" w:color="auto" w:fill="auto"/>
            <w:noWrap/>
            <w:vAlign w:val="bottom"/>
            <w:hideMark/>
          </w:tcPr>
          <w:p w14:paraId="59D5FD2D"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015E934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2.8</w:t>
            </w:r>
          </w:p>
        </w:tc>
        <w:tc>
          <w:tcPr>
            <w:tcW w:w="152" w:type="pct"/>
            <w:tcBorders>
              <w:top w:val="nil"/>
              <w:left w:val="nil"/>
              <w:bottom w:val="nil"/>
              <w:right w:val="nil"/>
            </w:tcBorders>
            <w:shd w:val="clear" w:color="auto" w:fill="auto"/>
            <w:noWrap/>
            <w:vAlign w:val="bottom"/>
            <w:hideMark/>
          </w:tcPr>
          <w:p w14:paraId="2443A0F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0.8</w:t>
            </w:r>
          </w:p>
        </w:tc>
        <w:tc>
          <w:tcPr>
            <w:tcW w:w="71" w:type="pct"/>
            <w:tcBorders>
              <w:top w:val="nil"/>
              <w:left w:val="nil"/>
              <w:bottom w:val="nil"/>
              <w:right w:val="nil"/>
            </w:tcBorders>
            <w:shd w:val="clear" w:color="auto" w:fill="auto"/>
            <w:noWrap/>
            <w:vAlign w:val="bottom"/>
            <w:hideMark/>
          </w:tcPr>
          <w:p w14:paraId="51821B36"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075ACDE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4.4</w:t>
            </w:r>
          </w:p>
        </w:tc>
        <w:tc>
          <w:tcPr>
            <w:tcW w:w="171" w:type="pct"/>
            <w:tcBorders>
              <w:top w:val="nil"/>
              <w:left w:val="nil"/>
              <w:bottom w:val="nil"/>
              <w:right w:val="nil"/>
            </w:tcBorders>
            <w:shd w:val="clear" w:color="auto" w:fill="auto"/>
            <w:noWrap/>
            <w:vAlign w:val="bottom"/>
            <w:hideMark/>
          </w:tcPr>
          <w:p w14:paraId="419A130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4ED7B90C"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4E2D73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2.1</w:t>
            </w:r>
          </w:p>
        </w:tc>
        <w:tc>
          <w:tcPr>
            <w:tcW w:w="152" w:type="pct"/>
            <w:tcBorders>
              <w:top w:val="nil"/>
              <w:left w:val="nil"/>
              <w:bottom w:val="nil"/>
              <w:right w:val="nil"/>
            </w:tcBorders>
            <w:shd w:val="clear" w:color="auto" w:fill="auto"/>
            <w:noWrap/>
            <w:vAlign w:val="bottom"/>
            <w:hideMark/>
          </w:tcPr>
          <w:p w14:paraId="4D67AC0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0.3</w:t>
            </w:r>
          </w:p>
        </w:tc>
        <w:tc>
          <w:tcPr>
            <w:tcW w:w="71" w:type="pct"/>
            <w:tcBorders>
              <w:top w:val="nil"/>
              <w:left w:val="nil"/>
              <w:bottom w:val="nil"/>
              <w:right w:val="nil"/>
            </w:tcBorders>
            <w:shd w:val="clear" w:color="auto" w:fill="auto"/>
            <w:noWrap/>
            <w:vAlign w:val="bottom"/>
            <w:hideMark/>
          </w:tcPr>
          <w:p w14:paraId="1D4062B7"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A17C0D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3.5</w:t>
            </w:r>
          </w:p>
        </w:tc>
        <w:tc>
          <w:tcPr>
            <w:tcW w:w="152" w:type="pct"/>
            <w:tcBorders>
              <w:top w:val="nil"/>
              <w:left w:val="nil"/>
              <w:bottom w:val="nil"/>
              <w:right w:val="nil"/>
            </w:tcBorders>
            <w:shd w:val="clear" w:color="auto" w:fill="auto"/>
            <w:noWrap/>
            <w:vAlign w:val="bottom"/>
            <w:hideMark/>
          </w:tcPr>
          <w:p w14:paraId="0C4E31C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c>
          <w:tcPr>
            <w:tcW w:w="71" w:type="pct"/>
            <w:tcBorders>
              <w:top w:val="nil"/>
              <w:left w:val="nil"/>
              <w:bottom w:val="nil"/>
              <w:right w:val="nil"/>
            </w:tcBorders>
            <w:shd w:val="clear" w:color="auto" w:fill="auto"/>
            <w:noWrap/>
            <w:vAlign w:val="bottom"/>
            <w:hideMark/>
          </w:tcPr>
          <w:p w14:paraId="2ED87D2E"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4247180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1.2</w:t>
            </w:r>
          </w:p>
        </w:tc>
        <w:tc>
          <w:tcPr>
            <w:tcW w:w="171" w:type="pct"/>
            <w:tcBorders>
              <w:top w:val="nil"/>
              <w:left w:val="nil"/>
              <w:bottom w:val="nil"/>
              <w:right w:val="nil"/>
            </w:tcBorders>
            <w:shd w:val="clear" w:color="auto" w:fill="auto"/>
            <w:noWrap/>
            <w:vAlign w:val="bottom"/>
            <w:hideMark/>
          </w:tcPr>
          <w:p w14:paraId="3C7218A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71" w:type="pct"/>
            <w:tcBorders>
              <w:top w:val="nil"/>
              <w:left w:val="nil"/>
              <w:bottom w:val="nil"/>
              <w:right w:val="nil"/>
            </w:tcBorders>
            <w:shd w:val="clear" w:color="auto" w:fill="auto"/>
            <w:noWrap/>
            <w:vAlign w:val="bottom"/>
            <w:hideMark/>
          </w:tcPr>
          <w:p w14:paraId="00291438"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42F94F6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3.6</w:t>
            </w:r>
          </w:p>
        </w:tc>
        <w:tc>
          <w:tcPr>
            <w:tcW w:w="152" w:type="pct"/>
            <w:tcBorders>
              <w:top w:val="nil"/>
              <w:left w:val="nil"/>
              <w:bottom w:val="nil"/>
              <w:right w:val="nil"/>
            </w:tcBorders>
            <w:shd w:val="clear" w:color="auto" w:fill="auto"/>
            <w:noWrap/>
            <w:vAlign w:val="bottom"/>
            <w:hideMark/>
          </w:tcPr>
          <w:p w14:paraId="71672E6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71" w:type="pct"/>
            <w:tcBorders>
              <w:top w:val="nil"/>
              <w:left w:val="nil"/>
              <w:bottom w:val="nil"/>
              <w:right w:val="nil"/>
            </w:tcBorders>
            <w:shd w:val="clear" w:color="auto" w:fill="auto"/>
            <w:noWrap/>
            <w:vAlign w:val="bottom"/>
            <w:hideMark/>
          </w:tcPr>
          <w:p w14:paraId="1E6D134C"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5989FC4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2.1</w:t>
            </w:r>
          </w:p>
        </w:tc>
        <w:tc>
          <w:tcPr>
            <w:tcW w:w="144" w:type="pct"/>
            <w:tcBorders>
              <w:top w:val="nil"/>
              <w:left w:val="nil"/>
              <w:bottom w:val="nil"/>
              <w:right w:val="nil"/>
            </w:tcBorders>
            <w:shd w:val="clear" w:color="auto" w:fill="auto"/>
            <w:noWrap/>
            <w:vAlign w:val="bottom"/>
            <w:hideMark/>
          </w:tcPr>
          <w:p w14:paraId="1DA066C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r>
      <w:tr w:rsidR="00855702" w:rsidRPr="00855702" w14:paraId="7B957083" w14:textId="77777777" w:rsidTr="00D247B7">
        <w:trPr>
          <w:trHeight w:val="240"/>
        </w:trPr>
        <w:tc>
          <w:tcPr>
            <w:tcW w:w="252" w:type="pct"/>
            <w:tcBorders>
              <w:top w:val="nil"/>
              <w:left w:val="nil"/>
              <w:bottom w:val="nil"/>
              <w:right w:val="nil"/>
            </w:tcBorders>
            <w:shd w:val="clear" w:color="auto" w:fill="auto"/>
            <w:noWrap/>
            <w:vAlign w:val="center"/>
            <w:hideMark/>
          </w:tcPr>
          <w:p w14:paraId="095ADD2B"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K</w:t>
            </w:r>
            <w:r w:rsidRPr="00855702">
              <w:rPr>
                <w:rFonts w:eastAsia="Times New Roman"/>
                <w:sz w:val="18"/>
                <w:szCs w:val="18"/>
                <w:vertAlign w:val="subscript"/>
                <w:lang w:val="fr-FR" w:eastAsia="fr-FR"/>
              </w:rPr>
              <w:t>2</w:t>
            </w:r>
            <w:r w:rsidRPr="00855702">
              <w:rPr>
                <w:rFonts w:eastAsia="Times New Roman"/>
                <w:sz w:val="18"/>
                <w:szCs w:val="18"/>
                <w:lang w:val="fr-FR" w:eastAsia="fr-FR"/>
              </w:rPr>
              <w:t>O</w:t>
            </w:r>
          </w:p>
        </w:tc>
        <w:tc>
          <w:tcPr>
            <w:tcW w:w="313" w:type="pct"/>
            <w:tcBorders>
              <w:top w:val="nil"/>
              <w:left w:val="nil"/>
              <w:bottom w:val="nil"/>
              <w:right w:val="nil"/>
            </w:tcBorders>
            <w:shd w:val="clear" w:color="auto" w:fill="auto"/>
            <w:noWrap/>
            <w:vAlign w:val="bottom"/>
            <w:hideMark/>
          </w:tcPr>
          <w:p w14:paraId="7DE367C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812119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083AB4D7"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4F3858C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3FB368E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0CBEA69"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09ECBA7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59B9B4B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4573370"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605D30C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7225C52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2E09F244"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E9FE70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676FE17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A28B8B1"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174235D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621772C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89A6288"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15C2BE0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6B008BA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0EFA443D"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32187F0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70CED39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9990939"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0F03ABC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1AE26DA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r>
      <w:tr w:rsidR="00855702" w:rsidRPr="00855702" w14:paraId="6D0F1F24" w14:textId="77777777" w:rsidTr="00D247B7">
        <w:trPr>
          <w:trHeight w:val="240"/>
        </w:trPr>
        <w:tc>
          <w:tcPr>
            <w:tcW w:w="252" w:type="pct"/>
            <w:tcBorders>
              <w:top w:val="nil"/>
              <w:left w:val="nil"/>
              <w:bottom w:val="nil"/>
              <w:right w:val="nil"/>
            </w:tcBorders>
            <w:shd w:val="clear" w:color="auto" w:fill="auto"/>
            <w:noWrap/>
            <w:vAlign w:val="center"/>
            <w:hideMark/>
          </w:tcPr>
          <w:p w14:paraId="2F0A516B"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Cr</w:t>
            </w:r>
            <w:r w:rsidRPr="00855702">
              <w:rPr>
                <w:rFonts w:eastAsia="Times New Roman"/>
                <w:sz w:val="18"/>
                <w:szCs w:val="18"/>
                <w:vertAlign w:val="subscript"/>
                <w:lang w:val="fr-FR" w:eastAsia="fr-FR"/>
              </w:rPr>
              <w:t>2</w:t>
            </w:r>
            <w:r w:rsidRPr="00855702">
              <w:rPr>
                <w:rFonts w:eastAsia="Times New Roman"/>
                <w:sz w:val="18"/>
                <w:szCs w:val="18"/>
                <w:lang w:val="fr-FR" w:eastAsia="fr-FR"/>
              </w:rPr>
              <w:t>O</w:t>
            </w:r>
            <w:r w:rsidRPr="00855702">
              <w:rPr>
                <w:rFonts w:eastAsia="Times New Roman"/>
                <w:sz w:val="18"/>
                <w:szCs w:val="18"/>
                <w:vertAlign w:val="subscript"/>
                <w:lang w:val="fr-FR" w:eastAsia="fr-FR"/>
              </w:rPr>
              <w:t>3</w:t>
            </w:r>
          </w:p>
        </w:tc>
        <w:tc>
          <w:tcPr>
            <w:tcW w:w="313" w:type="pct"/>
            <w:tcBorders>
              <w:top w:val="nil"/>
              <w:left w:val="nil"/>
              <w:bottom w:val="nil"/>
              <w:right w:val="nil"/>
            </w:tcBorders>
            <w:shd w:val="clear" w:color="auto" w:fill="auto"/>
            <w:noWrap/>
            <w:vAlign w:val="bottom"/>
            <w:hideMark/>
          </w:tcPr>
          <w:p w14:paraId="39E24B3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396C528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0BA7AF56"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3AFE2DF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4437222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225BA1D"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4C61A7C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596D59F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3209A04"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24C1640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2A26E21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0BD6B9F"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6DD67A9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582AE0A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7FF95E2D"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1C9ED9B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511F9C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DA8DE2C"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026040B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41A044C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C7BC0B8"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729D1A5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007C6E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5677E24"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3E5EF13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5B587F0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r>
      <w:tr w:rsidR="00855702" w:rsidRPr="00855702" w14:paraId="40C037B0" w14:textId="77777777" w:rsidTr="00D247B7">
        <w:trPr>
          <w:trHeight w:val="240"/>
        </w:trPr>
        <w:tc>
          <w:tcPr>
            <w:tcW w:w="252" w:type="pct"/>
            <w:tcBorders>
              <w:top w:val="nil"/>
              <w:left w:val="nil"/>
              <w:bottom w:val="nil"/>
              <w:right w:val="nil"/>
            </w:tcBorders>
            <w:shd w:val="clear" w:color="auto" w:fill="auto"/>
            <w:noWrap/>
            <w:vAlign w:val="center"/>
            <w:hideMark/>
          </w:tcPr>
          <w:p w14:paraId="782A86DC"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NiO</w:t>
            </w:r>
          </w:p>
        </w:tc>
        <w:tc>
          <w:tcPr>
            <w:tcW w:w="313" w:type="pct"/>
            <w:tcBorders>
              <w:top w:val="nil"/>
              <w:left w:val="nil"/>
              <w:bottom w:val="nil"/>
              <w:right w:val="nil"/>
            </w:tcBorders>
            <w:shd w:val="clear" w:color="auto" w:fill="auto"/>
            <w:noWrap/>
            <w:vAlign w:val="bottom"/>
            <w:hideMark/>
          </w:tcPr>
          <w:p w14:paraId="12849D9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049E3A1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5285455"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37382D0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012336F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F004CAA"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0989F2A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0C2F786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42B62BC"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5F77932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0955E6C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F829045"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0EE5813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59A957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663B297"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19C740F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0C13419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9C7B769"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5DD41F8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2DCA0C2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B402D86"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281F37D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50AEC60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BEF7226"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0BFB0ED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3974612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r>
      <w:tr w:rsidR="00855702" w:rsidRPr="00855702" w14:paraId="32CFAB32" w14:textId="77777777" w:rsidTr="00D247B7">
        <w:trPr>
          <w:trHeight w:val="240"/>
        </w:trPr>
        <w:tc>
          <w:tcPr>
            <w:tcW w:w="252" w:type="pct"/>
            <w:tcBorders>
              <w:top w:val="nil"/>
              <w:left w:val="nil"/>
              <w:bottom w:val="nil"/>
              <w:right w:val="nil"/>
            </w:tcBorders>
            <w:shd w:val="clear" w:color="auto" w:fill="auto"/>
            <w:noWrap/>
            <w:vAlign w:val="center"/>
            <w:hideMark/>
          </w:tcPr>
          <w:p w14:paraId="292533F4"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Cl</w:t>
            </w:r>
          </w:p>
        </w:tc>
        <w:tc>
          <w:tcPr>
            <w:tcW w:w="313" w:type="pct"/>
            <w:tcBorders>
              <w:top w:val="nil"/>
              <w:left w:val="nil"/>
              <w:bottom w:val="nil"/>
              <w:right w:val="nil"/>
            </w:tcBorders>
            <w:shd w:val="clear" w:color="auto" w:fill="auto"/>
            <w:noWrap/>
            <w:vAlign w:val="bottom"/>
            <w:hideMark/>
          </w:tcPr>
          <w:p w14:paraId="1346E96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22745B5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64E04941"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0B67351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16D154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20D59DFB"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3E1A7C9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929FDC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7AFA789C"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75F2026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60528AC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59A29CAE"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4E61956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10AC7FB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4AD0C70"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3DC306E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7DED443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25F63A1"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707DC30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23AF851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F926B66"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4F2EF4E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5777363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13688B98"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2CBFF9F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5BE672D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r>
      <w:tr w:rsidR="00855702" w:rsidRPr="00855702" w14:paraId="7A33F941" w14:textId="77777777" w:rsidTr="00D247B7">
        <w:trPr>
          <w:trHeight w:val="240"/>
        </w:trPr>
        <w:tc>
          <w:tcPr>
            <w:tcW w:w="252" w:type="pct"/>
            <w:tcBorders>
              <w:top w:val="nil"/>
              <w:left w:val="nil"/>
              <w:bottom w:val="nil"/>
              <w:right w:val="nil"/>
            </w:tcBorders>
            <w:shd w:val="clear" w:color="auto" w:fill="auto"/>
            <w:noWrap/>
            <w:vAlign w:val="center"/>
            <w:hideMark/>
          </w:tcPr>
          <w:p w14:paraId="63E76CE3"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F</w:t>
            </w:r>
          </w:p>
        </w:tc>
        <w:tc>
          <w:tcPr>
            <w:tcW w:w="313" w:type="pct"/>
            <w:tcBorders>
              <w:top w:val="nil"/>
              <w:left w:val="nil"/>
              <w:bottom w:val="nil"/>
              <w:right w:val="nil"/>
            </w:tcBorders>
            <w:shd w:val="clear" w:color="auto" w:fill="auto"/>
            <w:noWrap/>
            <w:vAlign w:val="bottom"/>
            <w:hideMark/>
          </w:tcPr>
          <w:p w14:paraId="4049247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5109E26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03400B40"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4AFC4AB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4BCA949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35B2397F"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1154872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72D241C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0732623D"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32EF63D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71" w:type="pct"/>
            <w:tcBorders>
              <w:top w:val="nil"/>
              <w:left w:val="nil"/>
              <w:bottom w:val="nil"/>
              <w:right w:val="nil"/>
            </w:tcBorders>
            <w:shd w:val="clear" w:color="auto" w:fill="auto"/>
            <w:noWrap/>
            <w:vAlign w:val="bottom"/>
            <w:hideMark/>
          </w:tcPr>
          <w:p w14:paraId="24D663A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4FBB00F9"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5421267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nil"/>
              <w:right w:val="nil"/>
            </w:tcBorders>
            <w:shd w:val="clear" w:color="auto" w:fill="auto"/>
            <w:noWrap/>
            <w:vAlign w:val="bottom"/>
            <w:hideMark/>
          </w:tcPr>
          <w:p w14:paraId="16CDDDE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72C5C61E"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284E74B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64E1830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3A6B7902"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480E0BA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71" w:type="pct"/>
            <w:tcBorders>
              <w:top w:val="nil"/>
              <w:left w:val="nil"/>
              <w:bottom w:val="nil"/>
              <w:right w:val="nil"/>
            </w:tcBorders>
            <w:shd w:val="clear" w:color="auto" w:fill="auto"/>
            <w:noWrap/>
            <w:vAlign w:val="bottom"/>
            <w:hideMark/>
          </w:tcPr>
          <w:p w14:paraId="5DE2F6C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nil"/>
              <w:right w:val="nil"/>
            </w:tcBorders>
            <w:shd w:val="clear" w:color="auto" w:fill="auto"/>
            <w:noWrap/>
            <w:vAlign w:val="bottom"/>
            <w:hideMark/>
          </w:tcPr>
          <w:p w14:paraId="67218DE6"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0D4DA27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52" w:type="pct"/>
            <w:tcBorders>
              <w:top w:val="nil"/>
              <w:left w:val="nil"/>
              <w:bottom w:val="nil"/>
              <w:right w:val="nil"/>
            </w:tcBorders>
            <w:shd w:val="clear" w:color="auto" w:fill="auto"/>
            <w:noWrap/>
            <w:vAlign w:val="bottom"/>
            <w:hideMark/>
          </w:tcPr>
          <w:p w14:paraId="765DCCD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nil"/>
              <w:right w:val="nil"/>
            </w:tcBorders>
            <w:shd w:val="clear" w:color="auto" w:fill="auto"/>
            <w:noWrap/>
            <w:vAlign w:val="bottom"/>
            <w:hideMark/>
          </w:tcPr>
          <w:p w14:paraId="07888E15"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1CBF68D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144" w:type="pct"/>
            <w:tcBorders>
              <w:top w:val="nil"/>
              <w:left w:val="nil"/>
              <w:bottom w:val="nil"/>
              <w:right w:val="nil"/>
            </w:tcBorders>
            <w:shd w:val="clear" w:color="auto" w:fill="auto"/>
            <w:noWrap/>
            <w:vAlign w:val="bottom"/>
            <w:hideMark/>
          </w:tcPr>
          <w:p w14:paraId="7624BB5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r>
      <w:tr w:rsidR="00855702" w:rsidRPr="00855702" w14:paraId="3828A05E" w14:textId="77777777" w:rsidTr="00D247B7">
        <w:trPr>
          <w:trHeight w:val="240"/>
        </w:trPr>
        <w:tc>
          <w:tcPr>
            <w:tcW w:w="252" w:type="pct"/>
            <w:tcBorders>
              <w:top w:val="nil"/>
              <w:left w:val="nil"/>
              <w:bottom w:val="nil"/>
              <w:right w:val="nil"/>
            </w:tcBorders>
            <w:shd w:val="clear" w:color="auto" w:fill="auto"/>
            <w:noWrap/>
            <w:vAlign w:val="center"/>
            <w:hideMark/>
          </w:tcPr>
          <w:p w14:paraId="36EE2E2C"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Total</w:t>
            </w:r>
          </w:p>
        </w:tc>
        <w:tc>
          <w:tcPr>
            <w:tcW w:w="313" w:type="pct"/>
            <w:tcBorders>
              <w:top w:val="nil"/>
              <w:left w:val="nil"/>
              <w:bottom w:val="nil"/>
              <w:right w:val="nil"/>
            </w:tcBorders>
            <w:shd w:val="clear" w:color="auto" w:fill="auto"/>
            <w:noWrap/>
            <w:vAlign w:val="bottom"/>
            <w:hideMark/>
          </w:tcPr>
          <w:p w14:paraId="6A6E15B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100.6</w:t>
            </w:r>
          </w:p>
        </w:tc>
        <w:tc>
          <w:tcPr>
            <w:tcW w:w="152" w:type="pct"/>
            <w:tcBorders>
              <w:top w:val="nil"/>
              <w:left w:val="nil"/>
              <w:bottom w:val="nil"/>
              <w:right w:val="nil"/>
            </w:tcBorders>
            <w:shd w:val="clear" w:color="auto" w:fill="auto"/>
            <w:noWrap/>
            <w:vAlign w:val="bottom"/>
            <w:hideMark/>
          </w:tcPr>
          <w:p w14:paraId="1C42FAA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c>
          <w:tcPr>
            <w:tcW w:w="71" w:type="pct"/>
            <w:tcBorders>
              <w:top w:val="nil"/>
              <w:left w:val="nil"/>
              <w:bottom w:val="nil"/>
              <w:right w:val="nil"/>
            </w:tcBorders>
            <w:shd w:val="clear" w:color="auto" w:fill="auto"/>
            <w:noWrap/>
            <w:vAlign w:val="bottom"/>
            <w:hideMark/>
          </w:tcPr>
          <w:p w14:paraId="50957F00"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123609A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100.5</w:t>
            </w:r>
          </w:p>
        </w:tc>
        <w:tc>
          <w:tcPr>
            <w:tcW w:w="152" w:type="pct"/>
            <w:tcBorders>
              <w:top w:val="nil"/>
              <w:left w:val="nil"/>
              <w:bottom w:val="nil"/>
              <w:right w:val="nil"/>
            </w:tcBorders>
            <w:shd w:val="clear" w:color="auto" w:fill="auto"/>
            <w:noWrap/>
            <w:vAlign w:val="bottom"/>
            <w:hideMark/>
          </w:tcPr>
          <w:p w14:paraId="3E1D1FA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0.9</w:t>
            </w:r>
          </w:p>
        </w:tc>
        <w:tc>
          <w:tcPr>
            <w:tcW w:w="71" w:type="pct"/>
            <w:tcBorders>
              <w:top w:val="nil"/>
              <w:left w:val="nil"/>
              <w:bottom w:val="nil"/>
              <w:right w:val="nil"/>
            </w:tcBorders>
            <w:shd w:val="clear" w:color="auto" w:fill="auto"/>
            <w:noWrap/>
            <w:vAlign w:val="bottom"/>
            <w:hideMark/>
          </w:tcPr>
          <w:p w14:paraId="7E5487FB"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0BF1B67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100.0</w:t>
            </w:r>
          </w:p>
        </w:tc>
        <w:tc>
          <w:tcPr>
            <w:tcW w:w="152" w:type="pct"/>
            <w:tcBorders>
              <w:top w:val="nil"/>
              <w:left w:val="nil"/>
              <w:bottom w:val="nil"/>
              <w:right w:val="nil"/>
            </w:tcBorders>
            <w:shd w:val="clear" w:color="auto" w:fill="auto"/>
            <w:noWrap/>
            <w:vAlign w:val="bottom"/>
            <w:hideMark/>
          </w:tcPr>
          <w:p w14:paraId="52F2176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0.9</w:t>
            </w:r>
          </w:p>
        </w:tc>
        <w:tc>
          <w:tcPr>
            <w:tcW w:w="71" w:type="pct"/>
            <w:tcBorders>
              <w:top w:val="nil"/>
              <w:left w:val="nil"/>
              <w:bottom w:val="nil"/>
              <w:right w:val="nil"/>
            </w:tcBorders>
            <w:shd w:val="clear" w:color="auto" w:fill="auto"/>
            <w:noWrap/>
            <w:vAlign w:val="bottom"/>
            <w:hideMark/>
          </w:tcPr>
          <w:p w14:paraId="2C787CEC"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255D2D8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100.7</w:t>
            </w:r>
          </w:p>
        </w:tc>
        <w:tc>
          <w:tcPr>
            <w:tcW w:w="171" w:type="pct"/>
            <w:tcBorders>
              <w:top w:val="nil"/>
              <w:left w:val="nil"/>
              <w:bottom w:val="nil"/>
              <w:right w:val="nil"/>
            </w:tcBorders>
            <w:shd w:val="clear" w:color="auto" w:fill="auto"/>
            <w:noWrap/>
            <w:vAlign w:val="bottom"/>
            <w:hideMark/>
          </w:tcPr>
          <w:p w14:paraId="02A9161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0.7</w:t>
            </w:r>
          </w:p>
        </w:tc>
        <w:tc>
          <w:tcPr>
            <w:tcW w:w="71" w:type="pct"/>
            <w:tcBorders>
              <w:top w:val="nil"/>
              <w:left w:val="nil"/>
              <w:bottom w:val="nil"/>
              <w:right w:val="nil"/>
            </w:tcBorders>
            <w:shd w:val="clear" w:color="auto" w:fill="auto"/>
            <w:noWrap/>
            <w:vAlign w:val="bottom"/>
            <w:hideMark/>
          </w:tcPr>
          <w:p w14:paraId="2BC18670"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3A4F49D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99.5</w:t>
            </w:r>
          </w:p>
        </w:tc>
        <w:tc>
          <w:tcPr>
            <w:tcW w:w="152" w:type="pct"/>
            <w:tcBorders>
              <w:top w:val="nil"/>
              <w:left w:val="nil"/>
              <w:bottom w:val="nil"/>
              <w:right w:val="nil"/>
            </w:tcBorders>
            <w:shd w:val="clear" w:color="auto" w:fill="auto"/>
            <w:noWrap/>
            <w:vAlign w:val="bottom"/>
            <w:hideMark/>
          </w:tcPr>
          <w:p w14:paraId="0ED15F3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0.4</w:t>
            </w:r>
          </w:p>
        </w:tc>
        <w:tc>
          <w:tcPr>
            <w:tcW w:w="71" w:type="pct"/>
            <w:tcBorders>
              <w:top w:val="nil"/>
              <w:left w:val="nil"/>
              <w:bottom w:val="nil"/>
              <w:right w:val="nil"/>
            </w:tcBorders>
            <w:shd w:val="clear" w:color="auto" w:fill="auto"/>
            <w:noWrap/>
            <w:vAlign w:val="bottom"/>
            <w:hideMark/>
          </w:tcPr>
          <w:p w14:paraId="113F19E7"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3CD160A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100.1</w:t>
            </w:r>
          </w:p>
        </w:tc>
        <w:tc>
          <w:tcPr>
            <w:tcW w:w="152" w:type="pct"/>
            <w:tcBorders>
              <w:top w:val="nil"/>
              <w:left w:val="nil"/>
              <w:bottom w:val="nil"/>
              <w:right w:val="nil"/>
            </w:tcBorders>
            <w:shd w:val="clear" w:color="auto" w:fill="auto"/>
            <w:noWrap/>
            <w:vAlign w:val="bottom"/>
            <w:hideMark/>
          </w:tcPr>
          <w:p w14:paraId="4774AC5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0.3</w:t>
            </w:r>
          </w:p>
        </w:tc>
        <w:tc>
          <w:tcPr>
            <w:tcW w:w="71" w:type="pct"/>
            <w:tcBorders>
              <w:top w:val="nil"/>
              <w:left w:val="nil"/>
              <w:bottom w:val="nil"/>
              <w:right w:val="nil"/>
            </w:tcBorders>
            <w:shd w:val="clear" w:color="auto" w:fill="auto"/>
            <w:noWrap/>
            <w:vAlign w:val="bottom"/>
            <w:hideMark/>
          </w:tcPr>
          <w:p w14:paraId="6203A997"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418E03F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100.2</w:t>
            </w:r>
          </w:p>
        </w:tc>
        <w:tc>
          <w:tcPr>
            <w:tcW w:w="171" w:type="pct"/>
            <w:tcBorders>
              <w:top w:val="nil"/>
              <w:left w:val="nil"/>
              <w:bottom w:val="nil"/>
              <w:right w:val="nil"/>
            </w:tcBorders>
            <w:shd w:val="clear" w:color="auto" w:fill="auto"/>
            <w:noWrap/>
            <w:vAlign w:val="bottom"/>
            <w:hideMark/>
          </w:tcPr>
          <w:p w14:paraId="003AC2B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0.5</w:t>
            </w:r>
          </w:p>
        </w:tc>
        <w:tc>
          <w:tcPr>
            <w:tcW w:w="71" w:type="pct"/>
            <w:tcBorders>
              <w:top w:val="nil"/>
              <w:left w:val="nil"/>
              <w:bottom w:val="nil"/>
              <w:right w:val="nil"/>
            </w:tcBorders>
            <w:shd w:val="clear" w:color="auto" w:fill="auto"/>
            <w:noWrap/>
            <w:vAlign w:val="bottom"/>
            <w:hideMark/>
          </w:tcPr>
          <w:p w14:paraId="694DCCB6"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68B34C3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100.3</w:t>
            </w:r>
          </w:p>
        </w:tc>
        <w:tc>
          <w:tcPr>
            <w:tcW w:w="152" w:type="pct"/>
            <w:tcBorders>
              <w:top w:val="nil"/>
              <w:left w:val="nil"/>
              <w:bottom w:val="nil"/>
              <w:right w:val="nil"/>
            </w:tcBorders>
            <w:shd w:val="clear" w:color="auto" w:fill="auto"/>
            <w:noWrap/>
            <w:vAlign w:val="bottom"/>
            <w:hideMark/>
          </w:tcPr>
          <w:p w14:paraId="417FCA0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0.7</w:t>
            </w:r>
          </w:p>
        </w:tc>
        <w:tc>
          <w:tcPr>
            <w:tcW w:w="71" w:type="pct"/>
            <w:tcBorders>
              <w:top w:val="nil"/>
              <w:left w:val="nil"/>
              <w:bottom w:val="nil"/>
              <w:right w:val="nil"/>
            </w:tcBorders>
            <w:shd w:val="clear" w:color="auto" w:fill="auto"/>
            <w:noWrap/>
            <w:vAlign w:val="bottom"/>
            <w:hideMark/>
          </w:tcPr>
          <w:p w14:paraId="5E752AAE"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4FF3366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100.7</w:t>
            </w:r>
          </w:p>
        </w:tc>
        <w:tc>
          <w:tcPr>
            <w:tcW w:w="144" w:type="pct"/>
            <w:tcBorders>
              <w:top w:val="nil"/>
              <w:left w:val="nil"/>
              <w:bottom w:val="nil"/>
              <w:right w:val="nil"/>
            </w:tcBorders>
            <w:shd w:val="clear" w:color="auto" w:fill="auto"/>
            <w:noWrap/>
            <w:vAlign w:val="bottom"/>
            <w:hideMark/>
          </w:tcPr>
          <w:p w14:paraId="407A8AB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0.6</w:t>
            </w:r>
          </w:p>
        </w:tc>
      </w:tr>
      <w:tr w:rsidR="00855702" w:rsidRPr="00855702" w14:paraId="24E97684" w14:textId="77777777" w:rsidTr="00D247B7">
        <w:trPr>
          <w:trHeight w:val="240"/>
        </w:trPr>
        <w:tc>
          <w:tcPr>
            <w:tcW w:w="252" w:type="pct"/>
            <w:tcBorders>
              <w:top w:val="nil"/>
              <w:left w:val="nil"/>
              <w:bottom w:val="nil"/>
              <w:right w:val="nil"/>
            </w:tcBorders>
            <w:shd w:val="clear" w:color="auto" w:fill="auto"/>
            <w:noWrap/>
            <w:vAlign w:val="center"/>
            <w:hideMark/>
          </w:tcPr>
          <w:p w14:paraId="099D02BB"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Ab %</w:t>
            </w:r>
          </w:p>
        </w:tc>
        <w:tc>
          <w:tcPr>
            <w:tcW w:w="313" w:type="pct"/>
            <w:tcBorders>
              <w:top w:val="nil"/>
              <w:left w:val="nil"/>
              <w:bottom w:val="nil"/>
              <w:right w:val="nil"/>
            </w:tcBorders>
            <w:shd w:val="clear" w:color="auto" w:fill="auto"/>
            <w:noWrap/>
            <w:vAlign w:val="bottom"/>
            <w:hideMark/>
          </w:tcPr>
          <w:p w14:paraId="677E657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41.1</w:t>
            </w:r>
          </w:p>
        </w:tc>
        <w:tc>
          <w:tcPr>
            <w:tcW w:w="152" w:type="pct"/>
            <w:tcBorders>
              <w:top w:val="nil"/>
              <w:left w:val="nil"/>
              <w:bottom w:val="nil"/>
              <w:right w:val="nil"/>
            </w:tcBorders>
            <w:shd w:val="clear" w:color="auto" w:fill="auto"/>
            <w:noWrap/>
            <w:vAlign w:val="bottom"/>
            <w:hideMark/>
          </w:tcPr>
          <w:p w14:paraId="7707ACD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3.3</w:t>
            </w:r>
          </w:p>
        </w:tc>
        <w:tc>
          <w:tcPr>
            <w:tcW w:w="71" w:type="pct"/>
            <w:tcBorders>
              <w:top w:val="nil"/>
              <w:left w:val="nil"/>
              <w:bottom w:val="nil"/>
              <w:right w:val="nil"/>
            </w:tcBorders>
            <w:shd w:val="clear" w:color="auto" w:fill="auto"/>
            <w:noWrap/>
            <w:vAlign w:val="bottom"/>
            <w:hideMark/>
          </w:tcPr>
          <w:p w14:paraId="7C7FBFA6"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4BE83F0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12.7</w:t>
            </w:r>
          </w:p>
        </w:tc>
        <w:tc>
          <w:tcPr>
            <w:tcW w:w="152" w:type="pct"/>
            <w:tcBorders>
              <w:top w:val="nil"/>
              <w:left w:val="nil"/>
              <w:bottom w:val="nil"/>
              <w:right w:val="nil"/>
            </w:tcBorders>
            <w:shd w:val="clear" w:color="auto" w:fill="auto"/>
            <w:noWrap/>
            <w:vAlign w:val="bottom"/>
            <w:hideMark/>
          </w:tcPr>
          <w:p w14:paraId="27C62BB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6.4</w:t>
            </w:r>
          </w:p>
        </w:tc>
        <w:tc>
          <w:tcPr>
            <w:tcW w:w="71" w:type="pct"/>
            <w:tcBorders>
              <w:top w:val="nil"/>
              <w:left w:val="nil"/>
              <w:bottom w:val="nil"/>
              <w:right w:val="nil"/>
            </w:tcBorders>
            <w:shd w:val="clear" w:color="auto" w:fill="auto"/>
            <w:noWrap/>
            <w:vAlign w:val="bottom"/>
            <w:hideMark/>
          </w:tcPr>
          <w:p w14:paraId="7888965F"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2AFDBAD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24.1</w:t>
            </w:r>
          </w:p>
        </w:tc>
        <w:tc>
          <w:tcPr>
            <w:tcW w:w="152" w:type="pct"/>
            <w:tcBorders>
              <w:top w:val="nil"/>
              <w:left w:val="nil"/>
              <w:bottom w:val="nil"/>
              <w:right w:val="nil"/>
            </w:tcBorders>
            <w:shd w:val="clear" w:color="auto" w:fill="auto"/>
            <w:noWrap/>
            <w:vAlign w:val="bottom"/>
            <w:hideMark/>
          </w:tcPr>
          <w:p w14:paraId="62F68FF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7.3</w:t>
            </w:r>
          </w:p>
        </w:tc>
        <w:tc>
          <w:tcPr>
            <w:tcW w:w="71" w:type="pct"/>
            <w:tcBorders>
              <w:top w:val="nil"/>
              <w:left w:val="nil"/>
              <w:bottom w:val="nil"/>
              <w:right w:val="nil"/>
            </w:tcBorders>
            <w:shd w:val="clear" w:color="auto" w:fill="auto"/>
            <w:noWrap/>
            <w:vAlign w:val="bottom"/>
            <w:hideMark/>
          </w:tcPr>
          <w:p w14:paraId="27FDF536"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54B4E37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37.2</w:t>
            </w:r>
          </w:p>
        </w:tc>
        <w:tc>
          <w:tcPr>
            <w:tcW w:w="171" w:type="pct"/>
            <w:tcBorders>
              <w:top w:val="nil"/>
              <w:left w:val="nil"/>
              <w:bottom w:val="nil"/>
              <w:right w:val="nil"/>
            </w:tcBorders>
            <w:shd w:val="clear" w:color="auto" w:fill="auto"/>
            <w:noWrap/>
            <w:vAlign w:val="bottom"/>
            <w:hideMark/>
          </w:tcPr>
          <w:p w14:paraId="3A875E0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1.1</w:t>
            </w:r>
          </w:p>
        </w:tc>
        <w:tc>
          <w:tcPr>
            <w:tcW w:w="71" w:type="pct"/>
            <w:tcBorders>
              <w:top w:val="nil"/>
              <w:left w:val="nil"/>
              <w:bottom w:val="nil"/>
              <w:right w:val="nil"/>
            </w:tcBorders>
            <w:shd w:val="clear" w:color="auto" w:fill="auto"/>
            <w:noWrap/>
            <w:vAlign w:val="bottom"/>
            <w:hideMark/>
          </w:tcPr>
          <w:p w14:paraId="762F919A"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19F1B75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18.7</w:t>
            </w:r>
          </w:p>
        </w:tc>
        <w:tc>
          <w:tcPr>
            <w:tcW w:w="152" w:type="pct"/>
            <w:tcBorders>
              <w:top w:val="nil"/>
              <w:left w:val="nil"/>
              <w:bottom w:val="nil"/>
              <w:right w:val="nil"/>
            </w:tcBorders>
            <w:shd w:val="clear" w:color="auto" w:fill="auto"/>
            <w:noWrap/>
            <w:vAlign w:val="bottom"/>
            <w:hideMark/>
          </w:tcPr>
          <w:p w14:paraId="6913116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2.5</w:t>
            </w:r>
          </w:p>
        </w:tc>
        <w:tc>
          <w:tcPr>
            <w:tcW w:w="71" w:type="pct"/>
            <w:tcBorders>
              <w:top w:val="nil"/>
              <w:left w:val="nil"/>
              <w:bottom w:val="nil"/>
              <w:right w:val="nil"/>
            </w:tcBorders>
            <w:shd w:val="clear" w:color="auto" w:fill="auto"/>
            <w:noWrap/>
            <w:vAlign w:val="bottom"/>
            <w:hideMark/>
          </w:tcPr>
          <w:p w14:paraId="1B901209"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0110A6C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30.3</w:t>
            </w:r>
          </w:p>
        </w:tc>
        <w:tc>
          <w:tcPr>
            <w:tcW w:w="152" w:type="pct"/>
            <w:tcBorders>
              <w:top w:val="nil"/>
              <w:left w:val="nil"/>
              <w:bottom w:val="nil"/>
              <w:right w:val="nil"/>
            </w:tcBorders>
            <w:shd w:val="clear" w:color="auto" w:fill="auto"/>
            <w:noWrap/>
            <w:vAlign w:val="bottom"/>
            <w:hideMark/>
          </w:tcPr>
          <w:p w14:paraId="76DB136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3.8</w:t>
            </w:r>
          </w:p>
        </w:tc>
        <w:tc>
          <w:tcPr>
            <w:tcW w:w="71" w:type="pct"/>
            <w:tcBorders>
              <w:top w:val="nil"/>
              <w:left w:val="nil"/>
              <w:bottom w:val="nil"/>
              <w:right w:val="nil"/>
            </w:tcBorders>
            <w:shd w:val="clear" w:color="auto" w:fill="auto"/>
            <w:noWrap/>
            <w:vAlign w:val="bottom"/>
            <w:hideMark/>
          </w:tcPr>
          <w:p w14:paraId="4D837071"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467D7C5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10.9</w:t>
            </w:r>
          </w:p>
        </w:tc>
        <w:tc>
          <w:tcPr>
            <w:tcW w:w="171" w:type="pct"/>
            <w:tcBorders>
              <w:top w:val="nil"/>
              <w:left w:val="nil"/>
              <w:bottom w:val="nil"/>
              <w:right w:val="nil"/>
            </w:tcBorders>
            <w:shd w:val="clear" w:color="auto" w:fill="auto"/>
            <w:noWrap/>
            <w:vAlign w:val="bottom"/>
            <w:hideMark/>
          </w:tcPr>
          <w:p w14:paraId="5717CE8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2.0</w:t>
            </w:r>
          </w:p>
        </w:tc>
        <w:tc>
          <w:tcPr>
            <w:tcW w:w="71" w:type="pct"/>
            <w:tcBorders>
              <w:top w:val="nil"/>
              <w:left w:val="nil"/>
              <w:bottom w:val="nil"/>
              <w:right w:val="nil"/>
            </w:tcBorders>
            <w:shd w:val="clear" w:color="auto" w:fill="auto"/>
            <w:noWrap/>
            <w:vAlign w:val="bottom"/>
            <w:hideMark/>
          </w:tcPr>
          <w:p w14:paraId="475BD2DC"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28B5216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31.6</w:t>
            </w:r>
          </w:p>
        </w:tc>
        <w:tc>
          <w:tcPr>
            <w:tcW w:w="152" w:type="pct"/>
            <w:tcBorders>
              <w:top w:val="nil"/>
              <w:left w:val="nil"/>
              <w:bottom w:val="nil"/>
              <w:right w:val="nil"/>
            </w:tcBorders>
            <w:shd w:val="clear" w:color="auto" w:fill="auto"/>
            <w:noWrap/>
            <w:vAlign w:val="bottom"/>
            <w:hideMark/>
          </w:tcPr>
          <w:p w14:paraId="47CE6FD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1.9</w:t>
            </w:r>
          </w:p>
        </w:tc>
        <w:tc>
          <w:tcPr>
            <w:tcW w:w="71" w:type="pct"/>
            <w:tcBorders>
              <w:top w:val="nil"/>
              <w:left w:val="nil"/>
              <w:bottom w:val="nil"/>
              <w:right w:val="nil"/>
            </w:tcBorders>
            <w:shd w:val="clear" w:color="auto" w:fill="auto"/>
            <w:noWrap/>
            <w:vAlign w:val="bottom"/>
            <w:hideMark/>
          </w:tcPr>
          <w:p w14:paraId="55A455C7"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1C7B9D9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18.2</w:t>
            </w:r>
          </w:p>
        </w:tc>
        <w:tc>
          <w:tcPr>
            <w:tcW w:w="144" w:type="pct"/>
            <w:tcBorders>
              <w:top w:val="nil"/>
              <w:left w:val="nil"/>
              <w:bottom w:val="nil"/>
              <w:right w:val="nil"/>
            </w:tcBorders>
            <w:shd w:val="clear" w:color="auto" w:fill="auto"/>
            <w:noWrap/>
            <w:vAlign w:val="bottom"/>
            <w:hideMark/>
          </w:tcPr>
          <w:p w14:paraId="4D5A869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1.6</w:t>
            </w:r>
          </w:p>
        </w:tc>
      </w:tr>
      <w:tr w:rsidR="00855702" w:rsidRPr="00855702" w14:paraId="6CAD02DE" w14:textId="77777777" w:rsidTr="00D247B7">
        <w:trPr>
          <w:trHeight w:val="240"/>
        </w:trPr>
        <w:tc>
          <w:tcPr>
            <w:tcW w:w="252" w:type="pct"/>
            <w:tcBorders>
              <w:top w:val="nil"/>
              <w:left w:val="nil"/>
              <w:bottom w:val="nil"/>
              <w:right w:val="nil"/>
            </w:tcBorders>
            <w:shd w:val="clear" w:color="auto" w:fill="auto"/>
            <w:noWrap/>
            <w:vAlign w:val="center"/>
            <w:hideMark/>
          </w:tcPr>
          <w:p w14:paraId="2B7479E0"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An %</w:t>
            </w:r>
          </w:p>
        </w:tc>
        <w:tc>
          <w:tcPr>
            <w:tcW w:w="313" w:type="pct"/>
            <w:tcBorders>
              <w:top w:val="nil"/>
              <w:left w:val="nil"/>
              <w:bottom w:val="nil"/>
              <w:right w:val="nil"/>
            </w:tcBorders>
            <w:shd w:val="clear" w:color="auto" w:fill="auto"/>
            <w:noWrap/>
            <w:vAlign w:val="bottom"/>
            <w:hideMark/>
          </w:tcPr>
          <w:p w14:paraId="2E744AA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58.8</w:t>
            </w:r>
          </w:p>
        </w:tc>
        <w:tc>
          <w:tcPr>
            <w:tcW w:w="152" w:type="pct"/>
            <w:tcBorders>
              <w:top w:val="nil"/>
              <w:left w:val="nil"/>
              <w:bottom w:val="nil"/>
              <w:right w:val="nil"/>
            </w:tcBorders>
            <w:shd w:val="clear" w:color="auto" w:fill="auto"/>
            <w:noWrap/>
            <w:vAlign w:val="bottom"/>
            <w:hideMark/>
          </w:tcPr>
          <w:p w14:paraId="3E6014E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3.4</w:t>
            </w:r>
          </w:p>
        </w:tc>
        <w:tc>
          <w:tcPr>
            <w:tcW w:w="71" w:type="pct"/>
            <w:tcBorders>
              <w:top w:val="nil"/>
              <w:left w:val="nil"/>
              <w:bottom w:val="nil"/>
              <w:right w:val="nil"/>
            </w:tcBorders>
            <w:shd w:val="clear" w:color="auto" w:fill="auto"/>
            <w:noWrap/>
            <w:vAlign w:val="bottom"/>
            <w:hideMark/>
          </w:tcPr>
          <w:p w14:paraId="070E928D"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5518DA47"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87.3</w:t>
            </w:r>
          </w:p>
        </w:tc>
        <w:tc>
          <w:tcPr>
            <w:tcW w:w="152" w:type="pct"/>
            <w:tcBorders>
              <w:top w:val="nil"/>
              <w:left w:val="nil"/>
              <w:bottom w:val="nil"/>
              <w:right w:val="nil"/>
            </w:tcBorders>
            <w:shd w:val="clear" w:color="auto" w:fill="auto"/>
            <w:noWrap/>
            <w:vAlign w:val="bottom"/>
            <w:hideMark/>
          </w:tcPr>
          <w:p w14:paraId="357AB25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6.4</w:t>
            </w:r>
          </w:p>
        </w:tc>
        <w:tc>
          <w:tcPr>
            <w:tcW w:w="71" w:type="pct"/>
            <w:tcBorders>
              <w:top w:val="nil"/>
              <w:left w:val="nil"/>
              <w:bottom w:val="nil"/>
              <w:right w:val="nil"/>
            </w:tcBorders>
            <w:shd w:val="clear" w:color="auto" w:fill="auto"/>
            <w:noWrap/>
            <w:vAlign w:val="bottom"/>
            <w:hideMark/>
          </w:tcPr>
          <w:p w14:paraId="3F1826DE" w14:textId="77777777" w:rsidR="00855702" w:rsidRPr="00855702" w:rsidRDefault="00855702" w:rsidP="00855702">
            <w:pPr>
              <w:jc w:val="center"/>
              <w:rPr>
                <w:rFonts w:eastAsia="Times New Roman"/>
                <w:color w:val="000000"/>
                <w:sz w:val="18"/>
                <w:szCs w:val="18"/>
                <w:lang w:val="fr-FR" w:eastAsia="fr-FR"/>
              </w:rPr>
            </w:pPr>
          </w:p>
        </w:tc>
        <w:tc>
          <w:tcPr>
            <w:tcW w:w="313" w:type="pct"/>
            <w:tcBorders>
              <w:top w:val="nil"/>
              <w:left w:val="nil"/>
              <w:bottom w:val="nil"/>
              <w:right w:val="nil"/>
            </w:tcBorders>
            <w:shd w:val="clear" w:color="auto" w:fill="auto"/>
            <w:noWrap/>
            <w:vAlign w:val="bottom"/>
            <w:hideMark/>
          </w:tcPr>
          <w:p w14:paraId="1C97F12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75.8</w:t>
            </w:r>
          </w:p>
        </w:tc>
        <w:tc>
          <w:tcPr>
            <w:tcW w:w="152" w:type="pct"/>
            <w:tcBorders>
              <w:top w:val="nil"/>
              <w:left w:val="nil"/>
              <w:bottom w:val="nil"/>
              <w:right w:val="nil"/>
            </w:tcBorders>
            <w:shd w:val="clear" w:color="auto" w:fill="auto"/>
            <w:noWrap/>
            <w:vAlign w:val="bottom"/>
            <w:hideMark/>
          </w:tcPr>
          <w:p w14:paraId="0C0A811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7.3</w:t>
            </w:r>
          </w:p>
        </w:tc>
        <w:tc>
          <w:tcPr>
            <w:tcW w:w="71" w:type="pct"/>
            <w:tcBorders>
              <w:top w:val="nil"/>
              <w:left w:val="nil"/>
              <w:bottom w:val="nil"/>
              <w:right w:val="nil"/>
            </w:tcBorders>
            <w:shd w:val="clear" w:color="auto" w:fill="auto"/>
            <w:noWrap/>
            <w:vAlign w:val="bottom"/>
            <w:hideMark/>
          </w:tcPr>
          <w:p w14:paraId="0A06293E" w14:textId="77777777" w:rsidR="00855702" w:rsidRPr="00855702" w:rsidRDefault="00855702" w:rsidP="00855702">
            <w:pPr>
              <w:jc w:val="center"/>
              <w:rPr>
                <w:rFonts w:eastAsia="Times New Roman"/>
                <w:color w:val="000000"/>
                <w:sz w:val="18"/>
                <w:szCs w:val="18"/>
                <w:lang w:val="fr-FR" w:eastAsia="fr-FR"/>
              </w:rPr>
            </w:pPr>
          </w:p>
        </w:tc>
        <w:tc>
          <w:tcPr>
            <w:tcW w:w="294" w:type="pct"/>
            <w:tcBorders>
              <w:top w:val="nil"/>
              <w:left w:val="nil"/>
              <w:bottom w:val="nil"/>
              <w:right w:val="nil"/>
            </w:tcBorders>
            <w:shd w:val="clear" w:color="auto" w:fill="auto"/>
            <w:noWrap/>
            <w:vAlign w:val="bottom"/>
            <w:hideMark/>
          </w:tcPr>
          <w:p w14:paraId="2968EE9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62.6</w:t>
            </w:r>
          </w:p>
        </w:tc>
        <w:tc>
          <w:tcPr>
            <w:tcW w:w="171" w:type="pct"/>
            <w:tcBorders>
              <w:top w:val="nil"/>
              <w:left w:val="nil"/>
              <w:bottom w:val="nil"/>
              <w:right w:val="nil"/>
            </w:tcBorders>
            <w:shd w:val="clear" w:color="auto" w:fill="auto"/>
            <w:noWrap/>
            <w:vAlign w:val="bottom"/>
            <w:hideMark/>
          </w:tcPr>
          <w:p w14:paraId="3996D4A1"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1.0</w:t>
            </w:r>
          </w:p>
        </w:tc>
        <w:tc>
          <w:tcPr>
            <w:tcW w:w="71" w:type="pct"/>
            <w:tcBorders>
              <w:top w:val="nil"/>
              <w:left w:val="nil"/>
              <w:bottom w:val="nil"/>
              <w:right w:val="nil"/>
            </w:tcBorders>
            <w:shd w:val="clear" w:color="auto" w:fill="auto"/>
            <w:noWrap/>
            <w:vAlign w:val="bottom"/>
            <w:hideMark/>
          </w:tcPr>
          <w:p w14:paraId="6A67E4ED"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2EC63A0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81.3</w:t>
            </w:r>
          </w:p>
        </w:tc>
        <w:tc>
          <w:tcPr>
            <w:tcW w:w="152" w:type="pct"/>
            <w:tcBorders>
              <w:top w:val="nil"/>
              <w:left w:val="nil"/>
              <w:bottom w:val="nil"/>
              <w:right w:val="nil"/>
            </w:tcBorders>
            <w:shd w:val="clear" w:color="auto" w:fill="auto"/>
            <w:noWrap/>
            <w:vAlign w:val="bottom"/>
            <w:hideMark/>
          </w:tcPr>
          <w:p w14:paraId="05AD07E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2.5</w:t>
            </w:r>
          </w:p>
        </w:tc>
        <w:tc>
          <w:tcPr>
            <w:tcW w:w="71" w:type="pct"/>
            <w:tcBorders>
              <w:top w:val="nil"/>
              <w:left w:val="nil"/>
              <w:bottom w:val="nil"/>
              <w:right w:val="nil"/>
            </w:tcBorders>
            <w:shd w:val="clear" w:color="auto" w:fill="auto"/>
            <w:noWrap/>
            <w:vAlign w:val="bottom"/>
            <w:hideMark/>
          </w:tcPr>
          <w:p w14:paraId="5A149E80" w14:textId="77777777" w:rsidR="00855702" w:rsidRPr="00855702" w:rsidRDefault="00855702" w:rsidP="00855702">
            <w:pPr>
              <w:jc w:val="center"/>
              <w:rPr>
                <w:rFonts w:eastAsia="Times New Roman"/>
                <w:sz w:val="18"/>
                <w:szCs w:val="18"/>
                <w:lang w:val="fr-FR" w:eastAsia="fr-FR"/>
              </w:rPr>
            </w:pPr>
          </w:p>
        </w:tc>
        <w:tc>
          <w:tcPr>
            <w:tcW w:w="313" w:type="pct"/>
            <w:tcBorders>
              <w:top w:val="nil"/>
              <w:left w:val="nil"/>
              <w:bottom w:val="nil"/>
              <w:right w:val="nil"/>
            </w:tcBorders>
            <w:shd w:val="clear" w:color="auto" w:fill="auto"/>
            <w:noWrap/>
            <w:vAlign w:val="bottom"/>
            <w:hideMark/>
          </w:tcPr>
          <w:p w14:paraId="64118B2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69.6</w:t>
            </w:r>
          </w:p>
        </w:tc>
        <w:tc>
          <w:tcPr>
            <w:tcW w:w="152" w:type="pct"/>
            <w:tcBorders>
              <w:top w:val="nil"/>
              <w:left w:val="nil"/>
              <w:bottom w:val="nil"/>
              <w:right w:val="nil"/>
            </w:tcBorders>
            <w:shd w:val="clear" w:color="auto" w:fill="auto"/>
            <w:noWrap/>
            <w:vAlign w:val="bottom"/>
            <w:hideMark/>
          </w:tcPr>
          <w:p w14:paraId="10157F7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3.8</w:t>
            </w:r>
          </w:p>
        </w:tc>
        <w:tc>
          <w:tcPr>
            <w:tcW w:w="71" w:type="pct"/>
            <w:tcBorders>
              <w:top w:val="nil"/>
              <w:left w:val="nil"/>
              <w:bottom w:val="nil"/>
              <w:right w:val="nil"/>
            </w:tcBorders>
            <w:shd w:val="clear" w:color="auto" w:fill="auto"/>
            <w:noWrap/>
            <w:vAlign w:val="bottom"/>
            <w:hideMark/>
          </w:tcPr>
          <w:p w14:paraId="23C8AA17" w14:textId="77777777" w:rsidR="00855702" w:rsidRPr="00855702" w:rsidRDefault="00855702" w:rsidP="00855702">
            <w:pPr>
              <w:jc w:val="center"/>
              <w:rPr>
                <w:rFonts w:eastAsia="Times New Roman"/>
                <w:sz w:val="18"/>
                <w:szCs w:val="18"/>
                <w:lang w:val="fr-FR" w:eastAsia="fr-FR"/>
              </w:rPr>
            </w:pPr>
          </w:p>
        </w:tc>
        <w:tc>
          <w:tcPr>
            <w:tcW w:w="295" w:type="pct"/>
            <w:tcBorders>
              <w:top w:val="nil"/>
              <w:left w:val="nil"/>
              <w:bottom w:val="nil"/>
              <w:right w:val="nil"/>
            </w:tcBorders>
            <w:shd w:val="clear" w:color="auto" w:fill="auto"/>
            <w:noWrap/>
            <w:vAlign w:val="bottom"/>
            <w:hideMark/>
          </w:tcPr>
          <w:p w14:paraId="6431F95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89.1</w:t>
            </w:r>
          </w:p>
        </w:tc>
        <w:tc>
          <w:tcPr>
            <w:tcW w:w="171" w:type="pct"/>
            <w:tcBorders>
              <w:top w:val="nil"/>
              <w:left w:val="nil"/>
              <w:bottom w:val="nil"/>
              <w:right w:val="nil"/>
            </w:tcBorders>
            <w:shd w:val="clear" w:color="auto" w:fill="auto"/>
            <w:noWrap/>
            <w:vAlign w:val="bottom"/>
            <w:hideMark/>
          </w:tcPr>
          <w:p w14:paraId="6C3849C9"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2.0</w:t>
            </w:r>
          </w:p>
        </w:tc>
        <w:tc>
          <w:tcPr>
            <w:tcW w:w="71" w:type="pct"/>
            <w:tcBorders>
              <w:top w:val="nil"/>
              <w:left w:val="nil"/>
              <w:bottom w:val="nil"/>
              <w:right w:val="nil"/>
            </w:tcBorders>
            <w:shd w:val="clear" w:color="auto" w:fill="auto"/>
            <w:noWrap/>
            <w:vAlign w:val="bottom"/>
            <w:hideMark/>
          </w:tcPr>
          <w:p w14:paraId="46739E87"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5C957A4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68.4</w:t>
            </w:r>
          </w:p>
        </w:tc>
        <w:tc>
          <w:tcPr>
            <w:tcW w:w="152" w:type="pct"/>
            <w:tcBorders>
              <w:top w:val="nil"/>
              <w:left w:val="nil"/>
              <w:bottom w:val="nil"/>
              <w:right w:val="nil"/>
            </w:tcBorders>
            <w:shd w:val="clear" w:color="auto" w:fill="auto"/>
            <w:noWrap/>
            <w:vAlign w:val="bottom"/>
            <w:hideMark/>
          </w:tcPr>
          <w:p w14:paraId="6D8102C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1.9</w:t>
            </w:r>
          </w:p>
        </w:tc>
        <w:tc>
          <w:tcPr>
            <w:tcW w:w="71" w:type="pct"/>
            <w:tcBorders>
              <w:top w:val="nil"/>
              <w:left w:val="nil"/>
              <w:bottom w:val="nil"/>
              <w:right w:val="nil"/>
            </w:tcBorders>
            <w:shd w:val="clear" w:color="auto" w:fill="auto"/>
            <w:noWrap/>
            <w:vAlign w:val="bottom"/>
            <w:hideMark/>
          </w:tcPr>
          <w:p w14:paraId="09559333" w14:textId="77777777" w:rsidR="00855702" w:rsidRPr="00855702" w:rsidRDefault="00855702" w:rsidP="00855702">
            <w:pPr>
              <w:jc w:val="center"/>
              <w:rPr>
                <w:rFonts w:eastAsia="Times New Roman"/>
                <w:sz w:val="18"/>
                <w:szCs w:val="18"/>
                <w:lang w:val="fr-FR" w:eastAsia="fr-FR"/>
              </w:rPr>
            </w:pPr>
          </w:p>
        </w:tc>
        <w:tc>
          <w:tcPr>
            <w:tcW w:w="314" w:type="pct"/>
            <w:tcBorders>
              <w:top w:val="nil"/>
              <w:left w:val="nil"/>
              <w:bottom w:val="nil"/>
              <w:right w:val="nil"/>
            </w:tcBorders>
            <w:shd w:val="clear" w:color="auto" w:fill="auto"/>
            <w:noWrap/>
            <w:vAlign w:val="bottom"/>
            <w:hideMark/>
          </w:tcPr>
          <w:p w14:paraId="32FCB07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81.7</w:t>
            </w:r>
          </w:p>
        </w:tc>
        <w:tc>
          <w:tcPr>
            <w:tcW w:w="144" w:type="pct"/>
            <w:tcBorders>
              <w:top w:val="nil"/>
              <w:left w:val="nil"/>
              <w:bottom w:val="nil"/>
              <w:right w:val="nil"/>
            </w:tcBorders>
            <w:shd w:val="clear" w:color="auto" w:fill="auto"/>
            <w:noWrap/>
            <w:vAlign w:val="bottom"/>
            <w:hideMark/>
          </w:tcPr>
          <w:p w14:paraId="230AB42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1.6</w:t>
            </w:r>
          </w:p>
        </w:tc>
      </w:tr>
      <w:tr w:rsidR="00855702" w:rsidRPr="00855702" w14:paraId="67568D69" w14:textId="77777777" w:rsidTr="00D247B7">
        <w:trPr>
          <w:trHeight w:val="240"/>
        </w:trPr>
        <w:tc>
          <w:tcPr>
            <w:tcW w:w="252" w:type="pct"/>
            <w:tcBorders>
              <w:top w:val="nil"/>
              <w:left w:val="nil"/>
              <w:bottom w:val="single" w:sz="4" w:space="0" w:color="auto"/>
              <w:right w:val="nil"/>
            </w:tcBorders>
            <w:shd w:val="clear" w:color="auto" w:fill="auto"/>
            <w:noWrap/>
            <w:vAlign w:val="center"/>
            <w:hideMark/>
          </w:tcPr>
          <w:p w14:paraId="4453F748"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Or %</w:t>
            </w:r>
          </w:p>
        </w:tc>
        <w:tc>
          <w:tcPr>
            <w:tcW w:w="313" w:type="pct"/>
            <w:tcBorders>
              <w:top w:val="nil"/>
              <w:left w:val="nil"/>
              <w:bottom w:val="single" w:sz="4" w:space="0" w:color="auto"/>
              <w:right w:val="nil"/>
            </w:tcBorders>
            <w:shd w:val="clear" w:color="auto" w:fill="auto"/>
            <w:noWrap/>
            <w:vAlign w:val="bottom"/>
            <w:hideMark/>
          </w:tcPr>
          <w:p w14:paraId="6442701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single" w:sz="4" w:space="0" w:color="auto"/>
              <w:right w:val="nil"/>
            </w:tcBorders>
            <w:shd w:val="clear" w:color="auto" w:fill="auto"/>
            <w:noWrap/>
            <w:vAlign w:val="bottom"/>
            <w:hideMark/>
          </w:tcPr>
          <w:p w14:paraId="63D290D2"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single" w:sz="4" w:space="0" w:color="auto"/>
              <w:right w:val="nil"/>
            </w:tcBorders>
            <w:shd w:val="clear" w:color="auto" w:fill="auto"/>
            <w:noWrap/>
            <w:vAlign w:val="bottom"/>
            <w:hideMark/>
          </w:tcPr>
          <w:p w14:paraId="200AB52A"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313" w:type="pct"/>
            <w:tcBorders>
              <w:top w:val="nil"/>
              <w:left w:val="nil"/>
              <w:bottom w:val="single" w:sz="4" w:space="0" w:color="auto"/>
              <w:right w:val="nil"/>
            </w:tcBorders>
            <w:shd w:val="clear" w:color="auto" w:fill="auto"/>
            <w:noWrap/>
            <w:vAlign w:val="bottom"/>
            <w:hideMark/>
          </w:tcPr>
          <w:p w14:paraId="55D4BCC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single" w:sz="4" w:space="0" w:color="auto"/>
              <w:right w:val="nil"/>
            </w:tcBorders>
            <w:shd w:val="clear" w:color="auto" w:fill="auto"/>
            <w:noWrap/>
            <w:vAlign w:val="bottom"/>
            <w:hideMark/>
          </w:tcPr>
          <w:p w14:paraId="5D5C4603"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single" w:sz="4" w:space="0" w:color="auto"/>
              <w:right w:val="nil"/>
            </w:tcBorders>
            <w:shd w:val="clear" w:color="auto" w:fill="auto"/>
            <w:noWrap/>
            <w:vAlign w:val="bottom"/>
            <w:hideMark/>
          </w:tcPr>
          <w:p w14:paraId="37F6C1C0"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313" w:type="pct"/>
            <w:tcBorders>
              <w:top w:val="nil"/>
              <w:left w:val="nil"/>
              <w:bottom w:val="single" w:sz="4" w:space="0" w:color="auto"/>
              <w:right w:val="nil"/>
            </w:tcBorders>
            <w:shd w:val="clear" w:color="auto" w:fill="auto"/>
            <w:noWrap/>
            <w:vAlign w:val="bottom"/>
            <w:hideMark/>
          </w:tcPr>
          <w:p w14:paraId="1073A25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single" w:sz="4" w:space="0" w:color="auto"/>
              <w:right w:val="nil"/>
            </w:tcBorders>
            <w:shd w:val="clear" w:color="auto" w:fill="auto"/>
            <w:noWrap/>
            <w:vAlign w:val="bottom"/>
            <w:hideMark/>
          </w:tcPr>
          <w:p w14:paraId="3F28ABCB"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single" w:sz="4" w:space="0" w:color="auto"/>
              <w:right w:val="nil"/>
            </w:tcBorders>
            <w:shd w:val="clear" w:color="auto" w:fill="auto"/>
            <w:noWrap/>
            <w:vAlign w:val="bottom"/>
            <w:hideMark/>
          </w:tcPr>
          <w:p w14:paraId="165354B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 </w:t>
            </w:r>
          </w:p>
        </w:tc>
        <w:tc>
          <w:tcPr>
            <w:tcW w:w="294" w:type="pct"/>
            <w:tcBorders>
              <w:top w:val="nil"/>
              <w:left w:val="nil"/>
              <w:bottom w:val="single" w:sz="4" w:space="0" w:color="auto"/>
              <w:right w:val="nil"/>
            </w:tcBorders>
            <w:shd w:val="clear" w:color="auto" w:fill="auto"/>
            <w:noWrap/>
            <w:vAlign w:val="bottom"/>
            <w:hideMark/>
          </w:tcPr>
          <w:p w14:paraId="15E53B9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0.2</w:t>
            </w:r>
          </w:p>
        </w:tc>
        <w:tc>
          <w:tcPr>
            <w:tcW w:w="171" w:type="pct"/>
            <w:tcBorders>
              <w:top w:val="nil"/>
              <w:left w:val="nil"/>
              <w:bottom w:val="single" w:sz="4" w:space="0" w:color="auto"/>
              <w:right w:val="nil"/>
            </w:tcBorders>
            <w:shd w:val="clear" w:color="auto" w:fill="auto"/>
            <w:noWrap/>
            <w:vAlign w:val="bottom"/>
            <w:hideMark/>
          </w:tcPr>
          <w:p w14:paraId="162B93D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0.0</w:t>
            </w:r>
          </w:p>
        </w:tc>
        <w:tc>
          <w:tcPr>
            <w:tcW w:w="71" w:type="pct"/>
            <w:tcBorders>
              <w:top w:val="nil"/>
              <w:left w:val="nil"/>
              <w:bottom w:val="single" w:sz="4" w:space="0" w:color="auto"/>
              <w:right w:val="nil"/>
            </w:tcBorders>
            <w:shd w:val="clear" w:color="auto" w:fill="auto"/>
            <w:noWrap/>
            <w:vAlign w:val="bottom"/>
            <w:hideMark/>
          </w:tcPr>
          <w:p w14:paraId="20D2F78C"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3" w:type="pct"/>
            <w:tcBorders>
              <w:top w:val="nil"/>
              <w:left w:val="nil"/>
              <w:bottom w:val="single" w:sz="4" w:space="0" w:color="auto"/>
              <w:right w:val="nil"/>
            </w:tcBorders>
            <w:shd w:val="clear" w:color="auto" w:fill="auto"/>
            <w:noWrap/>
            <w:vAlign w:val="bottom"/>
            <w:hideMark/>
          </w:tcPr>
          <w:p w14:paraId="586F6CE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single" w:sz="4" w:space="0" w:color="auto"/>
              <w:right w:val="nil"/>
            </w:tcBorders>
            <w:shd w:val="clear" w:color="auto" w:fill="auto"/>
            <w:noWrap/>
            <w:vAlign w:val="bottom"/>
            <w:hideMark/>
          </w:tcPr>
          <w:p w14:paraId="45B2D3B5"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single" w:sz="4" w:space="0" w:color="auto"/>
              <w:right w:val="nil"/>
            </w:tcBorders>
            <w:shd w:val="clear" w:color="auto" w:fill="auto"/>
            <w:noWrap/>
            <w:vAlign w:val="bottom"/>
            <w:hideMark/>
          </w:tcPr>
          <w:p w14:paraId="78709A25"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3" w:type="pct"/>
            <w:tcBorders>
              <w:top w:val="nil"/>
              <w:left w:val="nil"/>
              <w:bottom w:val="single" w:sz="4" w:space="0" w:color="auto"/>
              <w:right w:val="nil"/>
            </w:tcBorders>
            <w:shd w:val="clear" w:color="auto" w:fill="auto"/>
            <w:noWrap/>
            <w:vAlign w:val="bottom"/>
            <w:hideMark/>
          </w:tcPr>
          <w:p w14:paraId="12D68404"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single" w:sz="4" w:space="0" w:color="auto"/>
              <w:right w:val="nil"/>
            </w:tcBorders>
            <w:shd w:val="clear" w:color="auto" w:fill="auto"/>
            <w:noWrap/>
            <w:vAlign w:val="bottom"/>
            <w:hideMark/>
          </w:tcPr>
          <w:p w14:paraId="4A93499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single" w:sz="4" w:space="0" w:color="auto"/>
              <w:right w:val="nil"/>
            </w:tcBorders>
            <w:shd w:val="clear" w:color="auto" w:fill="auto"/>
            <w:noWrap/>
            <w:vAlign w:val="bottom"/>
            <w:hideMark/>
          </w:tcPr>
          <w:p w14:paraId="0F7C2D22"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295" w:type="pct"/>
            <w:tcBorders>
              <w:top w:val="nil"/>
              <w:left w:val="nil"/>
              <w:bottom w:val="single" w:sz="4" w:space="0" w:color="auto"/>
              <w:right w:val="nil"/>
            </w:tcBorders>
            <w:shd w:val="clear" w:color="auto" w:fill="auto"/>
            <w:noWrap/>
            <w:vAlign w:val="bottom"/>
            <w:hideMark/>
          </w:tcPr>
          <w:p w14:paraId="29DC390F"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71" w:type="pct"/>
            <w:tcBorders>
              <w:top w:val="nil"/>
              <w:left w:val="nil"/>
              <w:bottom w:val="single" w:sz="4" w:space="0" w:color="auto"/>
              <w:right w:val="nil"/>
            </w:tcBorders>
            <w:shd w:val="clear" w:color="auto" w:fill="auto"/>
            <w:noWrap/>
            <w:vAlign w:val="bottom"/>
            <w:hideMark/>
          </w:tcPr>
          <w:p w14:paraId="0085C7C6"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single" w:sz="4" w:space="0" w:color="auto"/>
              <w:right w:val="nil"/>
            </w:tcBorders>
            <w:shd w:val="clear" w:color="auto" w:fill="auto"/>
            <w:noWrap/>
            <w:vAlign w:val="bottom"/>
            <w:hideMark/>
          </w:tcPr>
          <w:p w14:paraId="274DA9CF"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4" w:type="pct"/>
            <w:tcBorders>
              <w:top w:val="nil"/>
              <w:left w:val="nil"/>
              <w:bottom w:val="single" w:sz="4" w:space="0" w:color="auto"/>
              <w:right w:val="nil"/>
            </w:tcBorders>
            <w:shd w:val="clear" w:color="auto" w:fill="auto"/>
            <w:noWrap/>
            <w:vAlign w:val="bottom"/>
            <w:hideMark/>
          </w:tcPr>
          <w:p w14:paraId="69782A7D"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52" w:type="pct"/>
            <w:tcBorders>
              <w:top w:val="nil"/>
              <w:left w:val="nil"/>
              <w:bottom w:val="single" w:sz="4" w:space="0" w:color="auto"/>
              <w:right w:val="nil"/>
            </w:tcBorders>
            <w:shd w:val="clear" w:color="auto" w:fill="auto"/>
            <w:noWrap/>
            <w:vAlign w:val="bottom"/>
            <w:hideMark/>
          </w:tcPr>
          <w:p w14:paraId="4202DCE8"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71" w:type="pct"/>
            <w:tcBorders>
              <w:top w:val="nil"/>
              <w:left w:val="nil"/>
              <w:bottom w:val="single" w:sz="4" w:space="0" w:color="auto"/>
              <w:right w:val="nil"/>
            </w:tcBorders>
            <w:shd w:val="clear" w:color="auto" w:fill="auto"/>
            <w:noWrap/>
            <w:vAlign w:val="bottom"/>
            <w:hideMark/>
          </w:tcPr>
          <w:p w14:paraId="02E18A33" w14:textId="77777777" w:rsidR="00855702" w:rsidRPr="00855702" w:rsidRDefault="00855702" w:rsidP="00855702">
            <w:pPr>
              <w:jc w:val="center"/>
              <w:rPr>
                <w:rFonts w:eastAsia="Times New Roman"/>
                <w:sz w:val="18"/>
                <w:szCs w:val="18"/>
                <w:lang w:val="fr-FR" w:eastAsia="fr-FR"/>
              </w:rPr>
            </w:pPr>
            <w:r w:rsidRPr="00855702">
              <w:rPr>
                <w:rFonts w:eastAsia="Times New Roman"/>
                <w:sz w:val="18"/>
                <w:szCs w:val="18"/>
                <w:lang w:val="fr-FR" w:eastAsia="fr-FR"/>
              </w:rPr>
              <w:t> </w:t>
            </w:r>
          </w:p>
        </w:tc>
        <w:tc>
          <w:tcPr>
            <w:tcW w:w="314" w:type="pct"/>
            <w:tcBorders>
              <w:top w:val="nil"/>
              <w:left w:val="nil"/>
              <w:bottom w:val="single" w:sz="4" w:space="0" w:color="auto"/>
              <w:right w:val="nil"/>
            </w:tcBorders>
            <w:shd w:val="clear" w:color="auto" w:fill="auto"/>
            <w:noWrap/>
            <w:vAlign w:val="bottom"/>
            <w:hideMark/>
          </w:tcPr>
          <w:p w14:paraId="217F78CE"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c>
          <w:tcPr>
            <w:tcW w:w="144" w:type="pct"/>
            <w:tcBorders>
              <w:top w:val="nil"/>
              <w:left w:val="nil"/>
              <w:bottom w:val="single" w:sz="4" w:space="0" w:color="auto"/>
              <w:right w:val="nil"/>
            </w:tcBorders>
            <w:shd w:val="clear" w:color="auto" w:fill="auto"/>
            <w:noWrap/>
            <w:vAlign w:val="bottom"/>
            <w:hideMark/>
          </w:tcPr>
          <w:p w14:paraId="324A4C1C" w14:textId="77777777" w:rsidR="00855702" w:rsidRPr="00855702" w:rsidRDefault="00855702" w:rsidP="00855702">
            <w:pPr>
              <w:jc w:val="center"/>
              <w:rPr>
                <w:rFonts w:eastAsia="Times New Roman"/>
                <w:color w:val="000000"/>
                <w:sz w:val="18"/>
                <w:szCs w:val="18"/>
                <w:lang w:val="fr-FR" w:eastAsia="fr-FR"/>
              </w:rPr>
            </w:pPr>
            <w:r w:rsidRPr="00855702">
              <w:rPr>
                <w:rFonts w:eastAsia="Times New Roman"/>
                <w:color w:val="000000"/>
                <w:sz w:val="18"/>
                <w:szCs w:val="18"/>
                <w:lang w:val="fr-FR" w:eastAsia="fr-FR"/>
              </w:rPr>
              <w:t>0.1</w:t>
            </w:r>
          </w:p>
        </w:tc>
      </w:tr>
    </w:tbl>
    <w:p w14:paraId="3771DDC4" w14:textId="77777777" w:rsidR="00855702" w:rsidRDefault="00855702" w:rsidP="008E3798">
      <w:pPr>
        <w:tabs>
          <w:tab w:val="left" w:pos="912"/>
          <w:tab w:val="left" w:pos="1416"/>
          <w:tab w:val="left" w:pos="2124"/>
          <w:tab w:val="left" w:pos="2832"/>
          <w:tab w:val="left" w:pos="3540"/>
          <w:tab w:val="left" w:pos="4248"/>
          <w:tab w:val="left" w:pos="5903"/>
        </w:tabs>
        <w:spacing w:after="120"/>
        <w:jc w:val="both"/>
        <w:rPr>
          <w:sz w:val="24"/>
          <w:szCs w:val="24"/>
        </w:rPr>
      </w:pPr>
    </w:p>
    <w:p w14:paraId="50EF5971" w14:textId="77777777" w:rsidR="00A2755C" w:rsidRDefault="00A2755C" w:rsidP="008E3798">
      <w:pPr>
        <w:tabs>
          <w:tab w:val="left" w:pos="912"/>
          <w:tab w:val="left" w:pos="1416"/>
          <w:tab w:val="left" w:pos="2124"/>
          <w:tab w:val="left" w:pos="2832"/>
          <w:tab w:val="left" w:pos="3540"/>
          <w:tab w:val="left" w:pos="4248"/>
          <w:tab w:val="left" w:pos="5903"/>
        </w:tabs>
        <w:spacing w:after="120"/>
        <w:jc w:val="both"/>
        <w:rPr>
          <w:sz w:val="24"/>
          <w:szCs w:val="24"/>
        </w:rPr>
      </w:pPr>
    </w:p>
    <w:p w14:paraId="1D570F56" w14:textId="77777777" w:rsidR="00855702" w:rsidRDefault="00855702" w:rsidP="008E3798">
      <w:pPr>
        <w:tabs>
          <w:tab w:val="left" w:pos="912"/>
          <w:tab w:val="left" w:pos="1416"/>
          <w:tab w:val="left" w:pos="2124"/>
          <w:tab w:val="left" w:pos="2832"/>
          <w:tab w:val="left" w:pos="3540"/>
          <w:tab w:val="left" w:pos="4248"/>
          <w:tab w:val="left" w:pos="5903"/>
        </w:tabs>
        <w:spacing w:after="120"/>
        <w:jc w:val="both"/>
        <w:rPr>
          <w:sz w:val="24"/>
          <w:szCs w:val="24"/>
        </w:rPr>
        <w:sectPr w:rsidR="00855702" w:rsidSect="00855702">
          <w:pgSz w:w="15840" w:h="12240" w:orient="landscape"/>
          <w:pgMar w:top="1440" w:right="1440" w:bottom="1440" w:left="1440" w:header="432" w:footer="720" w:gutter="0"/>
          <w:cols w:space="720"/>
          <w:docGrid w:linePitch="360"/>
        </w:sectPr>
      </w:pPr>
    </w:p>
    <w:p w14:paraId="77ECA78D" w14:textId="4FEEF5C3" w:rsidR="00E313B9" w:rsidRDefault="00E313B9" w:rsidP="008E3798">
      <w:pPr>
        <w:tabs>
          <w:tab w:val="left" w:pos="912"/>
          <w:tab w:val="left" w:pos="1416"/>
          <w:tab w:val="left" w:pos="2124"/>
          <w:tab w:val="left" w:pos="2832"/>
          <w:tab w:val="left" w:pos="3540"/>
          <w:tab w:val="left" w:pos="4248"/>
          <w:tab w:val="left" w:pos="5903"/>
        </w:tabs>
        <w:spacing w:after="120"/>
        <w:jc w:val="both"/>
        <w:rPr>
          <w:sz w:val="24"/>
          <w:szCs w:val="24"/>
        </w:rPr>
      </w:pPr>
    </w:p>
    <w:p w14:paraId="3272C819" w14:textId="3FE3D68F" w:rsidR="00AC4D88" w:rsidRDefault="00AC4D88" w:rsidP="008E3798">
      <w:pPr>
        <w:tabs>
          <w:tab w:val="left" w:pos="912"/>
          <w:tab w:val="left" w:pos="1416"/>
          <w:tab w:val="left" w:pos="2124"/>
          <w:tab w:val="left" w:pos="2832"/>
          <w:tab w:val="left" w:pos="3540"/>
          <w:tab w:val="left" w:pos="4248"/>
          <w:tab w:val="left" w:pos="5903"/>
        </w:tabs>
        <w:spacing w:after="120"/>
        <w:jc w:val="both"/>
        <w:rPr>
          <w:sz w:val="24"/>
          <w:szCs w:val="24"/>
        </w:rPr>
      </w:pPr>
      <w:commentRangeStart w:id="53"/>
      <w:r>
        <w:rPr>
          <w:noProof/>
          <w:sz w:val="24"/>
          <w:szCs w:val="24"/>
          <w:lang w:val="en-GB" w:eastAsia="en-GB"/>
        </w:rPr>
        <w:drawing>
          <wp:inline distT="0" distB="0" distL="0" distR="0" wp14:anchorId="4C9A68DF" wp14:editId="2E5659BA">
            <wp:extent cx="4591614" cy="7121504"/>
            <wp:effectExtent l="0" t="0" r="6350" b="0"/>
            <wp:docPr id="9" name="Image 9" descr="Sans titre:Users:MarinePaquet:Documents:PhD:Sujet Basaltes - Stage M2:Papiers:Majeurs &amp; Traces:Figures:Figure_SMS6-5-7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ans titre:Users:MarinePaquet:Documents:PhD:Sujet Basaltes - Stage M2:Papiers:Majeurs &amp; Traces:Figures:Figure_SMS6-5-7_final.jpg"/>
                    <pic:cNvPicPr>
                      <a:picLocks noChangeAspect="1" noChangeArrowheads="1"/>
                    </pic:cNvPicPr>
                  </pic:nvPicPr>
                  <pic:blipFill rotWithShape="1">
                    <a:blip r:embed="rId22">
                      <a:extLst>
                        <a:ext uri="{28A0092B-C50C-407E-A947-70E740481C1C}">
                          <a14:useLocalDpi xmlns:a14="http://schemas.microsoft.com/office/drawing/2010/main" val="0"/>
                        </a:ext>
                      </a:extLst>
                    </a:blip>
                    <a:srcRect/>
                    <a:stretch/>
                  </pic:blipFill>
                  <pic:spPr bwMode="auto">
                    <a:xfrm>
                      <a:off x="0" y="0"/>
                      <a:ext cx="4592024" cy="7122140"/>
                    </a:xfrm>
                    <a:prstGeom prst="rect">
                      <a:avLst/>
                    </a:prstGeom>
                    <a:noFill/>
                    <a:ln>
                      <a:noFill/>
                    </a:ln>
                    <a:extLst>
                      <a:ext uri="{53640926-AAD7-44D8-BBD7-CCE9431645EC}">
                        <a14:shadowObscured xmlns:a14="http://schemas.microsoft.com/office/drawing/2010/main"/>
                      </a:ext>
                    </a:extLst>
                  </pic:spPr>
                </pic:pic>
              </a:graphicData>
            </a:graphic>
          </wp:inline>
        </w:drawing>
      </w:r>
      <w:commentRangeEnd w:id="53"/>
      <w:r w:rsidR="002B1DB5">
        <w:rPr>
          <w:rStyle w:val="CommentReference"/>
          <w:rFonts w:asciiTheme="minorHAnsi" w:eastAsiaTheme="minorEastAsia" w:hAnsiTheme="minorHAnsi" w:cstheme="minorBidi"/>
          <w:lang w:val="fr-FR" w:eastAsia="fr-FR"/>
        </w:rPr>
        <w:commentReference w:id="53"/>
      </w:r>
    </w:p>
    <w:p w14:paraId="78732C8A" w14:textId="2EBE4F19" w:rsidR="00AC4D88" w:rsidRPr="00AC4D88" w:rsidRDefault="00AC4D88" w:rsidP="008E3798">
      <w:pPr>
        <w:tabs>
          <w:tab w:val="left" w:pos="912"/>
          <w:tab w:val="left" w:pos="1416"/>
          <w:tab w:val="left" w:pos="2124"/>
          <w:tab w:val="left" w:pos="2832"/>
          <w:tab w:val="left" w:pos="3540"/>
          <w:tab w:val="left" w:pos="4248"/>
          <w:tab w:val="left" w:pos="5903"/>
        </w:tabs>
        <w:spacing w:after="120"/>
        <w:jc w:val="both"/>
        <w:rPr>
          <w:sz w:val="32"/>
          <w:szCs w:val="24"/>
        </w:rPr>
      </w:pPr>
      <w:proofErr w:type="gramStart"/>
      <w:r w:rsidRPr="00AC4D88">
        <w:rPr>
          <w:b/>
          <w:sz w:val="24"/>
        </w:rPr>
        <w:t>Figure 9</w:t>
      </w:r>
      <w:r w:rsidRPr="00AC4D88">
        <w:rPr>
          <w:sz w:val="24"/>
        </w:rPr>
        <w:t>.</w:t>
      </w:r>
      <w:proofErr w:type="gramEnd"/>
      <w:r>
        <w:rPr>
          <w:sz w:val="24"/>
        </w:rPr>
        <w:t xml:space="preserve"> </w:t>
      </w:r>
      <w:proofErr w:type="gramStart"/>
      <w:r w:rsidRPr="00AC4D88">
        <w:rPr>
          <w:sz w:val="24"/>
        </w:rPr>
        <w:t>Plagioclase compositional variations in samples of the plagioclase-bearing ultramafic to gabbroic suite.</w:t>
      </w:r>
      <w:proofErr w:type="gramEnd"/>
      <w:r w:rsidRPr="00AC4D88">
        <w:rPr>
          <w:sz w:val="24"/>
        </w:rPr>
        <w:t xml:space="preserve"> </w:t>
      </w:r>
      <w:r w:rsidRPr="00AC4D88">
        <w:rPr>
          <w:b/>
          <w:sz w:val="24"/>
        </w:rPr>
        <w:t>(a)</w:t>
      </w:r>
      <w:r w:rsidRPr="00AC4D88">
        <w:rPr>
          <w:sz w:val="24"/>
        </w:rPr>
        <w:t xml:space="preserve"> </w:t>
      </w:r>
      <w:commentRangeStart w:id="54"/>
      <w:r w:rsidRPr="00AC4D88">
        <w:rPr>
          <w:sz w:val="24"/>
        </w:rPr>
        <w:t>Plagioclase K</w:t>
      </w:r>
      <w:r w:rsidRPr="00AC4D88">
        <w:rPr>
          <w:sz w:val="24"/>
          <w:vertAlign w:val="subscript"/>
        </w:rPr>
        <w:t>2</w:t>
      </w:r>
      <w:r w:rsidRPr="00AC4D88">
        <w:rPr>
          <w:sz w:val="24"/>
        </w:rPr>
        <w:t xml:space="preserve">O content as a function of </w:t>
      </w:r>
      <w:proofErr w:type="gramStart"/>
      <w:r w:rsidRPr="00AC4D88">
        <w:rPr>
          <w:sz w:val="24"/>
        </w:rPr>
        <w:t>An</w:t>
      </w:r>
      <w:proofErr w:type="gramEnd"/>
      <w:r w:rsidRPr="00AC4D88">
        <w:rPr>
          <w:sz w:val="24"/>
        </w:rPr>
        <w:t xml:space="preserve"> content. Diamond data point corresponds to the average composition of several plagioclase grains in each sample (n values in Table </w:t>
      </w:r>
      <w:r w:rsidR="00EC21E5">
        <w:rPr>
          <w:sz w:val="24"/>
        </w:rPr>
        <w:t>5</w:t>
      </w:r>
      <w:r w:rsidRPr="00AC4D88">
        <w:rPr>
          <w:sz w:val="24"/>
        </w:rPr>
        <w:t xml:space="preserve">). Error bars: ±1 std. Samples for which </w:t>
      </w:r>
      <w:r w:rsidR="00377761">
        <w:rPr>
          <w:sz w:val="24"/>
        </w:rPr>
        <w:t xml:space="preserve">we analyzed </w:t>
      </w:r>
      <w:r w:rsidRPr="00AC4D88">
        <w:rPr>
          <w:sz w:val="24"/>
        </w:rPr>
        <w:t xml:space="preserve">plagioclase and/or clinopyroxene </w:t>
      </w:r>
      <w:r w:rsidRPr="00AC4D88">
        <w:rPr>
          <w:sz w:val="24"/>
        </w:rPr>
        <w:lastRenderedPageBreak/>
        <w:t xml:space="preserve">trace element data are available are shown </w:t>
      </w:r>
      <w:commentRangeEnd w:id="54"/>
      <w:r w:rsidR="002B1DB5">
        <w:rPr>
          <w:rStyle w:val="CommentReference"/>
          <w:rFonts w:asciiTheme="minorHAnsi" w:eastAsiaTheme="minorEastAsia" w:hAnsiTheme="minorHAnsi" w:cstheme="minorBidi"/>
          <w:lang w:val="fr-FR" w:eastAsia="fr-FR"/>
        </w:rPr>
        <w:commentReference w:id="54"/>
      </w:r>
      <w:r w:rsidRPr="00AC4D88">
        <w:rPr>
          <w:sz w:val="24"/>
        </w:rPr>
        <w:t xml:space="preserve">as diamonds with a cross inside. Same symbols as in Figure 8. </w:t>
      </w:r>
      <w:r w:rsidRPr="00AC4D88">
        <w:rPr>
          <w:b/>
          <w:sz w:val="24"/>
        </w:rPr>
        <w:t>(b)</w:t>
      </w:r>
      <w:r w:rsidRPr="00AC4D88">
        <w:rPr>
          <w:sz w:val="24"/>
        </w:rPr>
        <w:t xml:space="preserve"> Line drawing showing mineral modal abundances (plagioclase or altered plagioclase in grey, olivine or serpentine after olivine in green, orthopyroxene or serpentine after orthopyroxene in blue, clinopyroxene in orange) in three orthogonal thin sections cut in sample SMS6-5-7. Plagioclase abundances in this sample vary significantly over scales of a few centimeters: modal mineralogy corresponds to a plagioclase-bearing websterite in thin section A (light blue), and to a gabbro</w:t>
      </w:r>
      <w:r w:rsidR="00617EB5">
        <w:rPr>
          <w:sz w:val="24"/>
        </w:rPr>
        <w:t>norite</w:t>
      </w:r>
      <w:r w:rsidRPr="00AC4D88">
        <w:rPr>
          <w:sz w:val="24"/>
        </w:rPr>
        <w:t xml:space="preserve"> in thin section B (dark blue). Plagioclase occurs as small interstitial grains in thin section </w:t>
      </w:r>
      <w:proofErr w:type="gramStart"/>
      <w:r w:rsidRPr="00AC4D88">
        <w:rPr>
          <w:sz w:val="24"/>
        </w:rPr>
        <w:t>A,</w:t>
      </w:r>
      <w:proofErr w:type="gramEnd"/>
      <w:r w:rsidRPr="00AC4D88">
        <w:rPr>
          <w:sz w:val="24"/>
        </w:rPr>
        <w:t xml:space="preserve"> and as small inclusions in clinopyroxene or as larger grains in thin section B. Dots correspond to microprobe measurements plotted in </w:t>
      </w:r>
      <w:r w:rsidRPr="00AC4D88">
        <w:rPr>
          <w:b/>
          <w:sz w:val="24"/>
        </w:rPr>
        <w:t>(c)</w:t>
      </w:r>
      <w:r w:rsidRPr="00AC4D88">
        <w:rPr>
          <w:sz w:val="24"/>
        </w:rPr>
        <w:t xml:space="preserve">. Small plagioclase grains (interstitial or inclusions in cpx) have higher </w:t>
      </w:r>
      <w:proofErr w:type="gramStart"/>
      <w:r w:rsidRPr="00AC4D88">
        <w:rPr>
          <w:sz w:val="24"/>
        </w:rPr>
        <w:t>An</w:t>
      </w:r>
      <w:proofErr w:type="gramEnd"/>
      <w:r w:rsidRPr="00AC4D88">
        <w:rPr>
          <w:sz w:val="24"/>
        </w:rPr>
        <w:t xml:space="preserve"> contents than the larger plagioclase grains. This spread of </w:t>
      </w:r>
      <w:proofErr w:type="gramStart"/>
      <w:r w:rsidRPr="00AC4D88">
        <w:rPr>
          <w:sz w:val="24"/>
        </w:rPr>
        <w:t>An</w:t>
      </w:r>
      <w:proofErr w:type="gramEnd"/>
      <w:r w:rsidRPr="00AC4D88">
        <w:rPr>
          <w:sz w:val="24"/>
        </w:rPr>
        <w:t xml:space="preserve"> contents explains the large standard deviation obtained for the average plagioclase An content in this sample (diagram a).</w:t>
      </w:r>
    </w:p>
    <w:p w14:paraId="75809294" w14:textId="77777777" w:rsidR="00AC4D88" w:rsidRPr="00022B05" w:rsidRDefault="00AC4D88" w:rsidP="008E3798">
      <w:pPr>
        <w:tabs>
          <w:tab w:val="left" w:pos="912"/>
          <w:tab w:val="left" w:pos="1416"/>
          <w:tab w:val="left" w:pos="2124"/>
          <w:tab w:val="left" w:pos="2832"/>
          <w:tab w:val="left" w:pos="3540"/>
          <w:tab w:val="left" w:pos="4248"/>
          <w:tab w:val="left" w:pos="5903"/>
        </w:tabs>
        <w:spacing w:after="120"/>
        <w:jc w:val="both"/>
        <w:rPr>
          <w:rStyle w:val="Strong"/>
          <w:b w:val="0"/>
          <w:bCs w:val="0"/>
          <w:sz w:val="24"/>
          <w:szCs w:val="24"/>
        </w:rPr>
      </w:pPr>
    </w:p>
    <w:p w14:paraId="595F754C" w14:textId="2235C674" w:rsidR="008E3798" w:rsidRPr="00022B05" w:rsidRDefault="008E3798" w:rsidP="008E3798">
      <w:pPr>
        <w:tabs>
          <w:tab w:val="left" w:pos="912"/>
          <w:tab w:val="left" w:pos="1416"/>
          <w:tab w:val="left" w:pos="2124"/>
          <w:tab w:val="left" w:pos="2832"/>
          <w:tab w:val="left" w:pos="3540"/>
          <w:tab w:val="left" w:pos="4248"/>
          <w:tab w:val="left" w:pos="5903"/>
        </w:tabs>
        <w:spacing w:after="120"/>
        <w:jc w:val="both"/>
        <w:rPr>
          <w:rStyle w:val="Strong"/>
          <w:b w:val="0"/>
          <w:sz w:val="24"/>
          <w:szCs w:val="24"/>
        </w:rPr>
      </w:pPr>
      <w:r w:rsidRPr="00022B05">
        <w:rPr>
          <w:rStyle w:val="Strong"/>
          <w:b w:val="0"/>
          <w:sz w:val="24"/>
          <w:szCs w:val="24"/>
        </w:rPr>
        <w:tab/>
      </w:r>
      <w:proofErr w:type="gramStart"/>
      <w:r w:rsidR="00B161A5" w:rsidRPr="00120E5F">
        <w:rPr>
          <w:rStyle w:val="Strong"/>
          <w:b w:val="0"/>
          <w:sz w:val="24"/>
          <w:szCs w:val="24"/>
          <w:u w:val="single"/>
        </w:rPr>
        <w:t>Clinopyroxene.</w:t>
      </w:r>
      <w:proofErr w:type="gramEnd"/>
      <w:r w:rsidR="00B161A5">
        <w:rPr>
          <w:rStyle w:val="Strong"/>
          <w:b w:val="0"/>
          <w:sz w:val="24"/>
          <w:szCs w:val="24"/>
        </w:rPr>
        <w:t xml:space="preserve"> </w:t>
      </w:r>
      <w:r w:rsidRPr="00022B05">
        <w:rPr>
          <w:sz w:val="24"/>
          <w:szCs w:val="24"/>
        </w:rPr>
        <w:t>The Mg# of clinopyroxene remains in a very narrow range (88.</w:t>
      </w:r>
      <w:r w:rsidR="007D32AD">
        <w:rPr>
          <w:sz w:val="24"/>
          <w:szCs w:val="24"/>
        </w:rPr>
        <w:t>3</w:t>
      </w:r>
      <w:r w:rsidR="007D32AD" w:rsidRPr="00022B05">
        <w:rPr>
          <w:sz w:val="24"/>
          <w:szCs w:val="24"/>
        </w:rPr>
        <w:t xml:space="preserve"> </w:t>
      </w:r>
      <w:r w:rsidRPr="00022B05">
        <w:rPr>
          <w:sz w:val="24"/>
          <w:szCs w:val="24"/>
        </w:rPr>
        <w:t>to 90.</w:t>
      </w:r>
      <w:r w:rsidR="007D32AD">
        <w:rPr>
          <w:sz w:val="24"/>
          <w:szCs w:val="24"/>
        </w:rPr>
        <w:t>9</w:t>
      </w:r>
      <w:r w:rsidRPr="00022B05">
        <w:rPr>
          <w:sz w:val="24"/>
          <w:szCs w:val="24"/>
        </w:rPr>
        <w:t xml:space="preserve">%) over the wide range of plagioclase </w:t>
      </w:r>
      <w:proofErr w:type="gramStart"/>
      <w:r w:rsidRPr="00022B05">
        <w:rPr>
          <w:sz w:val="24"/>
          <w:szCs w:val="24"/>
        </w:rPr>
        <w:t>An</w:t>
      </w:r>
      <w:proofErr w:type="gramEnd"/>
      <w:r w:rsidRPr="00022B05">
        <w:rPr>
          <w:sz w:val="24"/>
          <w:szCs w:val="24"/>
        </w:rPr>
        <w:t xml:space="preserve"> contents (Figure 8a, Table </w:t>
      </w:r>
      <w:r w:rsidR="00EC21E5">
        <w:rPr>
          <w:sz w:val="24"/>
          <w:szCs w:val="24"/>
        </w:rPr>
        <w:t>6</w:t>
      </w:r>
      <w:r w:rsidRPr="00022B05">
        <w:rPr>
          <w:sz w:val="24"/>
          <w:szCs w:val="24"/>
        </w:rPr>
        <w:t xml:space="preserve">). This range of Mg# is similar to that of clinopyroxene measured in plagioclase-free residual lherzolites in the same region (between </w:t>
      </w:r>
      <w:r w:rsidR="00F15737">
        <w:rPr>
          <w:sz w:val="24"/>
          <w:szCs w:val="24"/>
        </w:rPr>
        <w:t>87.6</w:t>
      </w:r>
      <w:r w:rsidRPr="00022B05">
        <w:rPr>
          <w:sz w:val="24"/>
          <w:szCs w:val="24"/>
        </w:rPr>
        <w:t xml:space="preserve"> and </w:t>
      </w:r>
      <w:r w:rsidR="00F15737">
        <w:rPr>
          <w:sz w:val="24"/>
          <w:szCs w:val="24"/>
        </w:rPr>
        <w:t>93</w:t>
      </w:r>
      <w:r w:rsidRPr="00022B05">
        <w:rPr>
          <w:sz w:val="24"/>
          <w:szCs w:val="24"/>
        </w:rPr>
        <w:t xml:space="preserve">.2%; </w:t>
      </w:r>
      <w:r w:rsidR="00AC303B" w:rsidRPr="00022B05">
        <w:rPr>
          <w:sz w:val="24"/>
          <w:szCs w:val="24"/>
        </w:rPr>
        <w:t>[</w:t>
      </w:r>
      <w:r w:rsidRPr="00022B05">
        <w:rPr>
          <w:i/>
          <w:sz w:val="24"/>
          <w:szCs w:val="24"/>
        </w:rPr>
        <w:t>Seyler et al.</w:t>
      </w:r>
      <w:r w:rsidRPr="00022B05">
        <w:rPr>
          <w:sz w:val="24"/>
          <w:szCs w:val="24"/>
        </w:rPr>
        <w:t>, 2003</w:t>
      </w:r>
      <w:r w:rsidR="00AC303B" w:rsidRPr="00022B05">
        <w:rPr>
          <w:sz w:val="24"/>
          <w:szCs w:val="24"/>
        </w:rPr>
        <w:t>]</w:t>
      </w:r>
      <w:r w:rsidRPr="00022B05">
        <w:rPr>
          <w:sz w:val="24"/>
          <w:szCs w:val="24"/>
        </w:rPr>
        <w:t xml:space="preserve">). The </w:t>
      </w:r>
      <w:r w:rsidR="00617EB5">
        <w:rPr>
          <w:sz w:val="24"/>
          <w:szCs w:val="24"/>
        </w:rPr>
        <w:t>Cr</w:t>
      </w:r>
      <w:r w:rsidR="00617EB5" w:rsidRPr="00383843">
        <w:rPr>
          <w:sz w:val="24"/>
          <w:szCs w:val="24"/>
          <w:vertAlign w:val="subscript"/>
        </w:rPr>
        <w:t>2</w:t>
      </w:r>
      <w:r w:rsidR="00617EB5">
        <w:rPr>
          <w:sz w:val="24"/>
          <w:szCs w:val="24"/>
        </w:rPr>
        <w:t>O</w:t>
      </w:r>
      <w:r w:rsidR="00617EB5" w:rsidRPr="00383843">
        <w:rPr>
          <w:sz w:val="24"/>
          <w:szCs w:val="24"/>
          <w:vertAlign w:val="subscript"/>
        </w:rPr>
        <w:t>3</w:t>
      </w:r>
      <w:r w:rsidR="00617EB5">
        <w:rPr>
          <w:sz w:val="24"/>
          <w:szCs w:val="24"/>
        </w:rPr>
        <w:t xml:space="preserve"> </w:t>
      </w:r>
      <w:r w:rsidRPr="00022B05">
        <w:rPr>
          <w:sz w:val="24"/>
          <w:szCs w:val="24"/>
        </w:rPr>
        <w:t xml:space="preserve">content of clinopyroxenes in </w:t>
      </w:r>
      <w:r w:rsidR="00E55178">
        <w:rPr>
          <w:sz w:val="24"/>
          <w:szCs w:val="24"/>
        </w:rPr>
        <w:t>these</w:t>
      </w:r>
      <w:r w:rsidR="00E55178" w:rsidRPr="00022B05">
        <w:rPr>
          <w:sz w:val="24"/>
          <w:szCs w:val="24"/>
        </w:rPr>
        <w:t xml:space="preserve"> </w:t>
      </w:r>
      <w:r w:rsidRPr="00022B05">
        <w:rPr>
          <w:sz w:val="24"/>
          <w:szCs w:val="24"/>
        </w:rPr>
        <w:t xml:space="preserve">samples shows a greater variability (Figure 8b): </w:t>
      </w:r>
      <w:r w:rsidR="00B161A5">
        <w:rPr>
          <w:sz w:val="24"/>
          <w:szCs w:val="24"/>
        </w:rPr>
        <w:t>Cr</w:t>
      </w:r>
      <w:r w:rsidR="00B161A5" w:rsidRPr="00120E5F">
        <w:rPr>
          <w:sz w:val="24"/>
          <w:szCs w:val="24"/>
          <w:vertAlign w:val="subscript"/>
        </w:rPr>
        <w:t>2</w:t>
      </w:r>
      <w:r w:rsidR="00B161A5">
        <w:rPr>
          <w:sz w:val="24"/>
          <w:szCs w:val="24"/>
        </w:rPr>
        <w:t>O</w:t>
      </w:r>
      <w:r w:rsidR="00B161A5" w:rsidRPr="00120E5F">
        <w:rPr>
          <w:sz w:val="24"/>
          <w:szCs w:val="24"/>
          <w:vertAlign w:val="subscript"/>
        </w:rPr>
        <w:t>3</w:t>
      </w:r>
      <w:r w:rsidR="00B161A5">
        <w:rPr>
          <w:sz w:val="24"/>
          <w:szCs w:val="24"/>
        </w:rPr>
        <w:t xml:space="preserve"> </w:t>
      </w:r>
      <w:r w:rsidRPr="00022B05">
        <w:rPr>
          <w:sz w:val="24"/>
          <w:szCs w:val="24"/>
        </w:rPr>
        <w:t xml:space="preserve">values between </w:t>
      </w:r>
      <w:r w:rsidR="007D32AD">
        <w:rPr>
          <w:sz w:val="24"/>
          <w:szCs w:val="24"/>
        </w:rPr>
        <w:t>1.0</w:t>
      </w:r>
      <w:r w:rsidRPr="00022B05">
        <w:rPr>
          <w:sz w:val="24"/>
          <w:szCs w:val="24"/>
        </w:rPr>
        <w:t xml:space="preserve"> and 1.</w:t>
      </w:r>
      <w:r w:rsidR="007D32AD">
        <w:rPr>
          <w:sz w:val="24"/>
          <w:szCs w:val="24"/>
        </w:rPr>
        <w:t>3</w:t>
      </w:r>
      <w:r w:rsidRPr="00022B05">
        <w:rPr>
          <w:sz w:val="24"/>
          <w:szCs w:val="24"/>
        </w:rPr>
        <w:t xml:space="preserve"> wt% are measured in plagioclase-lherzolites, similar to values measured in clinopyroxenes from plagioclase-free residual lherzolites in the same region (between </w:t>
      </w:r>
      <w:r w:rsidR="00F15737">
        <w:rPr>
          <w:rStyle w:val="Strong"/>
          <w:b w:val="0"/>
          <w:sz w:val="24"/>
          <w:szCs w:val="24"/>
        </w:rPr>
        <w:t>0.</w:t>
      </w:r>
      <w:r w:rsidR="007D32AD">
        <w:rPr>
          <w:rStyle w:val="Strong"/>
          <w:b w:val="0"/>
          <w:sz w:val="24"/>
          <w:szCs w:val="24"/>
        </w:rPr>
        <w:t>5</w:t>
      </w:r>
      <w:r w:rsidRPr="00022B05">
        <w:rPr>
          <w:rStyle w:val="Strong"/>
          <w:b w:val="0"/>
          <w:sz w:val="24"/>
          <w:szCs w:val="24"/>
        </w:rPr>
        <w:t xml:space="preserve"> and 1.</w:t>
      </w:r>
      <w:r w:rsidR="00F15737">
        <w:rPr>
          <w:rStyle w:val="Strong"/>
          <w:b w:val="0"/>
          <w:sz w:val="24"/>
          <w:szCs w:val="24"/>
        </w:rPr>
        <w:t>8</w:t>
      </w:r>
      <w:r w:rsidR="00F15737" w:rsidRPr="00022B05">
        <w:rPr>
          <w:rStyle w:val="Strong"/>
          <w:b w:val="0"/>
          <w:sz w:val="24"/>
          <w:szCs w:val="24"/>
        </w:rPr>
        <w:t xml:space="preserve"> </w:t>
      </w:r>
      <w:r w:rsidRPr="00022B05">
        <w:rPr>
          <w:rStyle w:val="Strong"/>
          <w:b w:val="0"/>
          <w:sz w:val="24"/>
          <w:szCs w:val="24"/>
        </w:rPr>
        <w:t xml:space="preserve">wt%; </w:t>
      </w:r>
      <w:r w:rsidR="001123EC" w:rsidRPr="00022B05">
        <w:rPr>
          <w:rStyle w:val="Strong"/>
          <w:b w:val="0"/>
          <w:sz w:val="24"/>
          <w:szCs w:val="24"/>
        </w:rPr>
        <w:t>[</w:t>
      </w:r>
      <w:r w:rsidRPr="00022B05">
        <w:rPr>
          <w:i/>
          <w:sz w:val="24"/>
          <w:szCs w:val="24"/>
        </w:rPr>
        <w:t>Seyler et al.</w:t>
      </w:r>
      <w:r w:rsidRPr="00022B05">
        <w:rPr>
          <w:sz w:val="24"/>
          <w:szCs w:val="24"/>
        </w:rPr>
        <w:t>, 2003</w:t>
      </w:r>
      <w:r w:rsidR="001123EC" w:rsidRPr="00022B05">
        <w:rPr>
          <w:sz w:val="24"/>
          <w:szCs w:val="24"/>
        </w:rPr>
        <w:t>]</w:t>
      </w:r>
      <w:r w:rsidRPr="00022B05">
        <w:rPr>
          <w:sz w:val="24"/>
          <w:szCs w:val="24"/>
        </w:rPr>
        <w:t xml:space="preserve">). The </w:t>
      </w:r>
      <w:r w:rsidR="00120E5F">
        <w:rPr>
          <w:sz w:val="24"/>
          <w:szCs w:val="24"/>
        </w:rPr>
        <w:t>Cr</w:t>
      </w:r>
      <w:r w:rsidR="00120E5F" w:rsidRPr="00383843">
        <w:rPr>
          <w:sz w:val="24"/>
          <w:szCs w:val="24"/>
          <w:vertAlign w:val="subscript"/>
        </w:rPr>
        <w:t>2</w:t>
      </w:r>
      <w:r w:rsidR="00120E5F">
        <w:rPr>
          <w:sz w:val="24"/>
          <w:szCs w:val="24"/>
        </w:rPr>
        <w:t>O</w:t>
      </w:r>
      <w:r w:rsidR="00120E5F" w:rsidRPr="00383843">
        <w:rPr>
          <w:sz w:val="24"/>
          <w:szCs w:val="24"/>
          <w:vertAlign w:val="subscript"/>
        </w:rPr>
        <w:t>3</w:t>
      </w:r>
      <w:r w:rsidR="00120E5F">
        <w:rPr>
          <w:sz w:val="24"/>
          <w:szCs w:val="24"/>
        </w:rPr>
        <w:t xml:space="preserve"> </w:t>
      </w:r>
      <w:r w:rsidRPr="00022B05">
        <w:rPr>
          <w:sz w:val="24"/>
          <w:szCs w:val="24"/>
        </w:rPr>
        <w:t>content of clinopyroxenes in plagioclase-websterites is lower (0.5 to 0.</w:t>
      </w:r>
      <w:r w:rsidR="007D32AD">
        <w:rPr>
          <w:sz w:val="24"/>
          <w:szCs w:val="24"/>
        </w:rPr>
        <w:t>7</w:t>
      </w:r>
      <w:r w:rsidR="007D32AD" w:rsidRPr="00022B05">
        <w:rPr>
          <w:sz w:val="24"/>
          <w:szCs w:val="24"/>
        </w:rPr>
        <w:t xml:space="preserve"> </w:t>
      </w:r>
      <w:proofErr w:type="gramStart"/>
      <w:r w:rsidRPr="00022B05">
        <w:rPr>
          <w:sz w:val="24"/>
          <w:szCs w:val="24"/>
        </w:rPr>
        <w:t>wt%</w:t>
      </w:r>
      <w:proofErr w:type="gramEnd"/>
      <w:r w:rsidRPr="00022B05">
        <w:rPr>
          <w:sz w:val="24"/>
          <w:szCs w:val="24"/>
        </w:rPr>
        <w:t>)</w:t>
      </w:r>
      <w:r w:rsidR="00120E5F">
        <w:rPr>
          <w:sz w:val="24"/>
          <w:szCs w:val="24"/>
        </w:rPr>
        <w:t>,</w:t>
      </w:r>
      <w:r w:rsidRPr="00022B05">
        <w:rPr>
          <w:sz w:val="24"/>
          <w:szCs w:val="24"/>
        </w:rPr>
        <w:t xml:space="preserve"> within the range of Cr</w:t>
      </w:r>
      <w:r w:rsidRPr="00022B05">
        <w:rPr>
          <w:sz w:val="24"/>
          <w:szCs w:val="24"/>
          <w:vertAlign w:val="subscript"/>
        </w:rPr>
        <w:t>2</w:t>
      </w:r>
      <w:r w:rsidRPr="00022B05">
        <w:rPr>
          <w:sz w:val="24"/>
          <w:szCs w:val="24"/>
        </w:rPr>
        <w:t>O</w:t>
      </w:r>
      <w:r w:rsidRPr="00022B05">
        <w:rPr>
          <w:sz w:val="24"/>
          <w:szCs w:val="24"/>
          <w:vertAlign w:val="subscript"/>
        </w:rPr>
        <w:t>3</w:t>
      </w:r>
      <w:r w:rsidRPr="00022B05">
        <w:rPr>
          <w:sz w:val="24"/>
          <w:szCs w:val="24"/>
        </w:rPr>
        <w:t xml:space="preserve"> contents measured in a selection of plagioclase-free websterites from the same region </w:t>
      </w:r>
      <w:r w:rsidRPr="00F15737">
        <w:rPr>
          <w:sz w:val="24"/>
          <w:szCs w:val="24"/>
        </w:rPr>
        <w:t>(</w:t>
      </w:r>
      <w:r w:rsidR="00F15737" w:rsidRPr="00F15737">
        <w:rPr>
          <w:sz w:val="24"/>
          <w:szCs w:val="24"/>
        </w:rPr>
        <w:t xml:space="preserve">between </w:t>
      </w:r>
      <w:r w:rsidR="00F15737">
        <w:rPr>
          <w:rStyle w:val="Strong"/>
          <w:b w:val="0"/>
          <w:sz w:val="24"/>
          <w:szCs w:val="24"/>
        </w:rPr>
        <w:t>0.6</w:t>
      </w:r>
      <w:r w:rsidR="00F15737" w:rsidRPr="00F15737">
        <w:rPr>
          <w:rStyle w:val="Strong"/>
          <w:b w:val="0"/>
          <w:sz w:val="24"/>
          <w:szCs w:val="24"/>
        </w:rPr>
        <w:t xml:space="preserve"> and 1.</w:t>
      </w:r>
      <w:r w:rsidR="007D32AD">
        <w:rPr>
          <w:rStyle w:val="Strong"/>
          <w:b w:val="0"/>
          <w:sz w:val="24"/>
          <w:szCs w:val="24"/>
        </w:rPr>
        <w:t>4</w:t>
      </w:r>
      <w:r w:rsidR="00F15737" w:rsidRPr="00F15737">
        <w:rPr>
          <w:rStyle w:val="Strong"/>
          <w:b w:val="0"/>
          <w:sz w:val="24"/>
          <w:szCs w:val="24"/>
        </w:rPr>
        <w:t xml:space="preserve"> wt%;</w:t>
      </w:r>
      <w:r w:rsidR="00F15737">
        <w:rPr>
          <w:rStyle w:val="Strong"/>
          <w:b w:val="0"/>
          <w:sz w:val="24"/>
          <w:szCs w:val="24"/>
        </w:rPr>
        <w:t xml:space="preserve"> </w:t>
      </w:r>
      <w:r w:rsidR="00F15737" w:rsidRPr="00F15737">
        <w:rPr>
          <w:rStyle w:val="Strong"/>
          <w:b w:val="0"/>
          <w:i/>
          <w:sz w:val="24"/>
          <w:szCs w:val="24"/>
        </w:rPr>
        <w:t>Brunelli et al.</w:t>
      </w:r>
      <w:r w:rsidR="00791990">
        <w:rPr>
          <w:rStyle w:val="Strong"/>
          <w:b w:val="0"/>
          <w:sz w:val="24"/>
          <w:szCs w:val="24"/>
        </w:rPr>
        <w:t>, in prep.</w:t>
      </w:r>
      <w:r w:rsidRPr="00F15737">
        <w:rPr>
          <w:sz w:val="24"/>
          <w:szCs w:val="24"/>
        </w:rPr>
        <w:t>). The</w:t>
      </w:r>
      <w:r w:rsidRPr="00022B05">
        <w:rPr>
          <w:sz w:val="24"/>
          <w:szCs w:val="24"/>
        </w:rPr>
        <w:t xml:space="preserve"> </w:t>
      </w:r>
      <w:r w:rsidR="00120E5F">
        <w:rPr>
          <w:sz w:val="24"/>
          <w:szCs w:val="24"/>
        </w:rPr>
        <w:t>Cr</w:t>
      </w:r>
      <w:r w:rsidR="00120E5F" w:rsidRPr="00383843">
        <w:rPr>
          <w:sz w:val="24"/>
          <w:szCs w:val="24"/>
          <w:vertAlign w:val="subscript"/>
        </w:rPr>
        <w:t>2</w:t>
      </w:r>
      <w:r w:rsidR="00120E5F">
        <w:rPr>
          <w:sz w:val="24"/>
          <w:szCs w:val="24"/>
        </w:rPr>
        <w:t>O</w:t>
      </w:r>
      <w:r w:rsidR="00120E5F" w:rsidRPr="00383843">
        <w:rPr>
          <w:sz w:val="24"/>
          <w:szCs w:val="24"/>
          <w:vertAlign w:val="subscript"/>
        </w:rPr>
        <w:t>3</w:t>
      </w:r>
      <w:r w:rsidR="00120E5F">
        <w:rPr>
          <w:sz w:val="24"/>
          <w:szCs w:val="24"/>
        </w:rPr>
        <w:t xml:space="preserve"> </w:t>
      </w:r>
      <w:r w:rsidRPr="00022B05">
        <w:rPr>
          <w:sz w:val="24"/>
          <w:szCs w:val="24"/>
        </w:rPr>
        <w:t xml:space="preserve">contents of clinopyroxenes in samples of </w:t>
      </w:r>
      <w:r w:rsidRPr="00022B05">
        <w:rPr>
          <w:rStyle w:val="Strong"/>
          <w:b w:val="0"/>
          <w:sz w:val="24"/>
          <w:szCs w:val="24"/>
        </w:rPr>
        <w:t>troctolite, olivine gabbro and gabbro spans the whole 0.3 to 1.</w:t>
      </w:r>
      <w:r w:rsidR="007D32AD">
        <w:rPr>
          <w:rStyle w:val="Strong"/>
          <w:b w:val="0"/>
          <w:sz w:val="24"/>
          <w:szCs w:val="24"/>
        </w:rPr>
        <w:t>5</w:t>
      </w:r>
      <w:r w:rsidRPr="00022B05">
        <w:rPr>
          <w:rStyle w:val="Strong"/>
          <w:b w:val="0"/>
          <w:sz w:val="24"/>
          <w:szCs w:val="24"/>
        </w:rPr>
        <w:t xml:space="preserve"> wt% range.</w:t>
      </w:r>
    </w:p>
    <w:p w14:paraId="3E23BDD6" w14:textId="0C6E2306" w:rsidR="008E3798" w:rsidRDefault="008E3798" w:rsidP="008E3798">
      <w:pPr>
        <w:tabs>
          <w:tab w:val="left" w:pos="912"/>
          <w:tab w:val="left" w:pos="1416"/>
          <w:tab w:val="left" w:pos="2124"/>
          <w:tab w:val="left" w:pos="2832"/>
          <w:tab w:val="left" w:pos="3540"/>
          <w:tab w:val="left" w:pos="4248"/>
          <w:tab w:val="left" w:pos="5903"/>
        </w:tabs>
        <w:spacing w:after="120"/>
        <w:jc w:val="both"/>
        <w:rPr>
          <w:rStyle w:val="Strong"/>
          <w:b w:val="0"/>
          <w:sz w:val="24"/>
          <w:szCs w:val="24"/>
        </w:rPr>
      </w:pPr>
      <w:r w:rsidRPr="00022B05">
        <w:rPr>
          <w:sz w:val="24"/>
          <w:szCs w:val="24"/>
        </w:rPr>
        <w:tab/>
        <w:t>Clinopyroxenes</w:t>
      </w:r>
      <w:r w:rsidRPr="00022B05">
        <w:rPr>
          <w:rStyle w:val="Strong"/>
          <w:b w:val="0"/>
          <w:sz w:val="24"/>
          <w:szCs w:val="24"/>
        </w:rPr>
        <w:t xml:space="preserve"> Al</w:t>
      </w:r>
      <w:r w:rsidRPr="00022B05">
        <w:rPr>
          <w:rStyle w:val="Strong"/>
          <w:b w:val="0"/>
          <w:sz w:val="24"/>
          <w:szCs w:val="24"/>
          <w:vertAlign w:val="subscript"/>
        </w:rPr>
        <w:t>2</w:t>
      </w:r>
      <w:r w:rsidRPr="00022B05">
        <w:rPr>
          <w:rStyle w:val="Strong"/>
          <w:b w:val="0"/>
          <w:sz w:val="24"/>
          <w:szCs w:val="24"/>
        </w:rPr>
        <w:t>O</w:t>
      </w:r>
      <w:r w:rsidRPr="00022B05">
        <w:rPr>
          <w:rStyle w:val="Strong"/>
          <w:b w:val="0"/>
          <w:sz w:val="24"/>
          <w:szCs w:val="24"/>
          <w:vertAlign w:val="subscript"/>
        </w:rPr>
        <w:t>3</w:t>
      </w:r>
      <w:r w:rsidRPr="00022B05">
        <w:rPr>
          <w:rStyle w:val="Strong"/>
          <w:b w:val="0"/>
          <w:sz w:val="24"/>
          <w:szCs w:val="24"/>
        </w:rPr>
        <w:t xml:space="preserve"> and Na</w:t>
      </w:r>
      <w:r w:rsidRPr="00022B05">
        <w:rPr>
          <w:rStyle w:val="Strong"/>
          <w:b w:val="0"/>
          <w:sz w:val="24"/>
          <w:szCs w:val="24"/>
          <w:vertAlign w:val="subscript"/>
        </w:rPr>
        <w:t>2</w:t>
      </w:r>
      <w:r w:rsidRPr="00022B05">
        <w:rPr>
          <w:rStyle w:val="Strong"/>
          <w:b w:val="0"/>
          <w:sz w:val="24"/>
          <w:szCs w:val="24"/>
        </w:rPr>
        <w:t xml:space="preserve">O contents (Table </w:t>
      </w:r>
      <w:r w:rsidR="00EC21E5">
        <w:rPr>
          <w:rStyle w:val="Strong"/>
          <w:b w:val="0"/>
          <w:sz w:val="24"/>
          <w:szCs w:val="24"/>
        </w:rPr>
        <w:t>6</w:t>
      </w:r>
      <w:r w:rsidRPr="00022B05">
        <w:rPr>
          <w:rStyle w:val="Strong"/>
          <w:b w:val="0"/>
          <w:sz w:val="24"/>
          <w:szCs w:val="24"/>
        </w:rPr>
        <w:t>) in plagioclase-bearing samples vary respectively between 3.0 and 6.4 wt%, and between 0.3 and 0.</w:t>
      </w:r>
      <w:r w:rsidR="00D13924">
        <w:rPr>
          <w:rStyle w:val="Strong"/>
          <w:b w:val="0"/>
          <w:sz w:val="24"/>
          <w:szCs w:val="24"/>
        </w:rPr>
        <w:t>6</w:t>
      </w:r>
      <w:r w:rsidRPr="00022B05">
        <w:rPr>
          <w:rStyle w:val="Strong"/>
          <w:b w:val="0"/>
          <w:sz w:val="24"/>
          <w:szCs w:val="24"/>
        </w:rPr>
        <w:t>%. There is a systematic relation between these Al</w:t>
      </w:r>
      <w:r w:rsidRPr="00022B05">
        <w:rPr>
          <w:rStyle w:val="Strong"/>
          <w:b w:val="0"/>
          <w:sz w:val="24"/>
          <w:szCs w:val="24"/>
          <w:vertAlign w:val="subscript"/>
        </w:rPr>
        <w:t>2</w:t>
      </w:r>
      <w:r w:rsidRPr="00022B05">
        <w:rPr>
          <w:rStyle w:val="Strong"/>
          <w:b w:val="0"/>
          <w:sz w:val="24"/>
          <w:szCs w:val="24"/>
        </w:rPr>
        <w:t>O</w:t>
      </w:r>
      <w:r w:rsidRPr="00022B05">
        <w:rPr>
          <w:rStyle w:val="Strong"/>
          <w:b w:val="0"/>
          <w:sz w:val="24"/>
          <w:szCs w:val="24"/>
          <w:vertAlign w:val="subscript"/>
        </w:rPr>
        <w:t>3</w:t>
      </w:r>
      <w:r w:rsidRPr="00022B05">
        <w:rPr>
          <w:rStyle w:val="Strong"/>
          <w:b w:val="0"/>
          <w:sz w:val="24"/>
          <w:szCs w:val="24"/>
        </w:rPr>
        <w:t xml:space="preserve"> and Na</w:t>
      </w:r>
      <w:r w:rsidRPr="00022B05">
        <w:rPr>
          <w:rStyle w:val="Strong"/>
          <w:b w:val="0"/>
          <w:sz w:val="24"/>
          <w:szCs w:val="24"/>
          <w:vertAlign w:val="subscript"/>
        </w:rPr>
        <w:t>2</w:t>
      </w:r>
      <w:r w:rsidRPr="00022B05">
        <w:rPr>
          <w:rStyle w:val="Strong"/>
          <w:b w:val="0"/>
          <w:sz w:val="24"/>
          <w:szCs w:val="24"/>
        </w:rPr>
        <w:t>O contents and the modal mineralogy of the sample. Clinopyroxenes of the plagioclase-bearing lherzolites and websterites have higher Al</w:t>
      </w:r>
      <w:r w:rsidRPr="00022B05">
        <w:rPr>
          <w:rStyle w:val="Strong"/>
          <w:b w:val="0"/>
          <w:sz w:val="24"/>
          <w:szCs w:val="24"/>
          <w:vertAlign w:val="subscript"/>
        </w:rPr>
        <w:t>2</w:t>
      </w:r>
      <w:r w:rsidRPr="00022B05">
        <w:rPr>
          <w:rStyle w:val="Strong"/>
          <w:b w:val="0"/>
          <w:sz w:val="24"/>
          <w:szCs w:val="24"/>
        </w:rPr>
        <w:t>O</w:t>
      </w:r>
      <w:r w:rsidRPr="00022B05">
        <w:rPr>
          <w:rStyle w:val="Strong"/>
          <w:b w:val="0"/>
          <w:sz w:val="24"/>
          <w:szCs w:val="24"/>
          <w:vertAlign w:val="subscript"/>
        </w:rPr>
        <w:t>3</w:t>
      </w:r>
      <w:r w:rsidRPr="00022B05">
        <w:rPr>
          <w:rStyle w:val="Strong"/>
          <w:b w:val="0"/>
          <w:sz w:val="24"/>
          <w:szCs w:val="24"/>
        </w:rPr>
        <w:t xml:space="preserve"> and (from 4.</w:t>
      </w:r>
      <w:r w:rsidR="00D13924">
        <w:rPr>
          <w:rStyle w:val="Strong"/>
          <w:b w:val="0"/>
          <w:sz w:val="24"/>
          <w:szCs w:val="24"/>
        </w:rPr>
        <w:t>9</w:t>
      </w:r>
      <w:r w:rsidR="00D13924" w:rsidRPr="00022B05">
        <w:rPr>
          <w:rStyle w:val="Strong"/>
          <w:b w:val="0"/>
          <w:sz w:val="24"/>
          <w:szCs w:val="24"/>
        </w:rPr>
        <w:t xml:space="preserve"> </w:t>
      </w:r>
      <w:r w:rsidRPr="00022B05">
        <w:rPr>
          <w:rStyle w:val="Strong"/>
          <w:b w:val="0"/>
          <w:sz w:val="24"/>
          <w:szCs w:val="24"/>
        </w:rPr>
        <w:t>to 6.4 wt% for Al</w:t>
      </w:r>
      <w:r w:rsidRPr="00022B05">
        <w:rPr>
          <w:rStyle w:val="Strong"/>
          <w:b w:val="0"/>
          <w:sz w:val="24"/>
          <w:szCs w:val="24"/>
          <w:vertAlign w:val="subscript"/>
        </w:rPr>
        <w:t>2</w:t>
      </w:r>
      <w:r w:rsidRPr="00022B05">
        <w:rPr>
          <w:rStyle w:val="Strong"/>
          <w:b w:val="0"/>
          <w:sz w:val="24"/>
          <w:szCs w:val="24"/>
        </w:rPr>
        <w:t>O</w:t>
      </w:r>
      <w:r w:rsidRPr="00022B05">
        <w:rPr>
          <w:rStyle w:val="Strong"/>
          <w:b w:val="0"/>
          <w:sz w:val="24"/>
          <w:szCs w:val="24"/>
          <w:vertAlign w:val="subscript"/>
        </w:rPr>
        <w:t>3</w:t>
      </w:r>
      <w:r w:rsidRPr="00022B05">
        <w:rPr>
          <w:rStyle w:val="Strong"/>
          <w:b w:val="0"/>
          <w:sz w:val="24"/>
          <w:szCs w:val="24"/>
        </w:rPr>
        <w:t>) contents, and slightly lower Na</w:t>
      </w:r>
      <w:r w:rsidRPr="00022B05">
        <w:rPr>
          <w:rStyle w:val="Strong"/>
          <w:b w:val="0"/>
          <w:sz w:val="24"/>
          <w:szCs w:val="24"/>
          <w:vertAlign w:val="subscript"/>
        </w:rPr>
        <w:t>2</w:t>
      </w:r>
      <w:r w:rsidRPr="00022B05">
        <w:rPr>
          <w:rStyle w:val="Strong"/>
          <w:b w:val="0"/>
          <w:sz w:val="24"/>
          <w:szCs w:val="24"/>
        </w:rPr>
        <w:t>O</w:t>
      </w:r>
      <w:r w:rsidR="00F14D37">
        <w:rPr>
          <w:rStyle w:val="Strong"/>
          <w:b w:val="0"/>
          <w:sz w:val="24"/>
          <w:szCs w:val="24"/>
        </w:rPr>
        <w:t xml:space="preserve"> and TiO</w:t>
      </w:r>
      <w:r w:rsidR="00F14D37" w:rsidRPr="00F14D37">
        <w:rPr>
          <w:rStyle w:val="Strong"/>
          <w:b w:val="0"/>
          <w:sz w:val="24"/>
          <w:szCs w:val="24"/>
          <w:vertAlign w:val="subscript"/>
        </w:rPr>
        <w:t>2</w:t>
      </w:r>
      <w:r w:rsidRPr="00022B05">
        <w:rPr>
          <w:rStyle w:val="Strong"/>
          <w:b w:val="0"/>
          <w:sz w:val="24"/>
          <w:szCs w:val="24"/>
        </w:rPr>
        <w:t xml:space="preserve"> (from 0.3 to 0.5 wt% for Na</w:t>
      </w:r>
      <w:r w:rsidRPr="00022B05">
        <w:rPr>
          <w:rStyle w:val="Strong"/>
          <w:b w:val="0"/>
          <w:sz w:val="24"/>
          <w:szCs w:val="24"/>
          <w:vertAlign w:val="subscript"/>
        </w:rPr>
        <w:t>2</w:t>
      </w:r>
      <w:r w:rsidRPr="00022B05">
        <w:rPr>
          <w:rStyle w:val="Strong"/>
          <w:b w:val="0"/>
          <w:sz w:val="24"/>
          <w:szCs w:val="24"/>
        </w:rPr>
        <w:t>O</w:t>
      </w:r>
      <w:r w:rsidR="00F14D37">
        <w:rPr>
          <w:rStyle w:val="Strong"/>
          <w:b w:val="0"/>
          <w:sz w:val="24"/>
          <w:szCs w:val="24"/>
        </w:rPr>
        <w:t>, and from 0.3 to 0.</w:t>
      </w:r>
      <w:r w:rsidR="00D13924">
        <w:rPr>
          <w:rStyle w:val="Strong"/>
          <w:b w:val="0"/>
          <w:sz w:val="24"/>
          <w:szCs w:val="24"/>
        </w:rPr>
        <w:t>7</w:t>
      </w:r>
      <w:r w:rsidR="00F14D37">
        <w:rPr>
          <w:rStyle w:val="Strong"/>
          <w:b w:val="0"/>
          <w:sz w:val="24"/>
          <w:szCs w:val="24"/>
        </w:rPr>
        <w:t xml:space="preserve"> wt% for TiO</w:t>
      </w:r>
      <w:r w:rsidR="00F14D37" w:rsidRPr="00F14D37">
        <w:rPr>
          <w:rStyle w:val="Strong"/>
          <w:b w:val="0"/>
          <w:sz w:val="24"/>
          <w:szCs w:val="24"/>
          <w:vertAlign w:val="subscript"/>
        </w:rPr>
        <w:t>2</w:t>
      </w:r>
      <w:r w:rsidRPr="00022B05">
        <w:rPr>
          <w:rStyle w:val="Strong"/>
          <w:b w:val="0"/>
          <w:sz w:val="24"/>
          <w:szCs w:val="24"/>
        </w:rPr>
        <w:t>) than those of the troctolites, olivine gabbros and gabbros group (from 3.01 to 5.89 wt% for Al</w:t>
      </w:r>
      <w:r w:rsidRPr="00022B05">
        <w:rPr>
          <w:rStyle w:val="Strong"/>
          <w:b w:val="0"/>
          <w:sz w:val="24"/>
          <w:szCs w:val="24"/>
          <w:vertAlign w:val="subscript"/>
        </w:rPr>
        <w:t>2</w:t>
      </w:r>
      <w:r w:rsidRPr="00022B05">
        <w:rPr>
          <w:rStyle w:val="Strong"/>
          <w:b w:val="0"/>
          <w:sz w:val="24"/>
          <w:szCs w:val="24"/>
        </w:rPr>
        <w:t>O</w:t>
      </w:r>
      <w:r w:rsidRPr="00022B05">
        <w:rPr>
          <w:rStyle w:val="Strong"/>
          <w:b w:val="0"/>
          <w:sz w:val="24"/>
          <w:szCs w:val="24"/>
          <w:vertAlign w:val="subscript"/>
        </w:rPr>
        <w:t>3</w:t>
      </w:r>
      <w:r w:rsidRPr="00022B05">
        <w:rPr>
          <w:rStyle w:val="Strong"/>
          <w:b w:val="0"/>
          <w:sz w:val="24"/>
          <w:szCs w:val="24"/>
        </w:rPr>
        <w:t>; from 0.</w:t>
      </w:r>
      <w:r w:rsidR="00D13924">
        <w:rPr>
          <w:rStyle w:val="Strong"/>
          <w:b w:val="0"/>
          <w:sz w:val="24"/>
          <w:szCs w:val="24"/>
        </w:rPr>
        <w:t>4</w:t>
      </w:r>
      <w:r w:rsidR="00D13924" w:rsidRPr="00022B05">
        <w:rPr>
          <w:rStyle w:val="Strong"/>
          <w:b w:val="0"/>
          <w:sz w:val="24"/>
          <w:szCs w:val="24"/>
        </w:rPr>
        <w:t xml:space="preserve"> </w:t>
      </w:r>
      <w:r w:rsidRPr="00022B05">
        <w:rPr>
          <w:rStyle w:val="Strong"/>
          <w:b w:val="0"/>
          <w:sz w:val="24"/>
          <w:szCs w:val="24"/>
        </w:rPr>
        <w:t>to 0.</w:t>
      </w:r>
      <w:r w:rsidR="00D13924">
        <w:rPr>
          <w:rStyle w:val="Strong"/>
          <w:b w:val="0"/>
          <w:sz w:val="24"/>
          <w:szCs w:val="24"/>
        </w:rPr>
        <w:t>6</w:t>
      </w:r>
      <w:r w:rsidR="00D13924" w:rsidRPr="00022B05">
        <w:rPr>
          <w:rStyle w:val="Strong"/>
          <w:b w:val="0"/>
          <w:sz w:val="24"/>
          <w:szCs w:val="24"/>
        </w:rPr>
        <w:t xml:space="preserve"> </w:t>
      </w:r>
      <w:r w:rsidRPr="00022B05">
        <w:rPr>
          <w:rStyle w:val="Strong"/>
          <w:b w:val="0"/>
          <w:sz w:val="24"/>
          <w:szCs w:val="24"/>
        </w:rPr>
        <w:t>wt% for Na</w:t>
      </w:r>
      <w:r w:rsidRPr="00022B05">
        <w:rPr>
          <w:rStyle w:val="Strong"/>
          <w:b w:val="0"/>
          <w:sz w:val="24"/>
          <w:szCs w:val="24"/>
          <w:vertAlign w:val="subscript"/>
        </w:rPr>
        <w:t>2</w:t>
      </w:r>
      <w:r w:rsidRPr="00022B05">
        <w:rPr>
          <w:rStyle w:val="Strong"/>
          <w:b w:val="0"/>
          <w:sz w:val="24"/>
          <w:szCs w:val="24"/>
        </w:rPr>
        <w:t>O</w:t>
      </w:r>
      <w:r w:rsidR="00F14D37">
        <w:rPr>
          <w:rStyle w:val="Strong"/>
          <w:b w:val="0"/>
          <w:sz w:val="24"/>
          <w:szCs w:val="24"/>
        </w:rPr>
        <w:t>; from 0.3 to 0.</w:t>
      </w:r>
      <w:r w:rsidR="00D13924">
        <w:rPr>
          <w:rStyle w:val="Strong"/>
          <w:b w:val="0"/>
          <w:sz w:val="24"/>
          <w:szCs w:val="24"/>
        </w:rPr>
        <w:t xml:space="preserve"> </w:t>
      </w:r>
      <w:r w:rsidR="00F14D37">
        <w:rPr>
          <w:rStyle w:val="Strong"/>
          <w:b w:val="0"/>
          <w:sz w:val="24"/>
          <w:szCs w:val="24"/>
        </w:rPr>
        <w:t>8 wt% for TiO</w:t>
      </w:r>
      <w:r w:rsidR="00F14D37" w:rsidRPr="00687BCB">
        <w:rPr>
          <w:rStyle w:val="Strong"/>
          <w:b w:val="0"/>
          <w:sz w:val="24"/>
          <w:szCs w:val="24"/>
          <w:vertAlign w:val="subscript"/>
        </w:rPr>
        <w:t>2</w:t>
      </w:r>
      <w:r w:rsidRPr="00022B05">
        <w:rPr>
          <w:rStyle w:val="Strong"/>
          <w:b w:val="0"/>
          <w:sz w:val="24"/>
          <w:szCs w:val="24"/>
        </w:rPr>
        <w:t xml:space="preserve">). Nevertheless, there is no systematic relation between clinopyroxenes in plagioclase-bearing lherzolites and plagioclase-bearing websterites. These values are within the range of values measured in residual </w:t>
      </w:r>
      <w:r w:rsidRPr="00022B05">
        <w:rPr>
          <w:sz w:val="24"/>
          <w:szCs w:val="24"/>
        </w:rPr>
        <w:t>clinopyroxenes</w:t>
      </w:r>
      <w:r w:rsidRPr="00022B05">
        <w:rPr>
          <w:rStyle w:val="Strong"/>
          <w:b w:val="0"/>
          <w:sz w:val="24"/>
          <w:szCs w:val="24"/>
        </w:rPr>
        <w:t xml:space="preserve"> from plagioclase-free peridotites of the region (between </w:t>
      </w:r>
      <w:r w:rsidR="00F15737">
        <w:rPr>
          <w:rStyle w:val="Strong"/>
          <w:b w:val="0"/>
          <w:sz w:val="24"/>
          <w:szCs w:val="24"/>
        </w:rPr>
        <w:t>3.</w:t>
      </w:r>
      <w:r w:rsidR="00D13924">
        <w:rPr>
          <w:rStyle w:val="Strong"/>
          <w:b w:val="0"/>
          <w:sz w:val="24"/>
          <w:szCs w:val="24"/>
        </w:rPr>
        <w:t>4</w:t>
      </w:r>
      <w:r w:rsidRPr="00022B05">
        <w:rPr>
          <w:rStyle w:val="Strong"/>
          <w:b w:val="0"/>
          <w:sz w:val="24"/>
          <w:szCs w:val="24"/>
        </w:rPr>
        <w:t xml:space="preserve"> and </w:t>
      </w:r>
      <w:r w:rsidR="00F15737">
        <w:rPr>
          <w:rStyle w:val="Strong"/>
          <w:b w:val="0"/>
          <w:sz w:val="24"/>
          <w:szCs w:val="24"/>
        </w:rPr>
        <w:t>8.8</w:t>
      </w:r>
      <w:r w:rsidRPr="00022B05">
        <w:rPr>
          <w:rStyle w:val="Strong"/>
          <w:b w:val="0"/>
          <w:sz w:val="24"/>
          <w:szCs w:val="24"/>
        </w:rPr>
        <w:t xml:space="preserve"> wt% for Al</w:t>
      </w:r>
      <w:r w:rsidRPr="00022B05">
        <w:rPr>
          <w:rStyle w:val="Strong"/>
          <w:b w:val="0"/>
          <w:sz w:val="24"/>
          <w:szCs w:val="24"/>
          <w:vertAlign w:val="subscript"/>
        </w:rPr>
        <w:t>2</w:t>
      </w:r>
      <w:r w:rsidRPr="00022B05">
        <w:rPr>
          <w:rStyle w:val="Strong"/>
          <w:b w:val="0"/>
          <w:sz w:val="24"/>
          <w:szCs w:val="24"/>
        </w:rPr>
        <w:t>O</w:t>
      </w:r>
      <w:r w:rsidRPr="00022B05">
        <w:rPr>
          <w:rStyle w:val="Strong"/>
          <w:b w:val="0"/>
          <w:sz w:val="24"/>
          <w:szCs w:val="24"/>
          <w:vertAlign w:val="subscript"/>
        </w:rPr>
        <w:t>3</w:t>
      </w:r>
      <w:r w:rsidRPr="00022B05">
        <w:rPr>
          <w:rStyle w:val="Strong"/>
          <w:b w:val="0"/>
          <w:sz w:val="24"/>
          <w:szCs w:val="24"/>
        </w:rPr>
        <w:t>, between 0.</w:t>
      </w:r>
      <w:r w:rsidR="00D13924">
        <w:rPr>
          <w:rStyle w:val="Strong"/>
          <w:b w:val="0"/>
          <w:sz w:val="24"/>
          <w:szCs w:val="24"/>
        </w:rPr>
        <w:t>1</w:t>
      </w:r>
      <w:r w:rsidRPr="00022B05">
        <w:rPr>
          <w:rStyle w:val="Strong"/>
          <w:b w:val="0"/>
          <w:sz w:val="24"/>
          <w:szCs w:val="24"/>
        </w:rPr>
        <w:t xml:space="preserve"> and </w:t>
      </w:r>
      <w:r w:rsidR="00F15737">
        <w:rPr>
          <w:rStyle w:val="Strong"/>
          <w:b w:val="0"/>
          <w:sz w:val="24"/>
          <w:szCs w:val="24"/>
        </w:rPr>
        <w:t>1.</w:t>
      </w:r>
      <w:r w:rsidR="00D13924">
        <w:rPr>
          <w:rStyle w:val="Strong"/>
          <w:b w:val="0"/>
          <w:sz w:val="24"/>
          <w:szCs w:val="24"/>
        </w:rPr>
        <w:t>5</w:t>
      </w:r>
      <w:r w:rsidRPr="00022B05">
        <w:rPr>
          <w:rStyle w:val="Strong"/>
          <w:b w:val="0"/>
          <w:sz w:val="24"/>
          <w:szCs w:val="24"/>
        </w:rPr>
        <w:t xml:space="preserve"> wt% for Na</w:t>
      </w:r>
      <w:r w:rsidRPr="00022B05">
        <w:rPr>
          <w:rStyle w:val="Strong"/>
          <w:b w:val="0"/>
          <w:sz w:val="24"/>
          <w:szCs w:val="24"/>
          <w:vertAlign w:val="subscript"/>
        </w:rPr>
        <w:t>2</w:t>
      </w:r>
      <w:r w:rsidRPr="00022B05">
        <w:rPr>
          <w:rStyle w:val="Strong"/>
          <w:b w:val="0"/>
          <w:sz w:val="24"/>
          <w:szCs w:val="24"/>
        </w:rPr>
        <w:t>O</w:t>
      </w:r>
      <w:r w:rsidR="00F14D37">
        <w:rPr>
          <w:rStyle w:val="Strong"/>
          <w:b w:val="0"/>
          <w:sz w:val="24"/>
          <w:szCs w:val="24"/>
        </w:rPr>
        <w:t xml:space="preserve">, between </w:t>
      </w:r>
      <w:r w:rsidR="00F14D37" w:rsidRPr="00022B05">
        <w:rPr>
          <w:rStyle w:val="Strong"/>
          <w:b w:val="0"/>
          <w:sz w:val="24"/>
          <w:szCs w:val="24"/>
        </w:rPr>
        <w:t>0.</w:t>
      </w:r>
      <w:r w:rsidR="00D13924">
        <w:rPr>
          <w:rStyle w:val="Strong"/>
          <w:b w:val="0"/>
          <w:sz w:val="24"/>
          <w:szCs w:val="24"/>
        </w:rPr>
        <w:t>1</w:t>
      </w:r>
      <w:r w:rsidR="00F14D37" w:rsidRPr="00022B05">
        <w:rPr>
          <w:rStyle w:val="Strong"/>
          <w:b w:val="0"/>
          <w:sz w:val="24"/>
          <w:szCs w:val="24"/>
        </w:rPr>
        <w:t xml:space="preserve"> to 0.</w:t>
      </w:r>
      <w:r w:rsidR="00D13924">
        <w:rPr>
          <w:rStyle w:val="Strong"/>
          <w:b w:val="0"/>
          <w:sz w:val="24"/>
          <w:szCs w:val="24"/>
        </w:rPr>
        <w:t>7</w:t>
      </w:r>
      <w:r w:rsidR="00F14D37" w:rsidRPr="00022B05">
        <w:rPr>
          <w:rStyle w:val="Strong"/>
          <w:b w:val="0"/>
          <w:sz w:val="24"/>
          <w:szCs w:val="24"/>
        </w:rPr>
        <w:t xml:space="preserve"> wt%</w:t>
      </w:r>
      <w:r w:rsidR="00F14D37">
        <w:rPr>
          <w:rStyle w:val="Strong"/>
          <w:b w:val="0"/>
          <w:sz w:val="24"/>
          <w:szCs w:val="24"/>
        </w:rPr>
        <w:t xml:space="preserve"> for TiO</w:t>
      </w:r>
      <w:r w:rsidR="00F14D37" w:rsidRPr="00F14D37">
        <w:rPr>
          <w:rStyle w:val="Strong"/>
          <w:b w:val="0"/>
          <w:sz w:val="24"/>
          <w:szCs w:val="24"/>
          <w:vertAlign w:val="subscript"/>
        </w:rPr>
        <w:t>2</w:t>
      </w:r>
      <w:r w:rsidRPr="00022B05">
        <w:rPr>
          <w:rStyle w:val="Strong"/>
          <w:b w:val="0"/>
          <w:sz w:val="24"/>
          <w:szCs w:val="24"/>
        </w:rPr>
        <w:t xml:space="preserve">; </w:t>
      </w:r>
      <w:r w:rsidR="001123EC" w:rsidRPr="00022B05">
        <w:rPr>
          <w:rStyle w:val="Strong"/>
          <w:b w:val="0"/>
          <w:sz w:val="24"/>
          <w:szCs w:val="24"/>
        </w:rPr>
        <w:t>[</w:t>
      </w:r>
      <w:r w:rsidRPr="00022B05">
        <w:rPr>
          <w:rStyle w:val="Strong"/>
          <w:b w:val="0"/>
          <w:i/>
          <w:sz w:val="24"/>
          <w:szCs w:val="24"/>
        </w:rPr>
        <w:t>Seyler et al.</w:t>
      </w:r>
      <w:r w:rsidRPr="00022B05">
        <w:rPr>
          <w:rStyle w:val="Strong"/>
          <w:b w:val="0"/>
          <w:sz w:val="24"/>
          <w:szCs w:val="24"/>
        </w:rPr>
        <w:t>, 2003</w:t>
      </w:r>
      <w:r w:rsidR="001123EC" w:rsidRPr="00022B05">
        <w:rPr>
          <w:rStyle w:val="Strong"/>
          <w:b w:val="0"/>
          <w:sz w:val="24"/>
          <w:szCs w:val="24"/>
        </w:rPr>
        <w:t>]</w:t>
      </w:r>
      <w:r w:rsidRPr="00022B05">
        <w:rPr>
          <w:rStyle w:val="Strong"/>
          <w:b w:val="0"/>
          <w:sz w:val="24"/>
          <w:szCs w:val="24"/>
        </w:rPr>
        <w:t xml:space="preserve">). The values reported in Figure 9 and Table </w:t>
      </w:r>
      <w:r w:rsidR="00EC21E5">
        <w:rPr>
          <w:rStyle w:val="Strong"/>
          <w:b w:val="0"/>
          <w:sz w:val="24"/>
          <w:szCs w:val="24"/>
        </w:rPr>
        <w:t>6</w:t>
      </w:r>
      <w:r w:rsidRPr="00022B05">
        <w:rPr>
          <w:rStyle w:val="Strong"/>
          <w:b w:val="0"/>
          <w:sz w:val="24"/>
          <w:szCs w:val="24"/>
        </w:rPr>
        <w:t xml:space="preserve"> </w:t>
      </w:r>
      <w:proofErr w:type="gramStart"/>
      <w:r w:rsidRPr="00022B05">
        <w:rPr>
          <w:rStyle w:val="Strong"/>
          <w:b w:val="0"/>
          <w:sz w:val="24"/>
          <w:szCs w:val="24"/>
        </w:rPr>
        <w:t>correspond</w:t>
      </w:r>
      <w:proofErr w:type="gramEnd"/>
      <w:r w:rsidRPr="00022B05">
        <w:rPr>
          <w:rStyle w:val="Strong"/>
          <w:b w:val="0"/>
          <w:sz w:val="24"/>
          <w:szCs w:val="24"/>
        </w:rPr>
        <w:t xml:space="preserve"> to crystal cores. </w:t>
      </w:r>
      <w:r w:rsidRPr="00022B05">
        <w:rPr>
          <w:sz w:val="24"/>
          <w:szCs w:val="24"/>
        </w:rPr>
        <w:t>Clinopyroxenes</w:t>
      </w:r>
      <w:r w:rsidRPr="00022B05">
        <w:rPr>
          <w:rStyle w:val="Strong"/>
          <w:b w:val="0"/>
          <w:sz w:val="24"/>
          <w:szCs w:val="24"/>
        </w:rPr>
        <w:t xml:space="preserve"> rims have very similar compositions except for lower CaO contents.</w:t>
      </w:r>
    </w:p>
    <w:p w14:paraId="336F6544" w14:textId="77777777" w:rsidR="00855702" w:rsidRDefault="00855702" w:rsidP="008E3798">
      <w:pPr>
        <w:tabs>
          <w:tab w:val="left" w:pos="912"/>
          <w:tab w:val="left" w:pos="1416"/>
          <w:tab w:val="left" w:pos="2124"/>
          <w:tab w:val="left" w:pos="2832"/>
          <w:tab w:val="left" w:pos="3540"/>
          <w:tab w:val="left" w:pos="4248"/>
          <w:tab w:val="left" w:pos="5903"/>
        </w:tabs>
        <w:spacing w:after="120"/>
        <w:jc w:val="both"/>
        <w:rPr>
          <w:rStyle w:val="Strong"/>
          <w:b w:val="0"/>
          <w:sz w:val="24"/>
          <w:szCs w:val="24"/>
        </w:rPr>
      </w:pPr>
    </w:p>
    <w:p w14:paraId="5223B181" w14:textId="77777777" w:rsidR="00855702" w:rsidRDefault="00855702" w:rsidP="008E3798">
      <w:pPr>
        <w:tabs>
          <w:tab w:val="left" w:pos="912"/>
          <w:tab w:val="left" w:pos="1416"/>
          <w:tab w:val="left" w:pos="2124"/>
          <w:tab w:val="left" w:pos="2832"/>
          <w:tab w:val="left" w:pos="3540"/>
          <w:tab w:val="left" w:pos="4248"/>
          <w:tab w:val="left" w:pos="5903"/>
        </w:tabs>
        <w:spacing w:after="120"/>
        <w:jc w:val="both"/>
        <w:rPr>
          <w:rStyle w:val="Strong"/>
          <w:b w:val="0"/>
          <w:sz w:val="24"/>
          <w:szCs w:val="24"/>
        </w:rPr>
        <w:sectPr w:rsidR="00855702" w:rsidSect="00C74084">
          <w:pgSz w:w="12240" w:h="15840"/>
          <w:pgMar w:top="1440" w:right="1440" w:bottom="1440" w:left="1440" w:header="432" w:footer="720" w:gutter="0"/>
          <w:cols w:space="720"/>
          <w:docGrid w:linePitch="360"/>
        </w:sectPr>
      </w:pPr>
    </w:p>
    <w:p w14:paraId="40F90885" w14:textId="77777777" w:rsidR="00120E5F" w:rsidRDefault="00120E5F" w:rsidP="00120E5F">
      <w:pPr>
        <w:pStyle w:val="FigureorTableCaption"/>
        <w:rPr>
          <w:color w:val="000000"/>
        </w:rPr>
      </w:pPr>
      <w:proofErr w:type="gramStart"/>
      <w:r w:rsidRPr="00022B05">
        <w:rPr>
          <w:b/>
        </w:rPr>
        <w:lastRenderedPageBreak/>
        <w:t xml:space="preserve">Table </w:t>
      </w:r>
      <w:r>
        <w:rPr>
          <w:b/>
        </w:rPr>
        <w:t>6</w:t>
      </w:r>
      <w:r w:rsidRPr="00022B05">
        <w:rPr>
          <w:b/>
        </w:rPr>
        <w:t>.</w:t>
      </w:r>
      <w:proofErr w:type="gramEnd"/>
      <w:r w:rsidRPr="00022B05">
        <w:t xml:space="preserve"> </w:t>
      </w:r>
      <w:r w:rsidRPr="00E313B9">
        <w:rPr>
          <w:color w:val="000000"/>
        </w:rPr>
        <w:t>Major element compositions (</w:t>
      </w:r>
      <w:proofErr w:type="gramStart"/>
      <w:r w:rsidRPr="00E313B9">
        <w:rPr>
          <w:color w:val="000000"/>
        </w:rPr>
        <w:t>wt%</w:t>
      </w:r>
      <w:proofErr w:type="gramEnd"/>
      <w:r w:rsidRPr="00E313B9">
        <w:rPr>
          <w:color w:val="000000"/>
        </w:rPr>
        <w:t xml:space="preserve">) of </w:t>
      </w:r>
      <w:r>
        <w:rPr>
          <w:color w:val="000000"/>
        </w:rPr>
        <w:t>clinopyroxenes</w:t>
      </w:r>
      <w:r w:rsidRPr="00E313B9">
        <w:rPr>
          <w:color w:val="000000"/>
        </w:rPr>
        <w:t xml:space="preserve"> of representative plagioclase-bearing ultramafic rocks. Average composition of several </w:t>
      </w:r>
      <w:r>
        <w:rPr>
          <w:color w:val="000000"/>
        </w:rPr>
        <w:t>clinopyroxene</w:t>
      </w:r>
      <w:r w:rsidRPr="00E313B9">
        <w:rPr>
          <w:color w:val="000000"/>
        </w:rPr>
        <w:t xml:space="preserve"> grains in each sample. Error bars: ±1 </w:t>
      </w:r>
      <w:proofErr w:type="gramStart"/>
      <w:r w:rsidRPr="00E313B9">
        <w:rPr>
          <w:color w:val="000000"/>
        </w:rPr>
        <w:t>std</w:t>
      </w:r>
      <w:proofErr w:type="gramEnd"/>
      <w:r w:rsidRPr="00E313B9">
        <w:rPr>
          <w:color w:val="000000"/>
        </w:rPr>
        <w:t>.</w:t>
      </w:r>
    </w:p>
    <w:p w14:paraId="001F63CE" w14:textId="77777777" w:rsidR="00C333B8" w:rsidRDefault="00C333B8" w:rsidP="00120E5F">
      <w:pPr>
        <w:pStyle w:val="FigureorTableCaption"/>
        <w:rPr>
          <w:color w:val="000000"/>
        </w:rPr>
      </w:pPr>
    </w:p>
    <w:tbl>
      <w:tblPr>
        <w:tblW w:w="5000" w:type="pct"/>
        <w:tblCellMar>
          <w:left w:w="70" w:type="dxa"/>
          <w:right w:w="70" w:type="dxa"/>
        </w:tblCellMar>
        <w:tblLook w:val="04A0" w:firstRow="1" w:lastRow="0" w:firstColumn="1" w:lastColumn="0" w:noHBand="0" w:noVBand="1"/>
      </w:tblPr>
      <w:tblGrid>
        <w:gridCol w:w="661"/>
        <w:gridCol w:w="821"/>
        <w:gridCol w:w="396"/>
        <w:gridCol w:w="185"/>
        <w:gridCol w:w="771"/>
        <w:gridCol w:w="446"/>
        <w:gridCol w:w="185"/>
        <w:gridCol w:w="821"/>
        <w:gridCol w:w="396"/>
        <w:gridCol w:w="185"/>
        <w:gridCol w:w="768"/>
        <w:gridCol w:w="449"/>
        <w:gridCol w:w="185"/>
        <w:gridCol w:w="821"/>
        <w:gridCol w:w="396"/>
        <w:gridCol w:w="185"/>
        <w:gridCol w:w="821"/>
        <w:gridCol w:w="396"/>
        <w:gridCol w:w="185"/>
        <w:gridCol w:w="822"/>
        <w:gridCol w:w="397"/>
        <w:gridCol w:w="185"/>
        <w:gridCol w:w="769"/>
        <w:gridCol w:w="450"/>
        <w:gridCol w:w="185"/>
        <w:gridCol w:w="772"/>
        <w:gridCol w:w="447"/>
      </w:tblGrid>
      <w:tr w:rsidR="00C333B8" w:rsidRPr="00C333B8" w14:paraId="5B0D2735" w14:textId="77777777" w:rsidTr="00C333B8">
        <w:trPr>
          <w:trHeight w:val="240"/>
        </w:trPr>
        <w:tc>
          <w:tcPr>
            <w:tcW w:w="256" w:type="pct"/>
            <w:tcBorders>
              <w:top w:val="single" w:sz="4" w:space="0" w:color="auto"/>
              <w:left w:val="nil"/>
              <w:bottom w:val="nil"/>
              <w:right w:val="nil"/>
            </w:tcBorders>
            <w:shd w:val="clear" w:color="auto" w:fill="auto"/>
            <w:noWrap/>
            <w:vAlign w:val="bottom"/>
            <w:hideMark/>
          </w:tcPr>
          <w:p w14:paraId="0C77D21F" w14:textId="77777777" w:rsidR="00C333B8" w:rsidRPr="001F338C" w:rsidRDefault="00C333B8" w:rsidP="00C333B8">
            <w:pPr>
              <w:rPr>
                <w:rFonts w:eastAsia="Times New Roman"/>
                <w:b/>
                <w:bCs/>
                <w:sz w:val="18"/>
                <w:szCs w:val="18"/>
                <w:lang w:val="en-GB" w:eastAsia="fr-FR"/>
                <w:rPrChange w:id="55" w:author="Daniele" w:date="2016-04-03T18:30:00Z">
                  <w:rPr>
                    <w:rFonts w:eastAsia="Times New Roman"/>
                    <w:b/>
                    <w:bCs/>
                    <w:sz w:val="18"/>
                    <w:szCs w:val="18"/>
                    <w:lang w:val="fr-FR" w:eastAsia="fr-FR"/>
                  </w:rPr>
                </w:rPrChange>
              </w:rPr>
            </w:pPr>
            <w:r w:rsidRPr="001F338C">
              <w:rPr>
                <w:rFonts w:eastAsia="Times New Roman"/>
                <w:b/>
                <w:bCs/>
                <w:sz w:val="18"/>
                <w:szCs w:val="18"/>
                <w:lang w:val="en-GB" w:eastAsia="fr-FR"/>
                <w:rPrChange w:id="56" w:author="Daniele" w:date="2016-04-03T18:30:00Z">
                  <w:rPr>
                    <w:rFonts w:eastAsia="Times New Roman"/>
                    <w:b/>
                    <w:bCs/>
                    <w:sz w:val="18"/>
                    <w:szCs w:val="18"/>
                    <w:lang w:val="fr-FR" w:eastAsia="fr-FR"/>
                  </w:rPr>
                </w:rPrChange>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6BC4AB5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SMS6-2-1</w:t>
            </w:r>
          </w:p>
        </w:tc>
        <w:tc>
          <w:tcPr>
            <w:tcW w:w="62" w:type="pct"/>
            <w:tcBorders>
              <w:top w:val="single" w:sz="4" w:space="0" w:color="auto"/>
              <w:left w:val="nil"/>
              <w:bottom w:val="nil"/>
              <w:right w:val="nil"/>
            </w:tcBorders>
            <w:shd w:val="clear" w:color="auto" w:fill="auto"/>
            <w:noWrap/>
            <w:vAlign w:val="center"/>
            <w:hideMark/>
          </w:tcPr>
          <w:p w14:paraId="72EE8F7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45026DC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SMS6-5-2</w:t>
            </w:r>
          </w:p>
        </w:tc>
        <w:tc>
          <w:tcPr>
            <w:tcW w:w="62" w:type="pct"/>
            <w:tcBorders>
              <w:top w:val="single" w:sz="4" w:space="0" w:color="auto"/>
              <w:left w:val="nil"/>
              <w:bottom w:val="nil"/>
              <w:right w:val="nil"/>
            </w:tcBorders>
            <w:shd w:val="clear" w:color="auto" w:fill="auto"/>
            <w:noWrap/>
            <w:vAlign w:val="center"/>
            <w:hideMark/>
          </w:tcPr>
          <w:p w14:paraId="0939F88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10013F3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SMS6-5-7</w:t>
            </w:r>
          </w:p>
        </w:tc>
        <w:tc>
          <w:tcPr>
            <w:tcW w:w="62" w:type="pct"/>
            <w:tcBorders>
              <w:top w:val="single" w:sz="4" w:space="0" w:color="auto"/>
              <w:left w:val="nil"/>
              <w:bottom w:val="nil"/>
              <w:right w:val="nil"/>
            </w:tcBorders>
            <w:shd w:val="clear" w:color="auto" w:fill="auto"/>
            <w:noWrap/>
            <w:vAlign w:val="center"/>
            <w:hideMark/>
          </w:tcPr>
          <w:p w14:paraId="1AE2325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bottom"/>
            <w:hideMark/>
          </w:tcPr>
          <w:p w14:paraId="72B0F609"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SMS7-4-2</w:t>
            </w:r>
          </w:p>
        </w:tc>
        <w:tc>
          <w:tcPr>
            <w:tcW w:w="62" w:type="pct"/>
            <w:tcBorders>
              <w:top w:val="single" w:sz="4" w:space="0" w:color="auto"/>
              <w:left w:val="nil"/>
              <w:bottom w:val="nil"/>
              <w:right w:val="nil"/>
            </w:tcBorders>
            <w:shd w:val="clear" w:color="auto" w:fill="auto"/>
            <w:noWrap/>
            <w:vAlign w:val="bottom"/>
            <w:hideMark/>
          </w:tcPr>
          <w:p w14:paraId="09DBA258"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49EFD32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SMS17-4-22</w:t>
            </w:r>
          </w:p>
        </w:tc>
        <w:tc>
          <w:tcPr>
            <w:tcW w:w="62" w:type="pct"/>
            <w:tcBorders>
              <w:top w:val="single" w:sz="4" w:space="0" w:color="auto"/>
              <w:left w:val="nil"/>
              <w:bottom w:val="nil"/>
              <w:right w:val="nil"/>
            </w:tcBorders>
            <w:shd w:val="clear" w:color="auto" w:fill="auto"/>
            <w:noWrap/>
            <w:vAlign w:val="center"/>
            <w:hideMark/>
          </w:tcPr>
          <w:p w14:paraId="10852A9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5FBF69A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SMS17-5-6</w:t>
            </w:r>
          </w:p>
        </w:tc>
        <w:tc>
          <w:tcPr>
            <w:tcW w:w="62" w:type="pct"/>
            <w:tcBorders>
              <w:top w:val="single" w:sz="4" w:space="0" w:color="auto"/>
              <w:left w:val="nil"/>
              <w:bottom w:val="nil"/>
              <w:right w:val="nil"/>
            </w:tcBorders>
            <w:shd w:val="clear" w:color="auto" w:fill="auto"/>
            <w:noWrap/>
            <w:vAlign w:val="center"/>
            <w:hideMark/>
          </w:tcPr>
          <w:p w14:paraId="4D45D9A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0BBACFC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SMS29-3-9</w:t>
            </w:r>
          </w:p>
        </w:tc>
        <w:tc>
          <w:tcPr>
            <w:tcW w:w="62" w:type="pct"/>
            <w:tcBorders>
              <w:top w:val="single" w:sz="4" w:space="0" w:color="auto"/>
              <w:left w:val="nil"/>
              <w:bottom w:val="nil"/>
              <w:right w:val="nil"/>
            </w:tcBorders>
            <w:shd w:val="clear" w:color="auto" w:fill="auto"/>
            <w:noWrap/>
            <w:vAlign w:val="center"/>
            <w:hideMark/>
          </w:tcPr>
          <w:p w14:paraId="18C1DA6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5FE4D52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ED21-10-3</w:t>
            </w:r>
          </w:p>
        </w:tc>
        <w:tc>
          <w:tcPr>
            <w:tcW w:w="62" w:type="pct"/>
            <w:tcBorders>
              <w:top w:val="single" w:sz="4" w:space="0" w:color="auto"/>
              <w:left w:val="nil"/>
              <w:bottom w:val="nil"/>
              <w:right w:val="nil"/>
            </w:tcBorders>
            <w:shd w:val="clear" w:color="auto" w:fill="auto"/>
            <w:noWrap/>
            <w:vAlign w:val="center"/>
            <w:hideMark/>
          </w:tcPr>
          <w:p w14:paraId="68D2C97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472" w:type="pct"/>
            <w:gridSpan w:val="2"/>
            <w:tcBorders>
              <w:top w:val="single" w:sz="4" w:space="0" w:color="auto"/>
              <w:left w:val="nil"/>
              <w:bottom w:val="single" w:sz="4" w:space="0" w:color="auto"/>
              <w:right w:val="nil"/>
            </w:tcBorders>
            <w:shd w:val="clear" w:color="auto" w:fill="auto"/>
            <w:noWrap/>
            <w:vAlign w:val="center"/>
            <w:hideMark/>
          </w:tcPr>
          <w:p w14:paraId="79876A7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ED23-3-6</w:t>
            </w:r>
          </w:p>
        </w:tc>
      </w:tr>
      <w:tr w:rsidR="00C333B8" w:rsidRPr="00C333B8" w14:paraId="16D0097E" w14:textId="77777777" w:rsidTr="00C333B8">
        <w:trPr>
          <w:trHeight w:val="240"/>
        </w:trPr>
        <w:tc>
          <w:tcPr>
            <w:tcW w:w="256" w:type="pct"/>
            <w:tcBorders>
              <w:top w:val="nil"/>
              <w:left w:val="nil"/>
              <w:bottom w:val="nil"/>
              <w:right w:val="nil"/>
            </w:tcBorders>
            <w:shd w:val="clear" w:color="auto" w:fill="auto"/>
            <w:noWrap/>
            <w:vAlign w:val="bottom"/>
            <w:hideMark/>
          </w:tcPr>
          <w:p w14:paraId="22A60861" w14:textId="77777777" w:rsidR="00C333B8" w:rsidRPr="00C333B8" w:rsidRDefault="00C333B8" w:rsidP="00C333B8">
            <w:pP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569C28D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3FD76B0A" w14:textId="77777777" w:rsidR="00C333B8" w:rsidRPr="00C333B8" w:rsidRDefault="00C333B8" w:rsidP="00C333B8">
            <w:pPr>
              <w:jc w:val="cente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46323B8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10232654" w14:textId="77777777" w:rsidR="00C333B8" w:rsidRPr="00C333B8" w:rsidRDefault="00C333B8" w:rsidP="00C333B8">
            <w:pPr>
              <w:jc w:val="cente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2F822E6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303AB647" w14:textId="77777777" w:rsidR="00C333B8" w:rsidRPr="00C333B8" w:rsidRDefault="00C333B8" w:rsidP="00C333B8">
            <w:pPr>
              <w:jc w:val="cente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bottom"/>
            <w:hideMark/>
          </w:tcPr>
          <w:p w14:paraId="576F969C"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Core</w:t>
            </w:r>
          </w:p>
        </w:tc>
        <w:tc>
          <w:tcPr>
            <w:tcW w:w="62" w:type="pct"/>
            <w:tcBorders>
              <w:top w:val="nil"/>
              <w:left w:val="nil"/>
              <w:bottom w:val="nil"/>
              <w:right w:val="nil"/>
            </w:tcBorders>
            <w:shd w:val="clear" w:color="auto" w:fill="auto"/>
            <w:noWrap/>
            <w:vAlign w:val="bottom"/>
            <w:hideMark/>
          </w:tcPr>
          <w:p w14:paraId="6EF1D030" w14:textId="77777777" w:rsidR="00C333B8" w:rsidRPr="00C333B8" w:rsidRDefault="00C333B8" w:rsidP="00C333B8">
            <w:pPr>
              <w:jc w:val="center"/>
              <w:rPr>
                <w:rFonts w:eastAsia="Times New Roman"/>
                <w:color w:val="000000"/>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4DCCA26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3E7ED854" w14:textId="77777777" w:rsidR="00C333B8" w:rsidRPr="00C333B8" w:rsidRDefault="00C333B8" w:rsidP="00C333B8">
            <w:pPr>
              <w:jc w:val="cente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233DEDF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19DF5309" w14:textId="77777777" w:rsidR="00C333B8" w:rsidRPr="00C333B8" w:rsidRDefault="00C333B8" w:rsidP="00C333B8">
            <w:pPr>
              <w:jc w:val="cente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2781312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22465C96" w14:textId="77777777" w:rsidR="00C333B8" w:rsidRPr="00C333B8" w:rsidRDefault="00C333B8" w:rsidP="00C333B8">
            <w:pPr>
              <w:jc w:val="cente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005AB6A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331E7F3C" w14:textId="77777777" w:rsidR="00C333B8" w:rsidRPr="00C333B8" w:rsidRDefault="00C333B8" w:rsidP="00C333B8">
            <w:pPr>
              <w:jc w:val="center"/>
              <w:rPr>
                <w:rFonts w:eastAsia="Times New Roman"/>
                <w:sz w:val="18"/>
                <w:szCs w:val="18"/>
                <w:lang w:val="fr-FR" w:eastAsia="fr-FR"/>
              </w:rPr>
            </w:pPr>
          </w:p>
        </w:tc>
        <w:tc>
          <w:tcPr>
            <w:tcW w:w="472" w:type="pct"/>
            <w:gridSpan w:val="2"/>
            <w:tcBorders>
              <w:top w:val="single" w:sz="4" w:space="0" w:color="auto"/>
              <w:left w:val="nil"/>
              <w:bottom w:val="nil"/>
              <w:right w:val="nil"/>
            </w:tcBorders>
            <w:shd w:val="clear" w:color="auto" w:fill="auto"/>
            <w:noWrap/>
            <w:vAlign w:val="center"/>
            <w:hideMark/>
          </w:tcPr>
          <w:p w14:paraId="3403F4B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Core</w:t>
            </w:r>
          </w:p>
        </w:tc>
      </w:tr>
      <w:tr w:rsidR="00C333B8" w:rsidRPr="00C333B8" w14:paraId="7169BCAB" w14:textId="77777777" w:rsidTr="00C333B8">
        <w:trPr>
          <w:trHeight w:val="240"/>
        </w:trPr>
        <w:tc>
          <w:tcPr>
            <w:tcW w:w="256" w:type="pct"/>
            <w:tcBorders>
              <w:top w:val="nil"/>
              <w:left w:val="nil"/>
              <w:bottom w:val="single" w:sz="4" w:space="0" w:color="auto"/>
              <w:right w:val="nil"/>
            </w:tcBorders>
            <w:shd w:val="clear" w:color="auto" w:fill="auto"/>
            <w:noWrap/>
            <w:vAlign w:val="bottom"/>
            <w:hideMark/>
          </w:tcPr>
          <w:p w14:paraId="4608E7A9" w14:textId="77777777" w:rsidR="00C333B8" w:rsidRPr="00C333B8" w:rsidRDefault="00C333B8" w:rsidP="00C333B8">
            <w:pPr>
              <w:rPr>
                <w:rFonts w:eastAsia="Times New Roman"/>
                <w:sz w:val="18"/>
                <w:szCs w:val="18"/>
                <w:lang w:val="fr-FR" w:eastAsia="fr-FR"/>
              </w:rPr>
            </w:pPr>
            <w:r w:rsidRPr="00C333B8">
              <w:rPr>
                <w:rFonts w:eastAsia="Times New Roman"/>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5EAC23C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(n=17)</w:t>
            </w:r>
          </w:p>
        </w:tc>
        <w:tc>
          <w:tcPr>
            <w:tcW w:w="154" w:type="pct"/>
            <w:tcBorders>
              <w:top w:val="nil"/>
              <w:left w:val="nil"/>
              <w:bottom w:val="single" w:sz="4" w:space="0" w:color="auto"/>
              <w:right w:val="nil"/>
            </w:tcBorders>
            <w:shd w:val="clear" w:color="auto" w:fill="auto"/>
            <w:noWrap/>
            <w:vAlign w:val="center"/>
            <w:hideMark/>
          </w:tcPr>
          <w:p w14:paraId="0CE5338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4FF7932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8" w:type="pct"/>
            <w:tcBorders>
              <w:top w:val="nil"/>
              <w:left w:val="nil"/>
              <w:bottom w:val="single" w:sz="4" w:space="0" w:color="auto"/>
              <w:right w:val="nil"/>
            </w:tcBorders>
            <w:shd w:val="clear" w:color="auto" w:fill="auto"/>
            <w:noWrap/>
            <w:vAlign w:val="center"/>
            <w:hideMark/>
          </w:tcPr>
          <w:p w14:paraId="67D4D3F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(n=5)</w:t>
            </w:r>
          </w:p>
        </w:tc>
        <w:tc>
          <w:tcPr>
            <w:tcW w:w="174" w:type="pct"/>
            <w:tcBorders>
              <w:top w:val="nil"/>
              <w:left w:val="nil"/>
              <w:bottom w:val="single" w:sz="4" w:space="0" w:color="auto"/>
              <w:right w:val="nil"/>
            </w:tcBorders>
            <w:shd w:val="clear" w:color="auto" w:fill="auto"/>
            <w:noWrap/>
            <w:vAlign w:val="center"/>
            <w:hideMark/>
          </w:tcPr>
          <w:p w14:paraId="6AD5CA8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26C6B42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2FF9BDE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(n=36)</w:t>
            </w:r>
          </w:p>
        </w:tc>
        <w:tc>
          <w:tcPr>
            <w:tcW w:w="154" w:type="pct"/>
            <w:tcBorders>
              <w:top w:val="nil"/>
              <w:left w:val="nil"/>
              <w:bottom w:val="single" w:sz="4" w:space="0" w:color="auto"/>
              <w:right w:val="nil"/>
            </w:tcBorders>
            <w:shd w:val="clear" w:color="auto" w:fill="auto"/>
            <w:noWrap/>
            <w:vAlign w:val="center"/>
            <w:hideMark/>
          </w:tcPr>
          <w:p w14:paraId="1AF6B47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0576DF0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7" w:type="pct"/>
            <w:tcBorders>
              <w:top w:val="nil"/>
              <w:left w:val="nil"/>
              <w:bottom w:val="single" w:sz="4" w:space="0" w:color="auto"/>
              <w:right w:val="nil"/>
            </w:tcBorders>
            <w:shd w:val="clear" w:color="auto" w:fill="auto"/>
            <w:noWrap/>
            <w:vAlign w:val="bottom"/>
            <w:hideMark/>
          </w:tcPr>
          <w:p w14:paraId="3C56CB30"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(n=5)</w:t>
            </w:r>
          </w:p>
        </w:tc>
        <w:tc>
          <w:tcPr>
            <w:tcW w:w="175" w:type="pct"/>
            <w:tcBorders>
              <w:top w:val="nil"/>
              <w:left w:val="nil"/>
              <w:bottom w:val="single" w:sz="4" w:space="0" w:color="auto"/>
              <w:right w:val="nil"/>
            </w:tcBorders>
            <w:shd w:val="clear" w:color="auto" w:fill="auto"/>
            <w:noWrap/>
            <w:vAlign w:val="bottom"/>
            <w:hideMark/>
          </w:tcPr>
          <w:p w14:paraId="68BDBA64"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w:t>
            </w:r>
          </w:p>
        </w:tc>
        <w:tc>
          <w:tcPr>
            <w:tcW w:w="62" w:type="pct"/>
            <w:tcBorders>
              <w:top w:val="nil"/>
              <w:left w:val="nil"/>
              <w:bottom w:val="single" w:sz="4" w:space="0" w:color="auto"/>
              <w:right w:val="nil"/>
            </w:tcBorders>
            <w:shd w:val="clear" w:color="auto" w:fill="auto"/>
            <w:noWrap/>
            <w:vAlign w:val="bottom"/>
            <w:hideMark/>
          </w:tcPr>
          <w:p w14:paraId="51A472E2"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2CD818C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(n=13)</w:t>
            </w:r>
          </w:p>
        </w:tc>
        <w:tc>
          <w:tcPr>
            <w:tcW w:w="154" w:type="pct"/>
            <w:tcBorders>
              <w:top w:val="nil"/>
              <w:left w:val="nil"/>
              <w:bottom w:val="single" w:sz="4" w:space="0" w:color="auto"/>
              <w:right w:val="nil"/>
            </w:tcBorders>
            <w:shd w:val="clear" w:color="auto" w:fill="auto"/>
            <w:noWrap/>
            <w:vAlign w:val="center"/>
            <w:hideMark/>
          </w:tcPr>
          <w:p w14:paraId="793C3BF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16D6A97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442EF4A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(n=16)</w:t>
            </w:r>
          </w:p>
        </w:tc>
        <w:tc>
          <w:tcPr>
            <w:tcW w:w="154" w:type="pct"/>
            <w:tcBorders>
              <w:top w:val="nil"/>
              <w:left w:val="nil"/>
              <w:bottom w:val="single" w:sz="4" w:space="0" w:color="auto"/>
              <w:right w:val="nil"/>
            </w:tcBorders>
            <w:shd w:val="clear" w:color="auto" w:fill="auto"/>
            <w:noWrap/>
            <w:vAlign w:val="center"/>
            <w:hideMark/>
          </w:tcPr>
          <w:p w14:paraId="586C384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4AB8E46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321FE62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(n=16)</w:t>
            </w:r>
          </w:p>
        </w:tc>
        <w:tc>
          <w:tcPr>
            <w:tcW w:w="154" w:type="pct"/>
            <w:tcBorders>
              <w:top w:val="nil"/>
              <w:left w:val="nil"/>
              <w:bottom w:val="single" w:sz="4" w:space="0" w:color="auto"/>
              <w:right w:val="nil"/>
            </w:tcBorders>
            <w:shd w:val="clear" w:color="auto" w:fill="auto"/>
            <w:noWrap/>
            <w:vAlign w:val="center"/>
            <w:hideMark/>
          </w:tcPr>
          <w:p w14:paraId="0CCCC3E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2685349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7" w:type="pct"/>
            <w:tcBorders>
              <w:top w:val="nil"/>
              <w:left w:val="nil"/>
              <w:bottom w:val="single" w:sz="4" w:space="0" w:color="auto"/>
              <w:right w:val="nil"/>
            </w:tcBorders>
            <w:shd w:val="clear" w:color="auto" w:fill="auto"/>
            <w:noWrap/>
            <w:vAlign w:val="center"/>
            <w:hideMark/>
          </w:tcPr>
          <w:p w14:paraId="5F3E4D8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(n=8)</w:t>
            </w:r>
          </w:p>
        </w:tc>
        <w:tc>
          <w:tcPr>
            <w:tcW w:w="175" w:type="pct"/>
            <w:tcBorders>
              <w:top w:val="nil"/>
              <w:left w:val="nil"/>
              <w:bottom w:val="single" w:sz="4" w:space="0" w:color="auto"/>
              <w:right w:val="nil"/>
            </w:tcBorders>
            <w:shd w:val="clear" w:color="auto" w:fill="auto"/>
            <w:noWrap/>
            <w:vAlign w:val="center"/>
            <w:hideMark/>
          </w:tcPr>
          <w:p w14:paraId="74303BD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7975334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8" w:type="pct"/>
            <w:tcBorders>
              <w:top w:val="nil"/>
              <w:left w:val="nil"/>
              <w:bottom w:val="single" w:sz="4" w:space="0" w:color="auto"/>
              <w:right w:val="nil"/>
            </w:tcBorders>
            <w:shd w:val="clear" w:color="auto" w:fill="auto"/>
            <w:noWrap/>
            <w:vAlign w:val="center"/>
            <w:hideMark/>
          </w:tcPr>
          <w:p w14:paraId="203CE1D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(n=7)</w:t>
            </w:r>
          </w:p>
        </w:tc>
        <w:tc>
          <w:tcPr>
            <w:tcW w:w="174" w:type="pct"/>
            <w:tcBorders>
              <w:top w:val="nil"/>
              <w:left w:val="nil"/>
              <w:bottom w:val="single" w:sz="4" w:space="0" w:color="auto"/>
              <w:right w:val="nil"/>
            </w:tcBorders>
            <w:shd w:val="clear" w:color="auto" w:fill="auto"/>
            <w:noWrap/>
            <w:vAlign w:val="center"/>
            <w:hideMark/>
          </w:tcPr>
          <w:p w14:paraId="5AB1C89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r>
      <w:tr w:rsidR="00C333B8" w:rsidRPr="00C333B8" w14:paraId="2CADD3DF" w14:textId="77777777" w:rsidTr="00C333B8">
        <w:trPr>
          <w:trHeight w:val="240"/>
        </w:trPr>
        <w:tc>
          <w:tcPr>
            <w:tcW w:w="256" w:type="pct"/>
            <w:tcBorders>
              <w:top w:val="nil"/>
              <w:left w:val="nil"/>
              <w:bottom w:val="nil"/>
              <w:right w:val="nil"/>
            </w:tcBorders>
            <w:shd w:val="clear" w:color="auto" w:fill="auto"/>
            <w:noWrap/>
            <w:vAlign w:val="center"/>
            <w:hideMark/>
          </w:tcPr>
          <w:p w14:paraId="0077EE9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SiO</w:t>
            </w:r>
            <w:r w:rsidRPr="00C333B8">
              <w:rPr>
                <w:rFonts w:eastAsia="Times New Roman"/>
                <w:sz w:val="18"/>
                <w:szCs w:val="18"/>
                <w:vertAlign w:val="subscript"/>
                <w:lang w:val="fr-FR" w:eastAsia="fr-FR"/>
              </w:rPr>
              <w:t>2</w:t>
            </w:r>
          </w:p>
        </w:tc>
        <w:tc>
          <w:tcPr>
            <w:tcW w:w="317" w:type="pct"/>
            <w:tcBorders>
              <w:top w:val="nil"/>
              <w:left w:val="nil"/>
              <w:bottom w:val="nil"/>
              <w:right w:val="nil"/>
            </w:tcBorders>
            <w:shd w:val="clear" w:color="auto" w:fill="auto"/>
            <w:noWrap/>
            <w:vAlign w:val="center"/>
            <w:hideMark/>
          </w:tcPr>
          <w:p w14:paraId="14083A0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51.7</w:t>
            </w:r>
          </w:p>
        </w:tc>
        <w:tc>
          <w:tcPr>
            <w:tcW w:w="154" w:type="pct"/>
            <w:tcBorders>
              <w:top w:val="nil"/>
              <w:left w:val="nil"/>
              <w:bottom w:val="nil"/>
              <w:right w:val="nil"/>
            </w:tcBorders>
            <w:shd w:val="clear" w:color="auto" w:fill="auto"/>
            <w:noWrap/>
            <w:vAlign w:val="center"/>
            <w:hideMark/>
          </w:tcPr>
          <w:p w14:paraId="1AA6A9A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06C68CB3"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0A106CE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50.9</w:t>
            </w:r>
          </w:p>
        </w:tc>
        <w:tc>
          <w:tcPr>
            <w:tcW w:w="174" w:type="pct"/>
            <w:tcBorders>
              <w:top w:val="nil"/>
              <w:left w:val="nil"/>
              <w:bottom w:val="nil"/>
              <w:right w:val="nil"/>
            </w:tcBorders>
            <w:shd w:val="clear" w:color="auto" w:fill="auto"/>
            <w:noWrap/>
            <w:vAlign w:val="center"/>
            <w:hideMark/>
          </w:tcPr>
          <w:p w14:paraId="332DDEA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w:t>
            </w:r>
          </w:p>
        </w:tc>
        <w:tc>
          <w:tcPr>
            <w:tcW w:w="62" w:type="pct"/>
            <w:tcBorders>
              <w:top w:val="nil"/>
              <w:left w:val="nil"/>
              <w:bottom w:val="nil"/>
              <w:right w:val="nil"/>
            </w:tcBorders>
            <w:shd w:val="clear" w:color="auto" w:fill="auto"/>
            <w:noWrap/>
            <w:vAlign w:val="center"/>
            <w:hideMark/>
          </w:tcPr>
          <w:p w14:paraId="01C26B05"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1A90543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51.5</w:t>
            </w:r>
          </w:p>
        </w:tc>
        <w:tc>
          <w:tcPr>
            <w:tcW w:w="154" w:type="pct"/>
            <w:tcBorders>
              <w:top w:val="nil"/>
              <w:left w:val="nil"/>
              <w:bottom w:val="nil"/>
              <w:right w:val="nil"/>
            </w:tcBorders>
            <w:shd w:val="clear" w:color="auto" w:fill="auto"/>
            <w:noWrap/>
            <w:vAlign w:val="center"/>
            <w:hideMark/>
          </w:tcPr>
          <w:p w14:paraId="2DFB25A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1.1</w:t>
            </w:r>
          </w:p>
        </w:tc>
        <w:tc>
          <w:tcPr>
            <w:tcW w:w="62" w:type="pct"/>
            <w:tcBorders>
              <w:top w:val="nil"/>
              <w:left w:val="nil"/>
              <w:bottom w:val="nil"/>
              <w:right w:val="nil"/>
            </w:tcBorders>
            <w:shd w:val="clear" w:color="auto" w:fill="auto"/>
            <w:noWrap/>
            <w:vAlign w:val="center"/>
            <w:hideMark/>
          </w:tcPr>
          <w:p w14:paraId="16DF2BFA"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0AA6E489"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52.5</w:t>
            </w:r>
          </w:p>
        </w:tc>
        <w:tc>
          <w:tcPr>
            <w:tcW w:w="175" w:type="pct"/>
            <w:tcBorders>
              <w:top w:val="nil"/>
              <w:left w:val="nil"/>
              <w:bottom w:val="nil"/>
              <w:right w:val="nil"/>
            </w:tcBorders>
            <w:shd w:val="clear" w:color="auto" w:fill="auto"/>
            <w:noWrap/>
            <w:vAlign w:val="center"/>
            <w:hideMark/>
          </w:tcPr>
          <w:p w14:paraId="3F9A1B46"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0.7</w:t>
            </w:r>
          </w:p>
        </w:tc>
        <w:tc>
          <w:tcPr>
            <w:tcW w:w="62" w:type="pct"/>
            <w:tcBorders>
              <w:top w:val="nil"/>
              <w:left w:val="nil"/>
              <w:bottom w:val="nil"/>
              <w:right w:val="nil"/>
            </w:tcBorders>
            <w:shd w:val="clear" w:color="auto" w:fill="auto"/>
            <w:noWrap/>
            <w:vAlign w:val="center"/>
            <w:hideMark/>
          </w:tcPr>
          <w:p w14:paraId="161510CE"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41326BD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50.9</w:t>
            </w:r>
          </w:p>
        </w:tc>
        <w:tc>
          <w:tcPr>
            <w:tcW w:w="154" w:type="pct"/>
            <w:tcBorders>
              <w:top w:val="nil"/>
              <w:left w:val="nil"/>
              <w:bottom w:val="nil"/>
              <w:right w:val="nil"/>
            </w:tcBorders>
            <w:shd w:val="clear" w:color="auto" w:fill="auto"/>
            <w:noWrap/>
            <w:vAlign w:val="center"/>
            <w:hideMark/>
          </w:tcPr>
          <w:p w14:paraId="465F784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w:t>
            </w:r>
          </w:p>
        </w:tc>
        <w:tc>
          <w:tcPr>
            <w:tcW w:w="62" w:type="pct"/>
            <w:tcBorders>
              <w:top w:val="nil"/>
              <w:left w:val="nil"/>
              <w:bottom w:val="nil"/>
              <w:right w:val="nil"/>
            </w:tcBorders>
            <w:shd w:val="clear" w:color="auto" w:fill="auto"/>
            <w:noWrap/>
            <w:vAlign w:val="center"/>
            <w:hideMark/>
          </w:tcPr>
          <w:p w14:paraId="579755CD"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63C370E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50.8</w:t>
            </w:r>
          </w:p>
        </w:tc>
        <w:tc>
          <w:tcPr>
            <w:tcW w:w="154" w:type="pct"/>
            <w:tcBorders>
              <w:top w:val="nil"/>
              <w:left w:val="nil"/>
              <w:bottom w:val="nil"/>
              <w:right w:val="nil"/>
            </w:tcBorders>
            <w:shd w:val="clear" w:color="auto" w:fill="auto"/>
            <w:noWrap/>
            <w:vAlign w:val="center"/>
            <w:hideMark/>
          </w:tcPr>
          <w:p w14:paraId="5BCF99D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464EEA2F"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C7AF5A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51.1</w:t>
            </w:r>
          </w:p>
        </w:tc>
        <w:tc>
          <w:tcPr>
            <w:tcW w:w="154" w:type="pct"/>
            <w:tcBorders>
              <w:top w:val="nil"/>
              <w:left w:val="nil"/>
              <w:bottom w:val="nil"/>
              <w:right w:val="nil"/>
            </w:tcBorders>
            <w:shd w:val="clear" w:color="auto" w:fill="auto"/>
            <w:noWrap/>
            <w:vAlign w:val="center"/>
            <w:hideMark/>
          </w:tcPr>
          <w:p w14:paraId="742FB73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6594190F"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7D92464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52.8</w:t>
            </w:r>
          </w:p>
        </w:tc>
        <w:tc>
          <w:tcPr>
            <w:tcW w:w="175" w:type="pct"/>
            <w:tcBorders>
              <w:top w:val="nil"/>
              <w:left w:val="nil"/>
              <w:bottom w:val="nil"/>
              <w:right w:val="nil"/>
            </w:tcBorders>
            <w:shd w:val="clear" w:color="auto" w:fill="auto"/>
            <w:noWrap/>
            <w:vAlign w:val="center"/>
            <w:hideMark/>
          </w:tcPr>
          <w:p w14:paraId="6F9E752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2D01E424"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3C99F3B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51.2</w:t>
            </w:r>
          </w:p>
        </w:tc>
        <w:tc>
          <w:tcPr>
            <w:tcW w:w="174" w:type="pct"/>
            <w:tcBorders>
              <w:top w:val="nil"/>
              <w:left w:val="nil"/>
              <w:bottom w:val="nil"/>
              <w:right w:val="nil"/>
            </w:tcBorders>
            <w:shd w:val="clear" w:color="auto" w:fill="auto"/>
            <w:noWrap/>
            <w:vAlign w:val="center"/>
            <w:hideMark/>
          </w:tcPr>
          <w:p w14:paraId="7928C8D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r>
      <w:tr w:rsidR="00C333B8" w:rsidRPr="00C333B8" w14:paraId="36365699" w14:textId="77777777" w:rsidTr="00C333B8">
        <w:trPr>
          <w:trHeight w:val="240"/>
        </w:trPr>
        <w:tc>
          <w:tcPr>
            <w:tcW w:w="256" w:type="pct"/>
            <w:tcBorders>
              <w:top w:val="nil"/>
              <w:left w:val="nil"/>
              <w:bottom w:val="nil"/>
              <w:right w:val="nil"/>
            </w:tcBorders>
            <w:shd w:val="clear" w:color="auto" w:fill="auto"/>
            <w:noWrap/>
            <w:vAlign w:val="center"/>
            <w:hideMark/>
          </w:tcPr>
          <w:p w14:paraId="23A5DDE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TiO</w:t>
            </w:r>
            <w:r w:rsidRPr="00C333B8">
              <w:rPr>
                <w:rFonts w:eastAsia="Times New Roman"/>
                <w:sz w:val="18"/>
                <w:szCs w:val="18"/>
                <w:vertAlign w:val="subscript"/>
                <w:lang w:val="fr-FR" w:eastAsia="fr-FR"/>
              </w:rPr>
              <w:t>2</w:t>
            </w:r>
          </w:p>
        </w:tc>
        <w:tc>
          <w:tcPr>
            <w:tcW w:w="317" w:type="pct"/>
            <w:tcBorders>
              <w:top w:val="nil"/>
              <w:left w:val="nil"/>
              <w:bottom w:val="nil"/>
              <w:right w:val="nil"/>
            </w:tcBorders>
            <w:shd w:val="clear" w:color="auto" w:fill="auto"/>
            <w:noWrap/>
            <w:vAlign w:val="center"/>
            <w:hideMark/>
          </w:tcPr>
          <w:p w14:paraId="2D3F33E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154" w:type="pct"/>
            <w:tcBorders>
              <w:top w:val="nil"/>
              <w:left w:val="nil"/>
              <w:bottom w:val="nil"/>
              <w:right w:val="nil"/>
            </w:tcBorders>
            <w:shd w:val="clear" w:color="auto" w:fill="auto"/>
            <w:noWrap/>
            <w:vAlign w:val="center"/>
            <w:hideMark/>
          </w:tcPr>
          <w:p w14:paraId="6CB7BD5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5FE8E124"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0412173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174" w:type="pct"/>
            <w:tcBorders>
              <w:top w:val="nil"/>
              <w:left w:val="nil"/>
              <w:bottom w:val="nil"/>
              <w:right w:val="nil"/>
            </w:tcBorders>
            <w:shd w:val="clear" w:color="auto" w:fill="auto"/>
            <w:noWrap/>
            <w:vAlign w:val="center"/>
            <w:hideMark/>
          </w:tcPr>
          <w:p w14:paraId="451088F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6636797"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4E89C8F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c>
          <w:tcPr>
            <w:tcW w:w="154" w:type="pct"/>
            <w:tcBorders>
              <w:top w:val="nil"/>
              <w:left w:val="nil"/>
              <w:bottom w:val="nil"/>
              <w:right w:val="nil"/>
            </w:tcBorders>
            <w:shd w:val="clear" w:color="auto" w:fill="auto"/>
            <w:noWrap/>
            <w:vAlign w:val="center"/>
            <w:hideMark/>
          </w:tcPr>
          <w:p w14:paraId="16F0C0D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2D23E382"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54DBCA6B"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0.4</w:t>
            </w:r>
          </w:p>
        </w:tc>
        <w:tc>
          <w:tcPr>
            <w:tcW w:w="175" w:type="pct"/>
            <w:tcBorders>
              <w:top w:val="nil"/>
              <w:left w:val="nil"/>
              <w:bottom w:val="nil"/>
              <w:right w:val="nil"/>
            </w:tcBorders>
            <w:shd w:val="clear" w:color="auto" w:fill="auto"/>
            <w:noWrap/>
            <w:vAlign w:val="center"/>
            <w:hideMark/>
          </w:tcPr>
          <w:p w14:paraId="0EF13CB2"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0.1</w:t>
            </w:r>
          </w:p>
        </w:tc>
        <w:tc>
          <w:tcPr>
            <w:tcW w:w="62" w:type="pct"/>
            <w:tcBorders>
              <w:top w:val="nil"/>
              <w:left w:val="nil"/>
              <w:bottom w:val="nil"/>
              <w:right w:val="nil"/>
            </w:tcBorders>
            <w:shd w:val="clear" w:color="auto" w:fill="auto"/>
            <w:noWrap/>
            <w:vAlign w:val="center"/>
            <w:hideMark/>
          </w:tcPr>
          <w:p w14:paraId="57B239A0"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6B599B7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0.7</w:t>
            </w:r>
          </w:p>
        </w:tc>
        <w:tc>
          <w:tcPr>
            <w:tcW w:w="154" w:type="pct"/>
            <w:tcBorders>
              <w:top w:val="nil"/>
              <w:left w:val="nil"/>
              <w:bottom w:val="nil"/>
              <w:right w:val="nil"/>
            </w:tcBorders>
            <w:shd w:val="clear" w:color="auto" w:fill="auto"/>
            <w:noWrap/>
            <w:vAlign w:val="center"/>
            <w:hideMark/>
          </w:tcPr>
          <w:p w14:paraId="67AE3D7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22789CE1"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0827226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154" w:type="pct"/>
            <w:tcBorders>
              <w:top w:val="nil"/>
              <w:left w:val="nil"/>
              <w:bottom w:val="nil"/>
              <w:right w:val="nil"/>
            </w:tcBorders>
            <w:shd w:val="clear" w:color="auto" w:fill="auto"/>
            <w:noWrap/>
            <w:vAlign w:val="center"/>
            <w:hideMark/>
          </w:tcPr>
          <w:p w14:paraId="605EB76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2CAE03C5"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AD355E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154" w:type="pct"/>
            <w:tcBorders>
              <w:top w:val="nil"/>
              <w:left w:val="nil"/>
              <w:bottom w:val="nil"/>
              <w:right w:val="nil"/>
            </w:tcBorders>
            <w:shd w:val="clear" w:color="auto" w:fill="auto"/>
            <w:noWrap/>
            <w:vAlign w:val="center"/>
            <w:hideMark/>
          </w:tcPr>
          <w:p w14:paraId="0892BD9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007FC7FD"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4127D3A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175" w:type="pct"/>
            <w:tcBorders>
              <w:top w:val="nil"/>
              <w:left w:val="nil"/>
              <w:bottom w:val="nil"/>
              <w:right w:val="nil"/>
            </w:tcBorders>
            <w:shd w:val="clear" w:color="auto" w:fill="auto"/>
            <w:noWrap/>
            <w:vAlign w:val="center"/>
            <w:hideMark/>
          </w:tcPr>
          <w:p w14:paraId="2FEEB37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7367915A"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6740219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174" w:type="pct"/>
            <w:tcBorders>
              <w:top w:val="nil"/>
              <w:left w:val="nil"/>
              <w:bottom w:val="nil"/>
              <w:right w:val="nil"/>
            </w:tcBorders>
            <w:shd w:val="clear" w:color="auto" w:fill="auto"/>
            <w:noWrap/>
            <w:vAlign w:val="center"/>
            <w:hideMark/>
          </w:tcPr>
          <w:p w14:paraId="22551C9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r>
      <w:tr w:rsidR="00C333B8" w:rsidRPr="00C333B8" w14:paraId="73EDF5F7" w14:textId="77777777" w:rsidTr="00C333B8">
        <w:trPr>
          <w:trHeight w:val="240"/>
        </w:trPr>
        <w:tc>
          <w:tcPr>
            <w:tcW w:w="256" w:type="pct"/>
            <w:tcBorders>
              <w:top w:val="nil"/>
              <w:left w:val="nil"/>
              <w:bottom w:val="nil"/>
              <w:right w:val="nil"/>
            </w:tcBorders>
            <w:shd w:val="clear" w:color="auto" w:fill="auto"/>
            <w:noWrap/>
            <w:vAlign w:val="center"/>
            <w:hideMark/>
          </w:tcPr>
          <w:p w14:paraId="5DA4F69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Al</w:t>
            </w:r>
            <w:r w:rsidRPr="00C333B8">
              <w:rPr>
                <w:rFonts w:eastAsia="Times New Roman"/>
                <w:sz w:val="18"/>
                <w:szCs w:val="18"/>
                <w:vertAlign w:val="subscript"/>
                <w:lang w:val="fr-FR" w:eastAsia="fr-FR"/>
              </w:rPr>
              <w:t>2</w:t>
            </w:r>
            <w:r w:rsidRPr="00C333B8">
              <w:rPr>
                <w:rFonts w:eastAsia="Times New Roman"/>
                <w:sz w:val="18"/>
                <w:szCs w:val="18"/>
                <w:lang w:val="fr-FR" w:eastAsia="fr-FR"/>
              </w:rPr>
              <w:t>O</w:t>
            </w:r>
            <w:r w:rsidRPr="00C333B8">
              <w:rPr>
                <w:rFonts w:eastAsia="Times New Roman"/>
                <w:sz w:val="18"/>
                <w:szCs w:val="18"/>
                <w:vertAlign w:val="subscript"/>
                <w:lang w:val="fr-FR" w:eastAsia="fr-FR"/>
              </w:rPr>
              <w:t>3</w:t>
            </w:r>
          </w:p>
        </w:tc>
        <w:tc>
          <w:tcPr>
            <w:tcW w:w="317" w:type="pct"/>
            <w:tcBorders>
              <w:top w:val="nil"/>
              <w:left w:val="nil"/>
              <w:bottom w:val="nil"/>
              <w:right w:val="nil"/>
            </w:tcBorders>
            <w:shd w:val="clear" w:color="auto" w:fill="auto"/>
            <w:noWrap/>
            <w:vAlign w:val="center"/>
            <w:hideMark/>
          </w:tcPr>
          <w:p w14:paraId="1C94AB8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4.2</w:t>
            </w:r>
          </w:p>
        </w:tc>
        <w:tc>
          <w:tcPr>
            <w:tcW w:w="154" w:type="pct"/>
            <w:tcBorders>
              <w:top w:val="nil"/>
              <w:left w:val="nil"/>
              <w:bottom w:val="nil"/>
              <w:right w:val="nil"/>
            </w:tcBorders>
            <w:shd w:val="clear" w:color="auto" w:fill="auto"/>
            <w:noWrap/>
            <w:vAlign w:val="center"/>
            <w:hideMark/>
          </w:tcPr>
          <w:p w14:paraId="0E84A45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11A0AE91"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5C559CC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6.0</w:t>
            </w:r>
          </w:p>
        </w:tc>
        <w:tc>
          <w:tcPr>
            <w:tcW w:w="174" w:type="pct"/>
            <w:tcBorders>
              <w:top w:val="nil"/>
              <w:left w:val="nil"/>
              <w:bottom w:val="nil"/>
              <w:right w:val="nil"/>
            </w:tcBorders>
            <w:shd w:val="clear" w:color="auto" w:fill="auto"/>
            <w:noWrap/>
            <w:vAlign w:val="center"/>
            <w:hideMark/>
          </w:tcPr>
          <w:p w14:paraId="5B6D8A8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1.1</w:t>
            </w:r>
          </w:p>
        </w:tc>
        <w:tc>
          <w:tcPr>
            <w:tcW w:w="62" w:type="pct"/>
            <w:tcBorders>
              <w:top w:val="nil"/>
              <w:left w:val="nil"/>
              <w:bottom w:val="nil"/>
              <w:right w:val="nil"/>
            </w:tcBorders>
            <w:shd w:val="clear" w:color="auto" w:fill="auto"/>
            <w:noWrap/>
            <w:vAlign w:val="center"/>
            <w:hideMark/>
          </w:tcPr>
          <w:p w14:paraId="1467B137"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6906347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4.4</w:t>
            </w:r>
          </w:p>
        </w:tc>
        <w:tc>
          <w:tcPr>
            <w:tcW w:w="154" w:type="pct"/>
            <w:tcBorders>
              <w:top w:val="nil"/>
              <w:left w:val="nil"/>
              <w:bottom w:val="nil"/>
              <w:right w:val="nil"/>
            </w:tcBorders>
            <w:shd w:val="clear" w:color="auto" w:fill="auto"/>
            <w:noWrap/>
            <w:vAlign w:val="center"/>
            <w:hideMark/>
          </w:tcPr>
          <w:p w14:paraId="2E18916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1.5</w:t>
            </w:r>
          </w:p>
        </w:tc>
        <w:tc>
          <w:tcPr>
            <w:tcW w:w="62" w:type="pct"/>
            <w:tcBorders>
              <w:top w:val="nil"/>
              <w:left w:val="nil"/>
              <w:bottom w:val="nil"/>
              <w:right w:val="nil"/>
            </w:tcBorders>
            <w:shd w:val="clear" w:color="auto" w:fill="auto"/>
            <w:noWrap/>
            <w:vAlign w:val="center"/>
            <w:hideMark/>
          </w:tcPr>
          <w:p w14:paraId="7F8DF446"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03E130EC"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3.4</w:t>
            </w:r>
          </w:p>
        </w:tc>
        <w:tc>
          <w:tcPr>
            <w:tcW w:w="175" w:type="pct"/>
            <w:tcBorders>
              <w:top w:val="nil"/>
              <w:left w:val="nil"/>
              <w:bottom w:val="nil"/>
              <w:right w:val="nil"/>
            </w:tcBorders>
            <w:shd w:val="clear" w:color="auto" w:fill="auto"/>
            <w:noWrap/>
            <w:vAlign w:val="center"/>
            <w:hideMark/>
          </w:tcPr>
          <w:p w14:paraId="711E7B37"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1.0</w:t>
            </w:r>
          </w:p>
        </w:tc>
        <w:tc>
          <w:tcPr>
            <w:tcW w:w="62" w:type="pct"/>
            <w:tcBorders>
              <w:top w:val="nil"/>
              <w:left w:val="nil"/>
              <w:bottom w:val="nil"/>
              <w:right w:val="nil"/>
            </w:tcBorders>
            <w:shd w:val="clear" w:color="auto" w:fill="auto"/>
            <w:noWrap/>
            <w:vAlign w:val="center"/>
            <w:hideMark/>
          </w:tcPr>
          <w:p w14:paraId="3969D0A3"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2B75C72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5.5</w:t>
            </w:r>
          </w:p>
        </w:tc>
        <w:tc>
          <w:tcPr>
            <w:tcW w:w="154" w:type="pct"/>
            <w:tcBorders>
              <w:top w:val="nil"/>
              <w:left w:val="nil"/>
              <w:bottom w:val="nil"/>
              <w:right w:val="nil"/>
            </w:tcBorders>
            <w:shd w:val="clear" w:color="auto" w:fill="auto"/>
            <w:noWrap/>
            <w:vAlign w:val="center"/>
            <w:hideMark/>
          </w:tcPr>
          <w:p w14:paraId="6066A12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1.4</w:t>
            </w:r>
          </w:p>
        </w:tc>
        <w:tc>
          <w:tcPr>
            <w:tcW w:w="62" w:type="pct"/>
            <w:tcBorders>
              <w:top w:val="nil"/>
              <w:left w:val="nil"/>
              <w:bottom w:val="nil"/>
              <w:right w:val="nil"/>
            </w:tcBorders>
            <w:shd w:val="clear" w:color="auto" w:fill="auto"/>
            <w:noWrap/>
            <w:vAlign w:val="center"/>
            <w:hideMark/>
          </w:tcPr>
          <w:p w14:paraId="5C420C0B"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6CD4F3E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5.7</w:t>
            </w:r>
          </w:p>
        </w:tc>
        <w:tc>
          <w:tcPr>
            <w:tcW w:w="154" w:type="pct"/>
            <w:tcBorders>
              <w:top w:val="nil"/>
              <w:left w:val="nil"/>
              <w:bottom w:val="nil"/>
              <w:right w:val="nil"/>
            </w:tcBorders>
            <w:shd w:val="clear" w:color="auto" w:fill="auto"/>
            <w:noWrap/>
            <w:vAlign w:val="center"/>
            <w:hideMark/>
          </w:tcPr>
          <w:p w14:paraId="409D28E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0.7</w:t>
            </w:r>
          </w:p>
        </w:tc>
        <w:tc>
          <w:tcPr>
            <w:tcW w:w="62" w:type="pct"/>
            <w:tcBorders>
              <w:top w:val="nil"/>
              <w:left w:val="nil"/>
              <w:bottom w:val="nil"/>
              <w:right w:val="nil"/>
            </w:tcBorders>
            <w:shd w:val="clear" w:color="auto" w:fill="auto"/>
            <w:noWrap/>
            <w:vAlign w:val="center"/>
            <w:hideMark/>
          </w:tcPr>
          <w:p w14:paraId="6836ECDF"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1E2A27B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4.9</w:t>
            </w:r>
          </w:p>
        </w:tc>
        <w:tc>
          <w:tcPr>
            <w:tcW w:w="154" w:type="pct"/>
            <w:tcBorders>
              <w:top w:val="nil"/>
              <w:left w:val="nil"/>
              <w:bottom w:val="nil"/>
              <w:right w:val="nil"/>
            </w:tcBorders>
            <w:shd w:val="clear" w:color="auto" w:fill="auto"/>
            <w:noWrap/>
            <w:vAlign w:val="center"/>
            <w:hideMark/>
          </w:tcPr>
          <w:p w14:paraId="524359B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1.1</w:t>
            </w:r>
          </w:p>
        </w:tc>
        <w:tc>
          <w:tcPr>
            <w:tcW w:w="62" w:type="pct"/>
            <w:tcBorders>
              <w:top w:val="nil"/>
              <w:left w:val="nil"/>
              <w:bottom w:val="nil"/>
              <w:right w:val="nil"/>
            </w:tcBorders>
            <w:shd w:val="clear" w:color="auto" w:fill="auto"/>
            <w:noWrap/>
            <w:vAlign w:val="center"/>
            <w:hideMark/>
          </w:tcPr>
          <w:p w14:paraId="7CD6D74A"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590E291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3.0</w:t>
            </w:r>
          </w:p>
        </w:tc>
        <w:tc>
          <w:tcPr>
            <w:tcW w:w="175" w:type="pct"/>
            <w:tcBorders>
              <w:top w:val="nil"/>
              <w:left w:val="nil"/>
              <w:bottom w:val="nil"/>
              <w:right w:val="nil"/>
            </w:tcBorders>
            <w:shd w:val="clear" w:color="auto" w:fill="auto"/>
            <w:noWrap/>
            <w:vAlign w:val="center"/>
            <w:hideMark/>
          </w:tcPr>
          <w:p w14:paraId="0F4B574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585F5B23"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5D38379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5.8</w:t>
            </w:r>
          </w:p>
        </w:tc>
        <w:tc>
          <w:tcPr>
            <w:tcW w:w="174" w:type="pct"/>
            <w:tcBorders>
              <w:top w:val="nil"/>
              <w:left w:val="nil"/>
              <w:bottom w:val="nil"/>
              <w:right w:val="nil"/>
            </w:tcBorders>
            <w:shd w:val="clear" w:color="auto" w:fill="auto"/>
            <w:noWrap/>
            <w:vAlign w:val="center"/>
            <w:hideMark/>
          </w:tcPr>
          <w:p w14:paraId="50B9689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r>
      <w:tr w:rsidR="00C333B8" w:rsidRPr="00C333B8" w14:paraId="51127787" w14:textId="77777777" w:rsidTr="00C333B8">
        <w:trPr>
          <w:trHeight w:val="240"/>
        </w:trPr>
        <w:tc>
          <w:tcPr>
            <w:tcW w:w="256" w:type="pct"/>
            <w:tcBorders>
              <w:top w:val="nil"/>
              <w:left w:val="nil"/>
              <w:bottom w:val="nil"/>
              <w:right w:val="nil"/>
            </w:tcBorders>
            <w:shd w:val="clear" w:color="auto" w:fill="auto"/>
            <w:noWrap/>
            <w:vAlign w:val="center"/>
            <w:hideMark/>
          </w:tcPr>
          <w:p w14:paraId="0B01FCC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FeO</w:t>
            </w:r>
            <w:r w:rsidRPr="00C333B8">
              <w:rPr>
                <w:rFonts w:eastAsia="Times New Roman"/>
                <w:sz w:val="18"/>
                <w:szCs w:val="18"/>
                <w:vertAlign w:val="subscript"/>
                <w:lang w:val="fr-FR" w:eastAsia="fr-FR"/>
              </w:rPr>
              <w:t>tot</w:t>
            </w:r>
          </w:p>
        </w:tc>
        <w:tc>
          <w:tcPr>
            <w:tcW w:w="317" w:type="pct"/>
            <w:tcBorders>
              <w:top w:val="nil"/>
              <w:left w:val="nil"/>
              <w:bottom w:val="nil"/>
              <w:right w:val="nil"/>
            </w:tcBorders>
            <w:shd w:val="clear" w:color="auto" w:fill="auto"/>
            <w:noWrap/>
            <w:vAlign w:val="center"/>
            <w:hideMark/>
          </w:tcPr>
          <w:p w14:paraId="664AC4B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3.5</w:t>
            </w:r>
          </w:p>
        </w:tc>
        <w:tc>
          <w:tcPr>
            <w:tcW w:w="154" w:type="pct"/>
            <w:tcBorders>
              <w:top w:val="nil"/>
              <w:left w:val="nil"/>
              <w:bottom w:val="nil"/>
              <w:right w:val="nil"/>
            </w:tcBorders>
            <w:shd w:val="clear" w:color="auto" w:fill="auto"/>
            <w:noWrap/>
            <w:vAlign w:val="center"/>
            <w:hideMark/>
          </w:tcPr>
          <w:p w14:paraId="5D6A892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5B1DB9F2"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1E736C0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3.1</w:t>
            </w:r>
          </w:p>
        </w:tc>
        <w:tc>
          <w:tcPr>
            <w:tcW w:w="174" w:type="pct"/>
            <w:tcBorders>
              <w:top w:val="nil"/>
              <w:left w:val="nil"/>
              <w:bottom w:val="nil"/>
              <w:right w:val="nil"/>
            </w:tcBorders>
            <w:shd w:val="clear" w:color="auto" w:fill="auto"/>
            <w:noWrap/>
            <w:vAlign w:val="center"/>
            <w:hideMark/>
          </w:tcPr>
          <w:p w14:paraId="4D033C3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10296891"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1F9D35B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3.4</w:t>
            </w:r>
          </w:p>
        </w:tc>
        <w:tc>
          <w:tcPr>
            <w:tcW w:w="154" w:type="pct"/>
            <w:tcBorders>
              <w:top w:val="nil"/>
              <w:left w:val="nil"/>
              <w:bottom w:val="nil"/>
              <w:right w:val="nil"/>
            </w:tcBorders>
            <w:shd w:val="clear" w:color="auto" w:fill="auto"/>
            <w:noWrap/>
            <w:vAlign w:val="center"/>
            <w:hideMark/>
          </w:tcPr>
          <w:p w14:paraId="6D22089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4DB16127"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28E8E139"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2.9</w:t>
            </w:r>
          </w:p>
        </w:tc>
        <w:tc>
          <w:tcPr>
            <w:tcW w:w="175" w:type="pct"/>
            <w:tcBorders>
              <w:top w:val="nil"/>
              <w:left w:val="nil"/>
              <w:bottom w:val="nil"/>
              <w:right w:val="nil"/>
            </w:tcBorders>
            <w:shd w:val="clear" w:color="auto" w:fill="auto"/>
            <w:noWrap/>
            <w:vAlign w:val="center"/>
            <w:hideMark/>
          </w:tcPr>
          <w:p w14:paraId="09150933"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0.2</w:t>
            </w:r>
          </w:p>
        </w:tc>
        <w:tc>
          <w:tcPr>
            <w:tcW w:w="62" w:type="pct"/>
            <w:tcBorders>
              <w:top w:val="nil"/>
              <w:left w:val="nil"/>
              <w:bottom w:val="nil"/>
              <w:right w:val="nil"/>
            </w:tcBorders>
            <w:shd w:val="clear" w:color="auto" w:fill="auto"/>
            <w:noWrap/>
            <w:vAlign w:val="center"/>
            <w:hideMark/>
          </w:tcPr>
          <w:p w14:paraId="070E9391"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553FD15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2.8</w:t>
            </w:r>
          </w:p>
        </w:tc>
        <w:tc>
          <w:tcPr>
            <w:tcW w:w="154" w:type="pct"/>
            <w:tcBorders>
              <w:top w:val="nil"/>
              <w:left w:val="nil"/>
              <w:bottom w:val="nil"/>
              <w:right w:val="nil"/>
            </w:tcBorders>
            <w:shd w:val="clear" w:color="auto" w:fill="auto"/>
            <w:noWrap/>
            <w:vAlign w:val="center"/>
            <w:hideMark/>
          </w:tcPr>
          <w:p w14:paraId="0C4E717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38629B12"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9E3E30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3.8</w:t>
            </w:r>
          </w:p>
        </w:tc>
        <w:tc>
          <w:tcPr>
            <w:tcW w:w="154" w:type="pct"/>
            <w:tcBorders>
              <w:top w:val="nil"/>
              <w:left w:val="nil"/>
              <w:bottom w:val="nil"/>
              <w:right w:val="nil"/>
            </w:tcBorders>
            <w:shd w:val="clear" w:color="auto" w:fill="auto"/>
            <w:noWrap/>
            <w:vAlign w:val="center"/>
            <w:hideMark/>
          </w:tcPr>
          <w:p w14:paraId="76891CB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051F99E3"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85F414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3.6</w:t>
            </w:r>
          </w:p>
        </w:tc>
        <w:tc>
          <w:tcPr>
            <w:tcW w:w="154" w:type="pct"/>
            <w:tcBorders>
              <w:top w:val="nil"/>
              <w:left w:val="nil"/>
              <w:bottom w:val="nil"/>
              <w:right w:val="nil"/>
            </w:tcBorders>
            <w:shd w:val="clear" w:color="auto" w:fill="auto"/>
            <w:noWrap/>
            <w:vAlign w:val="center"/>
            <w:hideMark/>
          </w:tcPr>
          <w:p w14:paraId="69571F6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4E5C5C27"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484824A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3.1</w:t>
            </w:r>
          </w:p>
        </w:tc>
        <w:tc>
          <w:tcPr>
            <w:tcW w:w="175" w:type="pct"/>
            <w:tcBorders>
              <w:top w:val="nil"/>
              <w:left w:val="nil"/>
              <w:bottom w:val="nil"/>
              <w:right w:val="nil"/>
            </w:tcBorders>
            <w:shd w:val="clear" w:color="auto" w:fill="auto"/>
            <w:noWrap/>
            <w:vAlign w:val="center"/>
            <w:hideMark/>
          </w:tcPr>
          <w:p w14:paraId="12B3D8E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189466B7"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103543B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3.1</w:t>
            </w:r>
          </w:p>
        </w:tc>
        <w:tc>
          <w:tcPr>
            <w:tcW w:w="174" w:type="pct"/>
            <w:tcBorders>
              <w:top w:val="nil"/>
              <w:left w:val="nil"/>
              <w:bottom w:val="nil"/>
              <w:right w:val="nil"/>
            </w:tcBorders>
            <w:shd w:val="clear" w:color="auto" w:fill="auto"/>
            <w:noWrap/>
            <w:vAlign w:val="center"/>
            <w:hideMark/>
          </w:tcPr>
          <w:p w14:paraId="66727C2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r>
      <w:tr w:rsidR="00C333B8" w:rsidRPr="00C333B8" w14:paraId="0AC1B609" w14:textId="77777777" w:rsidTr="00C333B8">
        <w:trPr>
          <w:trHeight w:val="240"/>
        </w:trPr>
        <w:tc>
          <w:tcPr>
            <w:tcW w:w="256" w:type="pct"/>
            <w:tcBorders>
              <w:top w:val="nil"/>
              <w:left w:val="nil"/>
              <w:bottom w:val="nil"/>
              <w:right w:val="nil"/>
            </w:tcBorders>
            <w:shd w:val="clear" w:color="auto" w:fill="auto"/>
            <w:noWrap/>
            <w:vAlign w:val="center"/>
            <w:hideMark/>
          </w:tcPr>
          <w:p w14:paraId="4C80643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MnO</w:t>
            </w:r>
          </w:p>
        </w:tc>
        <w:tc>
          <w:tcPr>
            <w:tcW w:w="317" w:type="pct"/>
            <w:tcBorders>
              <w:top w:val="nil"/>
              <w:left w:val="nil"/>
              <w:bottom w:val="nil"/>
              <w:right w:val="nil"/>
            </w:tcBorders>
            <w:shd w:val="clear" w:color="auto" w:fill="auto"/>
            <w:noWrap/>
            <w:vAlign w:val="center"/>
            <w:hideMark/>
          </w:tcPr>
          <w:p w14:paraId="74905FB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61B537B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02641F8"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56BD713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4" w:type="pct"/>
            <w:tcBorders>
              <w:top w:val="nil"/>
              <w:left w:val="nil"/>
              <w:bottom w:val="nil"/>
              <w:right w:val="nil"/>
            </w:tcBorders>
            <w:shd w:val="clear" w:color="auto" w:fill="auto"/>
            <w:noWrap/>
            <w:vAlign w:val="center"/>
            <w:hideMark/>
          </w:tcPr>
          <w:p w14:paraId="3CACB4E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8A3ED8F"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3DD6E4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70DC5FC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15321CB"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7D44541D"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0.1</w:t>
            </w:r>
          </w:p>
        </w:tc>
        <w:tc>
          <w:tcPr>
            <w:tcW w:w="175" w:type="pct"/>
            <w:tcBorders>
              <w:top w:val="nil"/>
              <w:left w:val="nil"/>
              <w:bottom w:val="nil"/>
              <w:right w:val="nil"/>
            </w:tcBorders>
            <w:shd w:val="clear" w:color="auto" w:fill="auto"/>
            <w:noWrap/>
            <w:vAlign w:val="center"/>
            <w:hideMark/>
          </w:tcPr>
          <w:p w14:paraId="415BE7E7"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62" w:type="pct"/>
            <w:tcBorders>
              <w:top w:val="nil"/>
              <w:left w:val="nil"/>
              <w:bottom w:val="nil"/>
              <w:right w:val="nil"/>
            </w:tcBorders>
            <w:shd w:val="clear" w:color="auto" w:fill="auto"/>
            <w:noWrap/>
            <w:vAlign w:val="center"/>
            <w:hideMark/>
          </w:tcPr>
          <w:p w14:paraId="7DDC5D0F"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09EB07F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189DE1A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BE6A9B8"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B09E0D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25029E3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07BD00F"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8E9BED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1A4C286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6B61A5B"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431DFE5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5" w:type="pct"/>
            <w:tcBorders>
              <w:top w:val="nil"/>
              <w:left w:val="nil"/>
              <w:bottom w:val="nil"/>
              <w:right w:val="nil"/>
            </w:tcBorders>
            <w:shd w:val="clear" w:color="auto" w:fill="auto"/>
            <w:noWrap/>
            <w:vAlign w:val="center"/>
            <w:hideMark/>
          </w:tcPr>
          <w:p w14:paraId="70B2E4A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19FB02CF"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4DA789C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4" w:type="pct"/>
            <w:tcBorders>
              <w:top w:val="nil"/>
              <w:left w:val="nil"/>
              <w:bottom w:val="nil"/>
              <w:right w:val="nil"/>
            </w:tcBorders>
            <w:shd w:val="clear" w:color="auto" w:fill="auto"/>
            <w:noWrap/>
            <w:vAlign w:val="center"/>
            <w:hideMark/>
          </w:tcPr>
          <w:p w14:paraId="2F5C80B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r>
      <w:tr w:rsidR="00C333B8" w:rsidRPr="00C333B8" w14:paraId="66A6F214" w14:textId="77777777" w:rsidTr="00C333B8">
        <w:trPr>
          <w:trHeight w:val="240"/>
        </w:trPr>
        <w:tc>
          <w:tcPr>
            <w:tcW w:w="256" w:type="pct"/>
            <w:tcBorders>
              <w:top w:val="nil"/>
              <w:left w:val="nil"/>
              <w:bottom w:val="nil"/>
              <w:right w:val="nil"/>
            </w:tcBorders>
            <w:shd w:val="clear" w:color="auto" w:fill="auto"/>
            <w:noWrap/>
            <w:vAlign w:val="center"/>
            <w:hideMark/>
          </w:tcPr>
          <w:p w14:paraId="44711F6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MgO</w:t>
            </w:r>
          </w:p>
        </w:tc>
        <w:tc>
          <w:tcPr>
            <w:tcW w:w="317" w:type="pct"/>
            <w:tcBorders>
              <w:top w:val="nil"/>
              <w:left w:val="nil"/>
              <w:bottom w:val="nil"/>
              <w:right w:val="nil"/>
            </w:tcBorders>
            <w:shd w:val="clear" w:color="auto" w:fill="auto"/>
            <w:noWrap/>
            <w:vAlign w:val="center"/>
            <w:hideMark/>
          </w:tcPr>
          <w:p w14:paraId="42CFA69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16.2</w:t>
            </w:r>
          </w:p>
        </w:tc>
        <w:tc>
          <w:tcPr>
            <w:tcW w:w="154" w:type="pct"/>
            <w:tcBorders>
              <w:top w:val="nil"/>
              <w:left w:val="nil"/>
              <w:bottom w:val="nil"/>
              <w:right w:val="nil"/>
            </w:tcBorders>
            <w:shd w:val="clear" w:color="auto" w:fill="auto"/>
            <w:noWrap/>
            <w:vAlign w:val="center"/>
            <w:hideMark/>
          </w:tcPr>
          <w:p w14:paraId="3336AA5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5331FAB6"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3F6C04E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15.6</w:t>
            </w:r>
          </w:p>
        </w:tc>
        <w:tc>
          <w:tcPr>
            <w:tcW w:w="174" w:type="pct"/>
            <w:tcBorders>
              <w:top w:val="nil"/>
              <w:left w:val="nil"/>
              <w:bottom w:val="nil"/>
              <w:right w:val="nil"/>
            </w:tcBorders>
            <w:shd w:val="clear" w:color="auto" w:fill="auto"/>
            <w:noWrap/>
            <w:vAlign w:val="center"/>
            <w:hideMark/>
          </w:tcPr>
          <w:p w14:paraId="2E0554F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1D990D94"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13AAA0B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16.0</w:t>
            </w:r>
          </w:p>
        </w:tc>
        <w:tc>
          <w:tcPr>
            <w:tcW w:w="154" w:type="pct"/>
            <w:tcBorders>
              <w:top w:val="nil"/>
              <w:left w:val="nil"/>
              <w:bottom w:val="nil"/>
              <w:right w:val="nil"/>
            </w:tcBorders>
            <w:shd w:val="clear" w:color="auto" w:fill="auto"/>
            <w:noWrap/>
            <w:vAlign w:val="center"/>
            <w:hideMark/>
          </w:tcPr>
          <w:p w14:paraId="13E3431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10910027"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25BFA040"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16.9</w:t>
            </w:r>
          </w:p>
        </w:tc>
        <w:tc>
          <w:tcPr>
            <w:tcW w:w="175" w:type="pct"/>
            <w:tcBorders>
              <w:top w:val="nil"/>
              <w:left w:val="nil"/>
              <w:bottom w:val="nil"/>
              <w:right w:val="nil"/>
            </w:tcBorders>
            <w:shd w:val="clear" w:color="auto" w:fill="auto"/>
            <w:noWrap/>
            <w:vAlign w:val="center"/>
            <w:hideMark/>
          </w:tcPr>
          <w:p w14:paraId="4373870C"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0.4</w:t>
            </w:r>
          </w:p>
        </w:tc>
        <w:tc>
          <w:tcPr>
            <w:tcW w:w="62" w:type="pct"/>
            <w:tcBorders>
              <w:top w:val="nil"/>
              <w:left w:val="nil"/>
              <w:bottom w:val="nil"/>
              <w:right w:val="nil"/>
            </w:tcBorders>
            <w:shd w:val="clear" w:color="auto" w:fill="auto"/>
            <w:noWrap/>
            <w:vAlign w:val="center"/>
            <w:hideMark/>
          </w:tcPr>
          <w:p w14:paraId="4210C25B"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17FD059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15.8</w:t>
            </w:r>
          </w:p>
        </w:tc>
        <w:tc>
          <w:tcPr>
            <w:tcW w:w="154" w:type="pct"/>
            <w:tcBorders>
              <w:top w:val="nil"/>
              <w:left w:val="nil"/>
              <w:bottom w:val="nil"/>
              <w:right w:val="nil"/>
            </w:tcBorders>
            <w:shd w:val="clear" w:color="auto" w:fill="auto"/>
            <w:noWrap/>
            <w:vAlign w:val="center"/>
            <w:hideMark/>
          </w:tcPr>
          <w:p w14:paraId="60CC0DE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0F3D4808"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D0125D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16.2</w:t>
            </w:r>
          </w:p>
        </w:tc>
        <w:tc>
          <w:tcPr>
            <w:tcW w:w="154" w:type="pct"/>
            <w:tcBorders>
              <w:top w:val="nil"/>
              <w:left w:val="nil"/>
              <w:bottom w:val="nil"/>
              <w:right w:val="nil"/>
            </w:tcBorders>
            <w:shd w:val="clear" w:color="auto" w:fill="auto"/>
            <w:noWrap/>
            <w:vAlign w:val="center"/>
            <w:hideMark/>
          </w:tcPr>
          <w:p w14:paraId="70154EC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2.1</w:t>
            </w:r>
          </w:p>
        </w:tc>
        <w:tc>
          <w:tcPr>
            <w:tcW w:w="62" w:type="pct"/>
            <w:tcBorders>
              <w:top w:val="nil"/>
              <w:left w:val="nil"/>
              <w:bottom w:val="nil"/>
              <w:right w:val="nil"/>
            </w:tcBorders>
            <w:shd w:val="clear" w:color="auto" w:fill="auto"/>
            <w:noWrap/>
            <w:vAlign w:val="center"/>
            <w:hideMark/>
          </w:tcPr>
          <w:p w14:paraId="7C7CA998"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583232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16.9</w:t>
            </w:r>
          </w:p>
        </w:tc>
        <w:tc>
          <w:tcPr>
            <w:tcW w:w="154" w:type="pct"/>
            <w:tcBorders>
              <w:top w:val="nil"/>
              <w:left w:val="nil"/>
              <w:bottom w:val="nil"/>
              <w:right w:val="nil"/>
            </w:tcBorders>
            <w:shd w:val="clear" w:color="auto" w:fill="auto"/>
            <w:noWrap/>
            <w:vAlign w:val="center"/>
            <w:hideMark/>
          </w:tcPr>
          <w:p w14:paraId="22E78D0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1.6</w:t>
            </w:r>
          </w:p>
        </w:tc>
        <w:tc>
          <w:tcPr>
            <w:tcW w:w="62" w:type="pct"/>
            <w:tcBorders>
              <w:top w:val="nil"/>
              <w:left w:val="nil"/>
              <w:bottom w:val="nil"/>
              <w:right w:val="nil"/>
            </w:tcBorders>
            <w:shd w:val="clear" w:color="auto" w:fill="auto"/>
            <w:noWrap/>
            <w:vAlign w:val="center"/>
            <w:hideMark/>
          </w:tcPr>
          <w:p w14:paraId="2819BF1A"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7EC50A7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17.1</w:t>
            </w:r>
          </w:p>
        </w:tc>
        <w:tc>
          <w:tcPr>
            <w:tcW w:w="175" w:type="pct"/>
            <w:tcBorders>
              <w:top w:val="nil"/>
              <w:left w:val="nil"/>
              <w:bottom w:val="nil"/>
              <w:right w:val="nil"/>
            </w:tcBorders>
            <w:shd w:val="clear" w:color="auto" w:fill="auto"/>
            <w:noWrap/>
            <w:vAlign w:val="center"/>
            <w:hideMark/>
          </w:tcPr>
          <w:p w14:paraId="682F055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6EEBD3F5"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682F4E8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16.7</w:t>
            </w:r>
          </w:p>
        </w:tc>
        <w:tc>
          <w:tcPr>
            <w:tcW w:w="174" w:type="pct"/>
            <w:tcBorders>
              <w:top w:val="nil"/>
              <w:left w:val="nil"/>
              <w:bottom w:val="nil"/>
              <w:right w:val="nil"/>
            </w:tcBorders>
            <w:shd w:val="clear" w:color="auto" w:fill="auto"/>
            <w:noWrap/>
            <w:vAlign w:val="center"/>
            <w:hideMark/>
          </w:tcPr>
          <w:p w14:paraId="79E5241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1.5</w:t>
            </w:r>
          </w:p>
        </w:tc>
      </w:tr>
      <w:tr w:rsidR="00C333B8" w:rsidRPr="00C333B8" w14:paraId="020B63FA" w14:textId="77777777" w:rsidTr="00C333B8">
        <w:trPr>
          <w:trHeight w:val="240"/>
        </w:trPr>
        <w:tc>
          <w:tcPr>
            <w:tcW w:w="256" w:type="pct"/>
            <w:tcBorders>
              <w:top w:val="nil"/>
              <w:left w:val="nil"/>
              <w:bottom w:val="nil"/>
              <w:right w:val="nil"/>
            </w:tcBorders>
            <w:shd w:val="clear" w:color="auto" w:fill="auto"/>
            <w:noWrap/>
            <w:vAlign w:val="center"/>
            <w:hideMark/>
          </w:tcPr>
          <w:p w14:paraId="2DA1D43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CaO</w:t>
            </w:r>
          </w:p>
        </w:tc>
        <w:tc>
          <w:tcPr>
            <w:tcW w:w="317" w:type="pct"/>
            <w:tcBorders>
              <w:top w:val="nil"/>
              <w:left w:val="nil"/>
              <w:bottom w:val="nil"/>
              <w:right w:val="nil"/>
            </w:tcBorders>
            <w:shd w:val="clear" w:color="auto" w:fill="auto"/>
            <w:noWrap/>
            <w:vAlign w:val="center"/>
            <w:hideMark/>
          </w:tcPr>
          <w:p w14:paraId="345616F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22.6</w:t>
            </w:r>
          </w:p>
        </w:tc>
        <w:tc>
          <w:tcPr>
            <w:tcW w:w="154" w:type="pct"/>
            <w:tcBorders>
              <w:top w:val="nil"/>
              <w:left w:val="nil"/>
              <w:bottom w:val="nil"/>
              <w:right w:val="nil"/>
            </w:tcBorders>
            <w:shd w:val="clear" w:color="auto" w:fill="auto"/>
            <w:noWrap/>
            <w:vAlign w:val="center"/>
            <w:hideMark/>
          </w:tcPr>
          <w:p w14:paraId="65BCFB2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1DFB915C"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570444D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22.8</w:t>
            </w:r>
          </w:p>
        </w:tc>
        <w:tc>
          <w:tcPr>
            <w:tcW w:w="174" w:type="pct"/>
            <w:tcBorders>
              <w:top w:val="nil"/>
              <w:left w:val="nil"/>
              <w:bottom w:val="nil"/>
              <w:right w:val="nil"/>
            </w:tcBorders>
            <w:shd w:val="clear" w:color="auto" w:fill="auto"/>
            <w:noWrap/>
            <w:vAlign w:val="center"/>
            <w:hideMark/>
          </w:tcPr>
          <w:p w14:paraId="59D2FFA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0EA7291A"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DE0861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22.5</w:t>
            </w:r>
          </w:p>
        </w:tc>
        <w:tc>
          <w:tcPr>
            <w:tcW w:w="154" w:type="pct"/>
            <w:tcBorders>
              <w:top w:val="nil"/>
              <w:left w:val="nil"/>
              <w:bottom w:val="nil"/>
              <w:right w:val="nil"/>
            </w:tcBorders>
            <w:shd w:val="clear" w:color="auto" w:fill="auto"/>
            <w:noWrap/>
            <w:vAlign w:val="center"/>
            <w:hideMark/>
          </w:tcPr>
          <w:p w14:paraId="6984EA4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w:t>
            </w:r>
          </w:p>
        </w:tc>
        <w:tc>
          <w:tcPr>
            <w:tcW w:w="62" w:type="pct"/>
            <w:tcBorders>
              <w:top w:val="nil"/>
              <w:left w:val="nil"/>
              <w:bottom w:val="nil"/>
              <w:right w:val="nil"/>
            </w:tcBorders>
            <w:shd w:val="clear" w:color="auto" w:fill="auto"/>
            <w:noWrap/>
            <w:vAlign w:val="center"/>
            <w:hideMark/>
          </w:tcPr>
          <w:p w14:paraId="2B1DBD41"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2EF23750"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22.2</w:t>
            </w:r>
          </w:p>
        </w:tc>
        <w:tc>
          <w:tcPr>
            <w:tcW w:w="175" w:type="pct"/>
            <w:tcBorders>
              <w:top w:val="nil"/>
              <w:left w:val="nil"/>
              <w:bottom w:val="nil"/>
              <w:right w:val="nil"/>
            </w:tcBorders>
            <w:shd w:val="clear" w:color="auto" w:fill="auto"/>
            <w:noWrap/>
            <w:vAlign w:val="center"/>
            <w:hideMark/>
          </w:tcPr>
          <w:p w14:paraId="1D40C398"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0.7</w:t>
            </w:r>
          </w:p>
        </w:tc>
        <w:tc>
          <w:tcPr>
            <w:tcW w:w="62" w:type="pct"/>
            <w:tcBorders>
              <w:top w:val="nil"/>
              <w:left w:val="nil"/>
              <w:bottom w:val="nil"/>
              <w:right w:val="nil"/>
            </w:tcBorders>
            <w:shd w:val="clear" w:color="auto" w:fill="auto"/>
            <w:noWrap/>
            <w:vAlign w:val="center"/>
            <w:hideMark/>
          </w:tcPr>
          <w:p w14:paraId="589C554A"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0080E52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22.4</w:t>
            </w:r>
          </w:p>
        </w:tc>
        <w:tc>
          <w:tcPr>
            <w:tcW w:w="154" w:type="pct"/>
            <w:tcBorders>
              <w:top w:val="nil"/>
              <w:left w:val="nil"/>
              <w:bottom w:val="nil"/>
              <w:right w:val="nil"/>
            </w:tcBorders>
            <w:shd w:val="clear" w:color="auto" w:fill="auto"/>
            <w:noWrap/>
            <w:vAlign w:val="center"/>
            <w:hideMark/>
          </w:tcPr>
          <w:p w14:paraId="6BE2F66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7D12EDCF"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A3A0C4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21.0</w:t>
            </w:r>
          </w:p>
        </w:tc>
        <w:tc>
          <w:tcPr>
            <w:tcW w:w="154" w:type="pct"/>
            <w:tcBorders>
              <w:top w:val="nil"/>
              <w:left w:val="nil"/>
              <w:bottom w:val="nil"/>
              <w:right w:val="nil"/>
            </w:tcBorders>
            <w:shd w:val="clear" w:color="auto" w:fill="auto"/>
            <w:noWrap/>
            <w:vAlign w:val="center"/>
            <w:hideMark/>
          </w:tcPr>
          <w:p w14:paraId="7FF5867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3.0</w:t>
            </w:r>
          </w:p>
        </w:tc>
        <w:tc>
          <w:tcPr>
            <w:tcW w:w="62" w:type="pct"/>
            <w:tcBorders>
              <w:top w:val="nil"/>
              <w:left w:val="nil"/>
              <w:bottom w:val="nil"/>
              <w:right w:val="nil"/>
            </w:tcBorders>
            <w:shd w:val="clear" w:color="auto" w:fill="auto"/>
            <w:noWrap/>
            <w:vAlign w:val="center"/>
            <w:hideMark/>
          </w:tcPr>
          <w:p w14:paraId="09343D14"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417E46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21.2</w:t>
            </w:r>
          </w:p>
        </w:tc>
        <w:tc>
          <w:tcPr>
            <w:tcW w:w="154" w:type="pct"/>
            <w:tcBorders>
              <w:top w:val="nil"/>
              <w:left w:val="nil"/>
              <w:bottom w:val="nil"/>
              <w:right w:val="nil"/>
            </w:tcBorders>
            <w:shd w:val="clear" w:color="auto" w:fill="auto"/>
            <w:noWrap/>
            <w:vAlign w:val="center"/>
            <w:hideMark/>
          </w:tcPr>
          <w:p w14:paraId="13A34AB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2.7</w:t>
            </w:r>
          </w:p>
        </w:tc>
        <w:tc>
          <w:tcPr>
            <w:tcW w:w="62" w:type="pct"/>
            <w:tcBorders>
              <w:top w:val="nil"/>
              <w:left w:val="nil"/>
              <w:bottom w:val="nil"/>
              <w:right w:val="nil"/>
            </w:tcBorders>
            <w:shd w:val="clear" w:color="auto" w:fill="auto"/>
            <w:noWrap/>
            <w:vAlign w:val="center"/>
            <w:hideMark/>
          </w:tcPr>
          <w:p w14:paraId="7A75565E"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027F4DD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22.2</w:t>
            </w:r>
          </w:p>
        </w:tc>
        <w:tc>
          <w:tcPr>
            <w:tcW w:w="175" w:type="pct"/>
            <w:tcBorders>
              <w:top w:val="nil"/>
              <w:left w:val="nil"/>
              <w:bottom w:val="nil"/>
              <w:right w:val="nil"/>
            </w:tcBorders>
            <w:shd w:val="clear" w:color="auto" w:fill="auto"/>
            <w:noWrap/>
            <w:vAlign w:val="center"/>
            <w:hideMark/>
          </w:tcPr>
          <w:p w14:paraId="68D9BD9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0.7</w:t>
            </w:r>
          </w:p>
        </w:tc>
        <w:tc>
          <w:tcPr>
            <w:tcW w:w="62" w:type="pct"/>
            <w:tcBorders>
              <w:top w:val="nil"/>
              <w:left w:val="nil"/>
              <w:bottom w:val="nil"/>
              <w:right w:val="nil"/>
            </w:tcBorders>
            <w:shd w:val="clear" w:color="auto" w:fill="auto"/>
            <w:noWrap/>
            <w:vAlign w:val="center"/>
            <w:hideMark/>
          </w:tcPr>
          <w:p w14:paraId="044C3D0E"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7BCF06B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21.1</w:t>
            </w:r>
          </w:p>
        </w:tc>
        <w:tc>
          <w:tcPr>
            <w:tcW w:w="174" w:type="pct"/>
            <w:tcBorders>
              <w:top w:val="nil"/>
              <w:left w:val="nil"/>
              <w:bottom w:val="nil"/>
              <w:right w:val="nil"/>
            </w:tcBorders>
            <w:shd w:val="clear" w:color="auto" w:fill="auto"/>
            <w:noWrap/>
            <w:vAlign w:val="center"/>
            <w:hideMark/>
          </w:tcPr>
          <w:p w14:paraId="5041A95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1.4</w:t>
            </w:r>
          </w:p>
        </w:tc>
      </w:tr>
      <w:tr w:rsidR="00C333B8" w:rsidRPr="00C333B8" w14:paraId="641F9F99" w14:textId="77777777" w:rsidTr="00C333B8">
        <w:trPr>
          <w:trHeight w:val="240"/>
        </w:trPr>
        <w:tc>
          <w:tcPr>
            <w:tcW w:w="256" w:type="pct"/>
            <w:tcBorders>
              <w:top w:val="nil"/>
              <w:left w:val="nil"/>
              <w:bottom w:val="nil"/>
              <w:right w:val="nil"/>
            </w:tcBorders>
            <w:shd w:val="clear" w:color="auto" w:fill="auto"/>
            <w:noWrap/>
            <w:vAlign w:val="center"/>
            <w:hideMark/>
          </w:tcPr>
          <w:p w14:paraId="0A0725B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Na</w:t>
            </w:r>
            <w:r w:rsidRPr="00C333B8">
              <w:rPr>
                <w:rFonts w:eastAsia="Times New Roman"/>
                <w:sz w:val="18"/>
                <w:szCs w:val="18"/>
                <w:vertAlign w:val="subscript"/>
                <w:lang w:val="fr-FR" w:eastAsia="fr-FR"/>
              </w:rPr>
              <w:t>2</w:t>
            </w:r>
            <w:r w:rsidRPr="00C333B8">
              <w:rPr>
                <w:rFonts w:eastAsia="Times New Roman"/>
                <w:sz w:val="18"/>
                <w:szCs w:val="18"/>
                <w:lang w:val="fr-FR" w:eastAsia="fr-FR"/>
              </w:rPr>
              <w:t>O</w:t>
            </w:r>
          </w:p>
        </w:tc>
        <w:tc>
          <w:tcPr>
            <w:tcW w:w="317" w:type="pct"/>
            <w:tcBorders>
              <w:top w:val="nil"/>
              <w:left w:val="nil"/>
              <w:bottom w:val="nil"/>
              <w:right w:val="nil"/>
            </w:tcBorders>
            <w:shd w:val="clear" w:color="auto" w:fill="auto"/>
            <w:noWrap/>
            <w:vAlign w:val="center"/>
            <w:hideMark/>
          </w:tcPr>
          <w:p w14:paraId="4F3ECAA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154" w:type="pct"/>
            <w:tcBorders>
              <w:top w:val="nil"/>
              <w:left w:val="nil"/>
              <w:bottom w:val="nil"/>
              <w:right w:val="nil"/>
            </w:tcBorders>
            <w:shd w:val="clear" w:color="auto" w:fill="auto"/>
            <w:noWrap/>
            <w:vAlign w:val="center"/>
            <w:hideMark/>
          </w:tcPr>
          <w:p w14:paraId="36F14C1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6200DA55"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55C4CFC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174" w:type="pct"/>
            <w:tcBorders>
              <w:top w:val="nil"/>
              <w:left w:val="nil"/>
              <w:bottom w:val="nil"/>
              <w:right w:val="nil"/>
            </w:tcBorders>
            <w:shd w:val="clear" w:color="auto" w:fill="auto"/>
            <w:noWrap/>
            <w:vAlign w:val="center"/>
            <w:hideMark/>
          </w:tcPr>
          <w:p w14:paraId="7A63405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CA8DF11"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05825A5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c>
          <w:tcPr>
            <w:tcW w:w="154" w:type="pct"/>
            <w:tcBorders>
              <w:top w:val="nil"/>
              <w:left w:val="nil"/>
              <w:bottom w:val="nil"/>
              <w:right w:val="nil"/>
            </w:tcBorders>
            <w:shd w:val="clear" w:color="auto" w:fill="auto"/>
            <w:noWrap/>
            <w:vAlign w:val="center"/>
            <w:hideMark/>
          </w:tcPr>
          <w:p w14:paraId="74D0297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70D3E271"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0BA30104"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0.4</w:t>
            </w:r>
          </w:p>
        </w:tc>
        <w:tc>
          <w:tcPr>
            <w:tcW w:w="175" w:type="pct"/>
            <w:tcBorders>
              <w:top w:val="nil"/>
              <w:left w:val="nil"/>
              <w:bottom w:val="nil"/>
              <w:right w:val="nil"/>
            </w:tcBorders>
            <w:shd w:val="clear" w:color="auto" w:fill="auto"/>
            <w:noWrap/>
            <w:vAlign w:val="center"/>
            <w:hideMark/>
          </w:tcPr>
          <w:p w14:paraId="076AA297"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0.1</w:t>
            </w:r>
          </w:p>
        </w:tc>
        <w:tc>
          <w:tcPr>
            <w:tcW w:w="62" w:type="pct"/>
            <w:tcBorders>
              <w:top w:val="nil"/>
              <w:left w:val="nil"/>
              <w:bottom w:val="nil"/>
              <w:right w:val="nil"/>
            </w:tcBorders>
            <w:shd w:val="clear" w:color="auto" w:fill="auto"/>
            <w:noWrap/>
            <w:vAlign w:val="center"/>
            <w:hideMark/>
          </w:tcPr>
          <w:p w14:paraId="20EC2DCF"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1FA6257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154" w:type="pct"/>
            <w:tcBorders>
              <w:top w:val="nil"/>
              <w:left w:val="nil"/>
              <w:bottom w:val="nil"/>
              <w:right w:val="nil"/>
            </w:tcBorders>
            <w:shd w:val="clear" w:color="auto" w:fill="auto"/>
            <w:noWrap/>
            <w:vAlign w:val="center"/>
            <w:hideMark/>
          </w:tcPr>
          <w:p w14:paraId="43F7C96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3F559D8"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4684718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154" w:type="pct"/>
            <w:tcBorders>
              <w:top w:val="nil"/>
              <w:left w:val="nil"/>
              <w:bottom w:val="nil"/>
              <w:right w:val="nil"/>
            </w:tcBorders>
            <w:shd w:val="clear" w:color="auto" w:fill="auto"/>
            <w:noWrap/>
            <w:vAlign w:val="center"/>
            <w:hideMark/>
          </w:tcPr>
          <w:p w14:paraId="6203715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39205D77"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9AE7AE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c>
          <w:tcPr>
            <w:tcW w:w="154" w:type="pct"/>
            <w:tcBorders>
              <w:top w:val="nil"/>
              <w:left w:val="nil"/>
              <w:bottom w:val="nil"/>
              <w:right w:val="nil"/>
            </w:tcBorders>
            <w:shd w:val="clear" w:color="auto" w:fill="auto"/>
            <w:noWrap/>
            <w:vAlign w:val="center"/>
            <w:hideMark/>
          </w:tcPr>
          <w:p w14:paraId="25AE574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C57D4DA"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408D8BA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c>
          <w:tcPr>
            <w:tcW w:w="175" w:type="pct"/>
            <w:tcBorders>
              <w:top w:val="nil"/>
              <w:left w:val="nil"/>
              <w:bottom w:val="nil"/>
              <w:right w:val="nil"/>
            </w:tcBorders>
            <w:shd w:val="clear" w:color="auto" w:fill="auto"/>
            <w:noWrap/>
            <w:vAlign w:val="center"/>
            <w:hideMark/>
          </w:tcPr>
          <w:p w14:paraId="11338B6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0178441E"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7DD9E7D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174" w:type="pct"/>
            <w:tcBorders>
              <w:top w:val="nil"/>
              <w:left w:val="nil"/>
              <w:bottom w:val="nil"/>
              <w:right w:val="nil"/>
            </w:tcBorders>
            <w:shd w:val="clear" w:color="auto" w:fill="auto"/>
            <w:noWrap/>
            <w:vAlign w:val="center"/>
            <w:hideMark/>
          </w:tcPr>
          <w:p w14:paraId="2BA13FF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r>
      <w:tr w:rsidR="00C333B8" w:rsidRPr="00C333B8" w14:paraId="5FBE8A8F" w14:textId="77777777" w:rsidTr="00C333B8">
        <w:trPr>
          <w:trHeight w:val="240"/>
        </w:trPr>
        <w:tc>
          <w:tcPr>
            <w:tcW w:w="256" w:type="pct"/>
            <w:tcBorders>
              <w:top w:val="nil"/>
              <w:left w:val="nil"/>
              <w:bottom w:val="nil"/>
              <w:right w:val="nil"/>
            </w:tcBorders>
            <w:shd w:val="clear" w:color="auto" w:fill="auto"/>
            <w:noWrap/>
            <w:vAlign w:val="center"/>
            <w:hideMark/>
          </w:tcPr>
          <w:p w14:paraId="2C3AAB9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K</w:t>
            </w:r>
            <w:r w:rsidRPr="00C333B8">
              <w:rPr>
                <w:rFonts w:eastAsia="Times New Roman"/>
                <w:sz w:val="18"/>
                <w:szCs w:val="18"/>
                <w:vertAlign w:val="subscript"/>
                <w:lang w:val="fr-FR" w:eastAsia="fr-FR"/>
              </w:rPr>
              <w:t>2</w:t>
            </w:r>
            <w:r w:rsidRPr="00C333B8">
              <w:rPr>
                <w:rFonts w:eastAsia="Times New Roman"/>
                <w:sz w:val="18"/>
                <w:szCs w:val="18"/>
                <w:lang w:val="fr-FR" w:eastAsia="fr-FR"/>
              </w:rPr>
              <w:t>O</w:t>
            </w:r>
          </w:p>
        </w:tc>
        <w:tc>
          <w:tcPr>
            <w:tcW w:w="317" w:type="pct"/>
            <w:tcBorders>
              <w:top w:val="nil"/>
              <w:left w:val="nil"/>
              <w:bottom w:val="nil"/>
              <w:right w:val="nil"/>
            </w:tcBorders>
            <w:shd w:val="clear" w:color="auto" w:fill="auto"/>
            <w:noWrap/>
            <w:vAlign w:val="center"/>
            <w:hideMark/>
          </w:tcPr>
          <w:p w14:paraId="61D6899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7E6A353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B891989"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65A5756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4" w:type="pct"/>
            <w:tcBorders>
              <w:top w:val="nil"/>
              <w:left w:val="nil"/>
              <w:bottom w:val="nil"/>
              <w:right w:val="nil"/>
            </w:tcBorders>
            <w:shd w:val="clear" w:color="auto" w:fill="auto"/>
            <w:noWrap/>
            <w:vAlign w:val="center"/>
            <w:hideMark/>
          </w:tcPr>
          <w:p w14:paraId="1796126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34D3B1B"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74E1696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0695722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E492500"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471D3AE1"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175" w:type="pct"/>
            <w:tcBorders>
              <w:top w:val="nil"/>
              <w:left w:val="nil"/>
              <w:bottom w:val="nil"/>
              <w:right w:val="nil"/>
            </w:tcBorders>
            <w:shd w:val="clear" w:color="auto" w:fill="auto"/>
            <w:noWrap/>
            <w:vAlign w:val="center"/>
            <w:hideMark/>
          </w:tcPr>
          <w:p w14:paraId="4768A753"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62" w:type="pct"/>
            <w:tcBorders>
              <w:top w:val="nil"/>
              <w:left w:val="nil"/>
              <w:bottom w:val="nil"/>
              <w:right w:val="nil"/>
            </w:tcBorders>
            <w:shd w:val="clear" w:color="auto" w:fill="auto"/>
            <w:noWrap/>
            <w:vAlign w:val="center"/>
            <w:hideMark/>
          </w:tcPr>
          <w:p w14:paraId="14E7EFF9"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20EDEE9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62E7B7A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E7C76F9"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7ED265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1FE4C96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7100AB4"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D77666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58A003B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DBB40DA"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63B3959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5" w:type="pct"/>
            <w:tcBorders>
              <w:top w:val="nil"/>
              <w:left w:val="nil"/>
              <w:bottom w:val="nil"/>
              <w:right w:val="nil"/>
            </w:tcBorders>
            <w:shd w:val="clear" w:color="auto" w:fill="auto"/>
            <w:noWrap/>
            <w:vAlign w:val="center"/>
            <w:hideMark/>
          </w:tcPr>
          <w:p w14:paraId="7B7F2DC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90D1126"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6557CC6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4" w:type="pct"/>
            <w:tcBorders>
              <w:top w:val="nil"/>
              <w:left w:val="nil"/>
              <w:bottom w:val="nil"/>
              <w:right w:val="nil"/>
            </w:tcBorders>
            <w:shd w:val="clear" w:color="auto" w:fill="auto"/>
            <w:noWrap/>
            <w:vAlign w:val="center"/>
            <w:hideMark/>
          </w:tcPr>
          <w:p w14:paraId="744A417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r>
      <w:tr w:rsidR="00C333B8" w:rsidRPr="00C333B8" w14:paraId="3E48B419" w14:textId="77777777" w:rsidTr="00C333B8">
        <w:trPr>
          <w:trHeight w:val="240"/>
        </w:trPr>
        <w:tc>
          <w:tcPr>
            <w:tcW w:w="256" w:type="pct"/>
            <w:tcBorders>
              <w:top w:val="nil"/>
              <w:left w:val="nil"/>
              <w:bottom w:val="nil"/>
              <w:right w:val="nil"/>
            </w:tcBorders>
            <w:shd w:val="clear" w:color="auto" w:fill="auto"/>
            <w:noWrap/>
            <w:vAlign w:val="center"/>
            <w:hideMark/>
          </w:tcPr>
          <w:p w14:paraId="2BD6746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Cr</w:t>
            </w:r>
            <w:r w:rsidRPr="00C333B8">
              <w:rPr>
                <w:rFonts w:eastAsia="Times New Roman"/>
                <w:sz w:val="18"/>
                <w:szCs w:val="18"/>
                <w:vertAlign w:val="subscript"/>
                <w:lang w:val="fr-FR" w:eastAsia="fr-FR"/>
              </w:rPr>
              <w:t>2</w:t>
            </w:r>
            <w:r w:rsidRPr="00C333B8">
              <w:rPr>
                <w:rFonts w:eastAsia="Times New Roman"/>
                <w:sz w:val="18"/>
                <w:szCs w:val="18"/>
                <w:lang w:val="fr-FR" w:eastAsia="fr-FR"/>
              </w:rPr>
              <w:t>O</w:t>
            </w:r>
            <w:r w:rsidRPr="00C333B8">
              <w:rPr>
                <w:rFonts w:eastAsia="Times New Roman"/>
                <w:sz w:val="18"/>
                <w:szCs w:val="18"/>
                <w:vertAlign w:val="subscript"/>
                <w:lang w:val="fr-FR" w:eastAsia="fr-FR"/>
              </w:rPr>
              <w:t>3</w:t>
            </w:r>
          </w:p>
        </w:tc>
        <w:tc>
          <w:tcPr>
            <w:tcW w:w="317" w:type="pct"/>
            <w:tcBorders>
              <w:top w:val="nil"/>
              <w:left w:val="nil"/>
              <w:bottom w:val="nil"/>
              <w:right w:val="nil"/>
            </w:tcBorders>
            <w:shd w:val="clear" w:color="auto" w:fill="auto"/>
            <w:noWrap/>
            <w:vAlign w:val="center"/>
            <w:hideMark/>
          </w:tcPr>
          <w:p w14:paraId="5D3D69B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154" w:type="pct"/>
            <w:tcBorders>
              <w:top w:val="nil"/>
              <w:left w:val="nil"/>
              <w:bottom w:val="nil"/>
              <w:right w:val="nil"/>
            </w:tcBorders>
            <w:shd w:val="clear" w:color="auto" w:fill="auto"/>
            <w:noWrap/>
            <w:vAlign w:val="center"/>
            <w:hideMark/>
          </w:tcPr>
          <w:p w14:paraId="180C7AF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31D59957"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6A68690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w:t>
            </w:r>
          </w:p>
        </w:tc>
        <w:tc>
          <w:tcPr>
            <w:tcW w:w="174" w:type="pct"/>
            <w:tcBorders>
              <w:top w:val="nil"/>
              <w:left w:val="nil"/>
              <w:bottom w:val="nil"/>
              <w:right w:val="nil"/>
            </w:tcBorders>
            <w:shd w:val="clear" w:color="auto" w:fill="auto"/>
            <w:noWrap/>
            <w:vAlign w:val="center"/>
            <w:hideMark/>
          </w:tcPr>
          <w:p w14:paraId="429159B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D2C12E7"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7EDE1C0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154" w:type="pct"/>
            <w:tcBorders>
              <w:top w:val="nil"/>
              <w:left w:val="nil"/>
              <w:bottom w:val="nil"/>
              <w:right w:val="nil"/>
            </w:tcBorders>
            <w:shd w:val="clear" w:color="auto" w:fill="auto"/>
            <w:noWrap/>
            <w:vAlign w:val="center"/>
            <w:hideMark/>
          </w:tcPr>
          <w:p w14:paraId="29E733C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25B957E5"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526DAB6E"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0.9</w:t>
            </w:r>
          </w:p>
        </w:tc>
        <w:tc>
          <w:tcPr>
            <w:tcW w:w="175" w:type="pct"/>
            <w:tcBorders>
              <w:top w:val="nil"/>
              <w:left w:val="nil"/>
              <w:bottom w:val="nil"/>
              <w:right w:val="nil"/>
            </w:tcBorders>
            <w:shd w:val="clear" w:color="auto" w:fill="auto"/>
            <w:noWrap/>
            <w:vAlign w:val="center"/>
            <w:hideMark/>
          </w:tcPr>
          <w:p w14:paraId="5456807D"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0.2</w:t>
            </w:r>
          </w:p>
        </w:tc>
        <w:tc>
          <w:tcPr>
            <w:tcW w:w="62" w:type="pct"/>
            <w:tcBorders>
              <w:top w:val="nil"/>
              <w:left w:val="nil"/>
              <w:bottom w:val="nil"/>
              <w:right w:val="nil"/>
            </w:tcBorders>
            <w:shd w:val="clear" w:color="auto" w:fill="auto"/>
            <w:noWrap/>
            <w:vAlign w:val="center"/>
            <w:hideMark/>
          </w:tcPr>
          <w:p w14:paraId="158C19F9"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3ACD21C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154" w:type="pct"/>
            <w:tcBorders>
              <w:top w:val="nil"/>
              <w:left w:val="nil"/>
              <w:bottom w:val="nil"/>
              <w:right w:val="nil"/>
            </w:tcBorders>
            <w:shd w:val="clear" w:color="auto" w:fill="auto"/>
            <w:noWrap/>
            <w:vAlign w:val="center"/>
            <w:hideMark/>
          </w:tcPr>
          <w:p w14:paraId="6A958B3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060B62A1"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7DD3683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1.2</w:t>
            </w:r>
          </w:p>
        </w:tc>
        <w:tc>
          <w:tcPr>
            <w:tcW w:w="154" w:type="pct"/>
            <w:tcBorders>
              <w:top w:val="nil"/>
              <w:left w:val="nil"/>
              <w:bottom w:val="nil"/>
              <w:right w:val="nil"/>
            </w:tcBorders>
            <w:shd w:val="clear" w:color="auto" w:fill="auto"/>
            <w:noWrap/>
            <w:vAlign w:val="center"/>
            <w:hideMark/>
          </w:tcPr>
          <w:p w14:paraId="3251185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6C20654D"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1DB19A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0.7</w:t>
            </w:r>
          </w:p>
        </w:tc>
        <w:tc>
          <w:tcPr>
            <w:tcW w:w="154" w:type="pct"/>
            <w:tcBorders>
              <w:top w:val="nil"/>
              <w:left w:val="nil"/>
              <w:bottom w:val="nil"/>
              <w:right w:val="nil"/>
            </w:tcBorders>
            <w:shd w:val="clear" w:color="auto" w:fill="auto"/>
            <w:noWrap/>
            <w:vAlign w:val="center"/>
            <w:hideMark/>
          </w:tcPr>
          <w:p w14:paraId="3D7518D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50465714"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358780D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0.7</w:t>
            </w:r>
          </w:p>
        </w:tc>
        <w:tc>
          <w:tcPr>
            <w:tcW w:w="175" w:type="pct"/>
            <w:tcBorders>
              <w:top w:val="nil"/>
              <w:left w:val="nil"/>
              <w:bottom w:val="nil"/>
              <w:right w:val="nil"/>
            </w:tcBorders>
            <w:shd w:val="clear" w:color="auto" w:fill="auto"/>
            <w:noWrap/>
            <w:vAlign w:val="center"/>
            <w:hideMark/>
          </w:tcPr>
          <w:p w14:paraId="2A66AB7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3FCDF67C"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5B75DA9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1.3</w:t>
            </w:r>
          </w:p>
        </w:tc>
        <w:tc>
          <w:tcPr>
            <w:tcW w:w="174" w:type="pct"/>
            <w:tcBorders>
              <w:top w:val="nil"/>
              <w:left w:val="nil"/>
              <w:bottom w:val="nil"/>
              <w:right w:val="nil"/>
            </w:tcBorders>
            <w:shd w:val="clear" w:color="auto" w:fill="auto"/>
            <w:noWrap/>
            <w:vAlign w:val="center"/>
            <w:hideMark/>
          </w:tcPr>
          <w:p w14:paraId="534FFA7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r>
      <w:tr w:rsidR="00C333B8" w:rsidRPr="00C333B8" w14:paraId="29D1AC2A" w14:textId="77777777" w:rsidTr="00C333B8">
        <w:trPr>
          <w:trHeight w:val="240"/>
        </w:trPr>
        <w:tc>
          <w:tcPr>
            <w:tcW w:w="256" w:type="pct"/>
            <w:tcBorders>
              <w:top w:val="nil"/>
              <w:left w:val="nil"/>
              <w:bottom w:val="nil"/>
              <w:right w:val="nil"/>
            </w:tcBorders>
            <w:shd w:val="clear" w:color="auto" w:fill="auto"/>
            <w:noWrap/>
            <w:vAlign w:val="center"/>
            <w:hideMark/>
          </w:tcPr>
          <w:p w14:paraId="0631E92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NiO</w:t>
            </w:r>
          </w:p>
        </w:tc>
        <w:tc>
          <w:tcPr>
            <w:tcW w:w="317" w:type="pct"/>
            <w:tcBorders>
              <w:top w:val="nil"/>
              <w:left w:val="nil"/>
              <w:bottom w:val="nil"/>
              <w:right w:val="nil"/>
            </w:tcBorders>
            <w:shd w:val="clear" w:color="auto" w:fill="auto"/>
            <w:noWrap/>
            <w:vAlign w:val="center"/>
            <w:hideMark/>
          </w:tcPr>
          <w:p w14:paraId="43C9DD8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32452B0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290D6AE"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2988A5F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4" w:type="pct"/>
            <w:tcBorders>
              <w:top w:val="nil"/>
              <w:left w:val="nil"/>
              <w:bottom w:val="nil"/>
              <w:right w:val="nil"/>
            </w:tcBorders>
            <w:shd w:val="clear" w:color="auto" w:fill="auto"/>
            <w:noWrap/>
            <w:vAlign w:val="center"/>
            <w:hideMark/>
          </w:tcPr>
          <w:p w14:paraId="7A536C2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D6A5283"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2EC6D2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6323DA2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1756029"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3EF6FC1B"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0.1</w:t>
            </w:r>
          </w:p>
        </w:tc>
        <w:tc>
          <w:tcPr>
            <w:tcW w:w="175" w:type="pct"/>
            <w:tcBorders>
              <w:top w:val="nil"/>
              <w:left w:val="nil"/>
              <w:bottom w:val="nil"/>
              <w:right w:val="nil"/>
            </w:tcBorders>
            <w:shd w:val="clear" w:color="auto" w:fill="auto"/>
            <w:noWrap/>
            <w:vAlign w:val="center"/>
            <w:hideMark/>
          </w:tcPr>
          <w:p w14:paraId="2432715A"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62" w:type="pct"/>
            <w:tcBorders>
              <w:top w:val="nil"/>
              <w:left w:val="nil"/>
              <w:bottom w:val="nil"/>
              <w:right w:val="nil"/>
            </w:tcBorders>
            <w:shd w:val="clear" w:color="auto" w:fill="auto"/>
            <w:noWrap/>
            <w:vAlign w:val="center"/>
            <w:hideMark/>
          </w:tcPr>
          <w:p w14:paraId="3E333F7F"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4F17AEA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5A93E30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67983BE"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EC0080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180200F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FECC613"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9778A6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5A05D13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C38C4A3"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18DC72E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5" w:type="pct"/>
            <w:tcBorders>
              <w:top w:val="nil"/>
              <w:left w:val="nil"/>
              <w:bottom w:val="nil"/>
              <w:right w:val="nil"/>
            </w:tcBorders>
            <w:shd w:val="clear" w:color="auto" w:fill="auto"/>
            <w:noWrap/>
            <w:vAlign w:val="center"/>
            <w:hideMark/>
          </w:tcPr>
          <w:p w14:paraId="5C3047D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3416AC9"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3FAA6CC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4" w:type="pct"/>
            <w:tcBorders>
              <w:top w:val="nil"/>
              <w:left w:val="nil"/>
              <w:bottom w:val="nil"/>
              <w:right w:val="nil"/>
            </w:tcBorders>
            <w:shd w:val="clear" w:color="auto" w:fill="auto"/>
            <w:noWrap/>
            <w:vAlign w:val="center"/>
            <w:hideMark/>
          </w:tcPr>
          <w:p w14:paraId="081BB3E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r>
      <w:tr w:rsidR="00C333B8" w:rsidRPr="00C333B8" w14:paraId="59D1DDC7" w14:textId="77777777" w:rsidTr="00C333B8">
        <w:trPr>
          <w:trHeight w:val="240"/>
        </w:trPr>
        <w:tc>
          <w:tcPr>
            <w:tcW w:w="256" w:type="pct"/>
            <w:tcBorders>
              <w:top w:val="nil"/>
              <w:left w:val="nil"/>
              <w:bottom w:val="nil"/>
              <w:right w:val="nil"/>
            </w:tcBorders>
            <w:shd w:val="clear" w:color="auto" w:fill="auto"/>
            <w:noWrap/>
            <w:vAlign w:val="center"/>
            <w:hideMark/>
          </w:tcPr>
          <w:p w14:paraId="6BC69BC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Cl</w:t>
            </w:r>
          </w:p>
        </w:tc>
        <w:tc>
          <w:tcPr>
            <w:tcW w:w="317" w:type="pct"/>
            <w:tcBorders>
              <w:top w:val="nil"/>
              <w:left w:val="nil"/>
              <w:bottom w:val="nil"/>
              <w:right w:val="nil"/>
            </w:tcBorders>
            <w:shd w:val="clear" w:color="auto" w:fill="auto"/>
            <w:noWrap/>
            <w:vAlign w:val="center"/>
            <w:hideMark/>
          </w:tcPr>
          <w:p w14:paraId="3D52F6F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32D8205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85D8A90"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279991C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4" w:type="pct"/>
            <w:tcBorders>
              <w:top w:val="nil"/>
              <w:left w:val="nil"/>
              <w:bottom w:val="nil"/>
              <w:right w:val="nil"/>
            </w:tcBorders>
            <w:shd w:val="clear" w:color="auto" w:fill="auto"/>
            <w:noWrap/>
            <w:vAlign w:val="center"/>
            <w:hideMark/>
          </w:tcPr>
          <w:p w14:paraId="497B36F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6F9A018"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017F68D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0FE531A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6AECD0D"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5AFD5AF4"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175" w:type="pct"/>
            <w:tcBorders>
              <w:top w:val="nil"/>
              <w:left w:val="nil"/>
              <w:bottom w:val="nil"/>
              <w:right w:val="nil"/>
            </w:tcBorders>
            <w:shd w:val="clear" w:color="auto" w:fill="auto"/>
            <w:noWrap/>
            <w:vAlign w:val="center"/>
            <w:hideMark/>
          </w:tcPr>
          <w:p w14:paraId="44972219"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62" w:type="pct"/>
            <w:tcBorders>
              <w:top w:val="nil"/>
              <w:left w:val="nil"/>
              <w:bottom w:val="nil"/>
              <w:right w:val="nil"/>
            </w:tcBorders>
            <w:shd w:val="clear" w:color="auto" w:fill="auto"/>
            <w:noWrap/>
            <w:vAlign w:val="center"/>
            <w:hideMark/>
          </w:tcPr>
          <w:p w14:paraId="750402A7"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35E6BE4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701D613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322724CB"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2BB410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04B9CB9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6C3F582"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06AE690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6BFFDB2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186538F"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2940756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5" w:type="pct"/>
            <w:tcBorders>
              <w:top w:val="nil"/>
              <w:left w:val="nil"/>
              <w:bottom w:val="nil"/>
              <w:right w:val="nil"/>
            </w:tcBorders>
            <w:shd w:val="clear" w:color="auto" w:fill="auto"/>
            <w:noWrap/>
            <w:vAlign w:val="center"/>
            <w:hideMark/>
          </w:tcPr>
          <w:p w14:paraId="28E401A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E2111DA"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65B6C76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4" w:type="pct"/>
            <w:tcBorders>
              <w:top w:val="nil"/>
              <w:left w:val="nil"/>
              <w:bottom w:val="nil"/>
              <w:right w:val="nil"/>
            </w:tcBorders>
            <w:shd w:val="clear" w:color="auto" w:fill="auto"/>
            <w:noWrap/>
            <w:vAlign w:val="center"/>
            <w:hideMark/>
          </w:tcPr>
          <w:p w14:paraId="300C101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r>
      <w:tr w:rsidR="00C333B8" w:rsidRPr="00C333B8" w14:paraId="021958A7" w14:textId="77777777" w:rsidTr="00C333B8">
        <w:trPr>
          <w:trHeight w:val="240"/>
        </w:trPr>
        <w:tc>
          <w:tcPr>
            <w:tcW w:w="256" w:type="pct"/>
            <w:tcBorders>
              <w:top w:val="nil"/>
              <w:left w:val="nil"/>
              <w:bottom w:val="nil"/>
              <w:right w:val="nil"/>
            </w:tcBorders>
            <w:shd w:val="clear" w:color="auto" w:fill="auto"/>
            <w:noWrap/>
            <w:vAlign w:val="center"/>
            <w:hideMark/>
          </w:tcPr>
          <w:p w14:paraId="6336079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F</w:t>
            </w:r>
          </w:p>
        </w:tc>
        <w:tc>
          <w:tcPr>
            <w:tcW w:w="317" w:type="pct"/>
            <w:tcBorders>
              <w:top w:val="nil"/>
              <w:left w:val="nil"/>
              <w:bottom w:val="nil"/>
              <w:right w:val="nil"/>
            </w:tcBorders>
            <w:shd w:val="clear" w:color="auto" w:fill="auto"/>
            <w:noWrap/>
            <w:vAlign w:val="center"/>
            <w:hideMark/>
          </w:tcPr>
          <w:p w14:paraId="2ACD0B3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1733DFA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3C18A725"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18D1123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4" w:type="pct"/>
            <w:tcBorders>
              <w:top w:val="nil"/>
              <w:left w:val="nil"/>
              <w:bottom w:val="nil"/>
              <w:right w:val="nil"/>
            </w:tcBorders>
            <w:shd w:val="clear" w:color="auto" w:fill="auto"/>
            <w:noWrap/>
            <w:vAlign w:val="center"/>
            <w:hideMark/>
          </w:tcPr>
          <w:p w14:paraId="27B5287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6BDE3E8F"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4812F24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19E5713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123572F9"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27887713"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175" w:type="pct"/>
            <w:tcBorders>
              <w:top w:val="nil"/>
              <w:left w:val="nil"/>
              <w:bottom w:val="nil"/>
              <w:right w:val="nil"/>
            </w:tcBorders>
            <w:shd w:val="clear" w:color="auto" w:fill="auto"/>
            <w:noWrap/>
            <w:vAlign w:val="center"/>
            <w:hideMark/>
          </w:tcPr>
          <w:p w14:paraId="394CEBB8"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62" w:type="pct"/>
            <w:tcBorders>
              <w:top w:val="nil"/>
              <w:left w:val="nil"/>
              <w:bottom w:val="nil"/>
              <w:right w:val="nil"/>
            </w:tcBorders>
            <w:shd w:val="clear" w:color="auto" w:fill="auto"/>
            <w:noWrap/>
            <w:vAlign w:val="center"/>
            <w:hideMark/>
          </w:tcPr>
          <w:p w14:paraId="56FBC730"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1415520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10F7DAD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F9321DB"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1A86876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54" w:type="pct"/>
            <w:tcBorders>
              <w:top w:val="nil"/>
              <w:left w:val="nil"/>
              <w:bottom w:val="nil"/>
              <w:right w:val="nil"/>
            </w:tcBorders>
            <w:shd w:val="clear" w:color="auto" w:fill="auto"/>
            <w:noWrap/>
            <w:vAlign w:val="center"/>
            <w:hideMark/>
          </w:tcPr>
          <w:p w14:paraId="36065BA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2CF61312"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77465C5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6152A99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3B41C4AD"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6522F61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5" w:type="pct"/>
            <w:tcBorders>
              <w:top w:val="nil"/>
              <w:left w:val="nil"/>
              <w:bottom w:val="nil"/>
              <w:right w:val="nil"/>
            </w:tcBorders>
            <w:shd w:val="clear" w:color="auto" w:fill="auto"/>
            <w:noWrap/>
            <w:vAlign w:val="center"/>
            <w:hideMark/>
          </w:tcPr>
          <w:p w14:paraId="0948AB8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3E815BB"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399684A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174" w:type="pct"/>
            <w:tcBorders>
              <w:top w:val="nil"/>
              <w:left w:val="nil"/>
              <w:bottom w:val="nil"/>
              <w:right w:val="nil"/>
            </w:tcBorders>
            <w:shd w:val="clear" w:color="auto" w:fill="auto"/>
            <w:noWrap/>
            <w:vAlign w:val="center"/>
            <w:hideMark/>
          </w:tcPr>
          <w:p w14:paraId="5E6C76E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r>
      <w:tr w:rsidR="00C333B8" w:rsidRPr="00C333B8" w14:paraId="5079CE0A" w14:textId="77777777" w:rsidTr="00C333B8">
        <w:trPr>
          <w:trHeight w:val="240"/>
        </w:trPr>
        <w:tc>
          <w:tcPr>
            <w:tcW w:w="256" w:type="pct"/>
            <w:tcBorders>
              <w:top w:val="nil"/>
              <w:left w:val="nil"/>
              <w:bottom w:val="nil"/>
              <w:right w:val="nil"/>
            </w:tcBorders>
            <w:shd w:val="clear" w:color="auto" w:fill="auto"/>
            <w:noWrap/>
            <w:vAlign w:val="center"/>
            <w:hideMark/>
          </w:tcPr>
          <w:p w14:paraId="216ABA0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Total</w:t>
            </w:r>
          </w:p>
        </w:tc>
        <w:tc>
          <w:tcPr>
            <w:tcW w:w="317" w:type="pct"/>
            <w:tcBorders>
              <w:top w:val="nil"/>
              <w:left w:val="nil"/>
              <w:bottom w:val="nil"/>
              <w:right w:val="nil"/>
            </w:tcBorders>
            <w:shd w:val="clear" w:color="auto" w:fill="auto"/>
            <w:noWrap/>
            <w:vAlign w:val="center"/>
            <w:hideMark/>
          </w:tcPr>
          <w:p w14:paraId="166ED98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100.0</w:t>
            </w:r>
          </w:p>
        </w:tc>
        <w:tc>
          <w:tcPr>
            <w:tcW w:w="154" w:type="pct"/>
            <w:tcBorders>
              <w:top w:val="nil"/>
              <w:left w:val="nil"/>
              <w:bottom w:val="nil"/>
              <w:right w:val="nil"/>
            </w:tcBorders>
            <w:shd w:val="clear" w:color="auto" w:fill="auto"/>
            <w:noWrap/>
            <w:vAlign w:val="center"/>
            <w:hideMark/>
          </w:tcPr>
          <w:p w14:paraId="359C427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46ADFBE9"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1BA5F41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100.5</w:t>
            </w:r>
          </w:p>
        </w:tc>
        <w:tc>
          <w:tcPr>
            <w:tcW w:w="174" w:type="pct"/>
            <w:tcBorders>
              <w:top w:val="nil"/>
              <w:left w:val="nil"/>
              <w:bottom w:val="nil"/>
              <w:right w:val="nil"/>
            </w:tcBorders>
            <w:shd w:val="clear" w:color="auto" w:fill="auto"/>
            <w:noWrap/>
            <w:vAlign w:val="center"/>
            <w:hideMark/>
          </w:tcPr>
          <w:p w14:paraId="4891ACA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179A945C"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03A5EA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99.8</w:t>
            </w:r>
          </w:p>
        </w:tc>
        <w:tc>
          <w:tcPr>
            <w:tcW w:w="154" w:type="pct"/>
            <w:tcBorders>
              <w:top w:val="nil"/>
              <w:left w:val="nil"/>
              <w:bottom w:val="nil"/>
              <w:right w:val="nil"/>
            </w:tcBorders>
            <w:shd w:val="clear" w:color="auto" w:fill="auto"/>
            <w:noWrap/>
            <w:vAlign w:val="center"/>
            <w:hideMark/>
          </w:tcPr>
          <w:p w14:paraId="7A4DB5E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1247860E"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5CEE90BD"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99.8</w:t>
            </w:r>
          </w:p>
        </w:tc>
        <w:tc>
          <w:tcPr>
            <w:tcW w:w="175" w:type="pct"/>
            <w:tcBorders>
              <w:top w:val="nil"/>
              <w:left w:val="nil"/>
              <w:bottom w:val="nil"/>
              <w:right w:val="nil"/>
            </w:tcBorders>
            <w:shd w:val="clear" w:color="auto" w:fill="auto"/>
            <w:noWrap/>
            <w:vAlign w:val="center"/>
            <w:hideMark/>
          </w:tcPr>
          <w:p w14:paraId="473391B4"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0.2</w:t>
            </w:r>
          </w:p>
        </w:tc>
        <w:tc>
          <w:tcPr>
            <w:tcW w:w="62" w:type="pct"/>
            <w:tcBorders>
              <w:top w:val="nil"/>
              <w:left w:val="nil"/>
              <w:bottom w:val="nil"/>
              <w:right w:val="nil"/>
            </w:tcBorders>
            <w:shd w:val="clear" w:color="auto" w:fill="auto"/>
            <w:noWrap/>
            <w:vAlign w:val="center"/>
            <w:hideMark/>
          </w:tcPr>
          <w:p w14:paraId="20698793"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0B82DC6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99.3</w:t>
            </w:r>
          </w:p>
        </w:tc>
        <w:tc>
          <w:tcPr>
            <w:tcW w:w="154" w:type="pct"/>
            <w:tcBorders>
              <w:top w:val="nil"/>
              <w:left w:val="nil"/>
              <w:bottom w:val="nil"/>
              <w:right w:val="nil"/>
            </w:tcBorders>
            <w:shd w:val="clear" w:color="auto" w:fill="auto"/>
            <w:noWrap/>
            <w:vAlign w:val="center"/>
            <w:hideMark/>
          </w:tcPr>
          <w:p w14:paraId="364F537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1C4288A0"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F802E0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100.0</w:t>
            </w:r>
          </w:p>
        </w:tc>
        <w:tc>
          <w:tcPr>
            <w:tcW w:w="154" w:type="pct"/>
            <w:tcBorders>
              <w:top w:val="nil"/>
              <w:left w:val="nil"/>
              <w:bottom w:val="nil"/>
              <w:right w:val="nil"/>
            </w:tcBorders>
            <w:shd w:val="clear" w:color="auto" w:fill="auto"/>
            <w:noWrap/>
            <w:vAlign w:val="center"/>
            <w:hideMark/>
          </w:tcPr>
          <w:p w14:paraId="33729C7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4EE90D25"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DAA19B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99.5</w:t>
            </w:r>
          </w:p>
        </w:tc>
        <w:tc>
          <w:tcPr>
            <w:tcW w:w="154" w:type="pct"/>
            <w:tcBorders>
              <w:top w:val="nil"/>
              <w:left w:val="nil"/>
              <w:bottom w:val="nil"/>
              <w:right w:val="nil"/>
            </w:tcBorders>
            <w:shd w:val="clear" w:color="auto" w:fill="auto"/>
            <w:noWrap/>
            <w:vAlign w:val="center"/>
            <w:hideMark/>
          </w:tcPr>
          <w:p w14:paraId="61A929B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31B24013"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1E50F6A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99.7</w:t>
            </w:r>
          </w:p>
        </w:tc>
        <w:tc>
          <w:tcPr>
            <w:tcW w:w="175" w:type="pct"/>
            <w:tcBorders>
              <w:top w:val="nil"/>
              <w:left w:val="nil"/>
              <w:bottom w:val="nil"/>
              <w:right w:val="nil"/>
            </w:tcBorders>
            <w:shd w:val="clear" w:color="auto" w:fill="auto"/>
            <w:noWrap/>
            <w:vAlign w:val="center"/>
            <w:hideMark/>
          </w:tcPr>
          <w:p w14:paraId="2312ADF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1EA8EC5F"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5180B3D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100.2</w:t>
            </w:r>
          </w:p>
        </w:tc>
        <w:tc>
          <w:tcPr>
            <w:tcW w:w="174" w:type="pct"/>
            <w:tcBorders>
              <w:top w:val="nil"/>
              <w:left w:val="nil"/>
              <w:bottom w:val="nil"/>
              <w:right w:val="nil"/>
            </w:tcBorders>
            <w:shd w:val="clear" w:color="auto" w:fill="auto"/>
            <w:noWrap/>
            <w:vAlign w:val="center"/>
            <w:hideMark/>
          </w:tcPr>
          <w:p w14:paraId="5180AD0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0.2</w:t>
            </w:r>
          </w:p>
        </w:tc>
      </w:tr>
      <w:tr w:rsidR="00C333B8" w:rsidRPr="00C333B8" w14:paraId="7EDA4901" w14:textId="77777777" w:rsidTr="00C333B8">
        <w:trPr>
          <w:trHeight w:val="240"/>
        </w:trPr>
        <w:tc>
          <w:tcPr>
            <w:tcW w:w="256" w:type="pct"/>
            <w:tcBorders>
              <w:top w:val="nil"/>
              <w:left w:val="nil"/>
              <w:bottom w:val="nil"/>
              <w:right w:val="nil"/>
            </w:tcBorders>
            <w:shd w:val="clear" w:color="auto" w:fill="auto"/>
            <w:noWrap/>
            <w:vAlign w:val="center"/>
            <w:hideMark/>
          </w:tcPr>
          <w:p w14:paraId="6BE224D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X</w:t>
            </w:r>
            <w:r w:rsidRPr="00C333B8">
              <w:rPr>
                <w:rFonts w:eastAsia="Times New Roman"/>
                <w:sz w:val="18"/>
                <w:szCs w:val="18"/>
                <w:vertAlign w:val="subscript"/>
                <w:lang w:val="fr-FR" w:eastAsia="fr-FR"/>
              </w:rPr>
              <w:t>Mg</w:t>
            </w:r>
          </w:p>
        </w:tc>
        <w:tc>
          <w:tcPr>
            <w:tcW w:w="317" w:type="pct"/>
            <w:tcBorders>
              <w:top w:val="nil"/>
              <w:left w:val="nil"/>
              <w:bottom w:val="nil"/>
              <w:right w:val="nil"/>
            </w:tcBorders>
            <w:shd w:val="clear" w:color="auto" w:fill="auto"/>
            <w:noWrap/>
            <w:vAlign w:val="center"/>
            <w:hideMark/>
          </w:tcPr>
          <w:p w14:paraId="5DABD8F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88.9</w:t>
            </w:r>
          </w:p>
        </w:tc>
        <w:tc>
          <w:tcPr>
            <w:tcW w:w="154" w:type="pct"/>
            <w:tcBorders>
              <w:top w:val="nil"/>
              <w:left w:val="nil"/>
              <w:bottom w:val="nil"/>
              <w:right w:val="nil"/>
            </w:tcBorders>
            <w:shd w:val="clear" w:color="auto" w:fill="auto"/>
            <w:noWrap/>
            <w:vAlign w:val="center"/>
            <w:hideMark/>
          </w:tcPr>
          <w:p w14:paraId="24B06B6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1F15342C"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0B7F491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89.7</w:t>
            </w:r>
          </w:p>
        </w:tc>
        <w:tc>
          <w:tcPr>
            <w:tcW w:w="174" w:type="pct"/>
            <w:tcBorders>
              <w:top w:val="nil"/>
              <w:left w:val="nil"/>
              <w:bottom w:val="nil"/>
              <w:right w:val="nil"/>
            </w:tcBorders>
            <w:shd w:val="clear" w:color="auto" w:fill="auto"/>
            <w:noWrap/>
            <w:vAlign w:val="center"/>
            <w:hideMark/>
          </w:tcPr>
          <w:p w14:paraId="2D23A75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4BD66521"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7AF27E3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89.1</w:t>
            </w:r>
          </w:p>
        </w:tc>
        <w:tc>
          <w:tcPr>
            <w:tcW w:w="154" w:type="pct"/>
            <w:tcBorders>
              <w:top w:val="nil"/>
              <w:left w:val="nil"/>
              <w:bottom w:val="nil"/>
              <w:right w:val="nil"/>
            </w:tcBorders>
            <w:shd w:val="clear" w:color="auto" w:fill="auto"/>
            <w:noWrap/>
            <w:vAlign w:val="center"/>
            <w:hideMark/>
          </w:tcPr>
          <w:p w14:paraId="43E2403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59C6EF53"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3FD81F77"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90.8</w:t>
            </w:r>
          </w:p>
        </w:tc>
        <w:tc>
          <w:tcPr>
            <w:tcW w:w="175" w:type="pct"/>
            <w:tcBorders>
              <w:top w:val="nil"/>
              <w:left w:val="nil"/>
              <w:bottom w:val="nil"/>
              <w:right w:val="nil"/>
            </w:tcBorders>
            <w:shd w:val="clear" w:color="auto" w:fill="auto"/>
            <w:noWrap/>
            <w:vAlign w:val="center"/>
            <w:hideMark/>
          </w:tcPr>
          <w:p w14:paraId="613BE9AD"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0.7</w:t>
            </w:r>
          </w:p>
        </w:tc>
        <w:tc>
          <w:tcPr>
            <w:tcW w:w="62" w:type="pct"/>
            <w:tcBorders>
              <w:top w:val="nil"/>
              <w:left w:val="nil"/>
              <w:bottom w:val="nil"/>
              <w:right w:val="nil"/>
            </w:tcBorders>
            <w:shd w:val="clear" w:color="auto" w:fill="auto"/>
            <w:noWrap/>
            <w:vAlign w:val="center"/>
            <w:hideMark/>
          </w:tcPr>
          <w:p w14:paraId="52807CB2"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263C934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90.7</w:t>
            </w:r>
          </w:p>
        </w:tc>
        <w:tc>
          <w:tcPr>
            <w:tcW w:w="154" w:type="pct"/>
            <w:tcBorders>
              <w:top w:val="nil"/>
              <w:left w:val="nil"/>
              <w:bottom w:val="nil"/>
              <w:right w:val="nil"/>
            </w:tcBorders>
            <w:shd w:val="clear" w:color="auto" w:fill="auto"/>
            <w:noWrap/>
            <w:vAlign w:val="center"/>
            <w:hideMark/>
          </w:tcPr>
          <w:p w14:paraId="7CE9EF3D"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358BF411"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51F023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88.3</w:t>
            </w:r>
          </w:p>
        </w:tc>
        <w:tc>
          <w:tcPr>
            <w:tcW w:w="154" w:type="pct"/>
            <w:tcBorders>
              <w:top w:val="nil"/>
              <w:left w:val="nil"/>
              <w:bottom w:val="nil"/>
              <w:right w:val="nil"/>
            </w:tcBorders>
            <w:shd w:val="clear" w:color="auto" w:fill="auto"/>
            <w:noWrap/>
            <w:vAlign w:val="center"/>
            <w:hideMark/>
          </w:tcPr>
          <w:p w14:paraId="21A51A9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0.9</w:t>
            </w:r>
          </w:p>
        </w:tc>
        <w:tc>
          <w:tcPr>
            <w:tcW w:w="62" w:type="pct"/>
            <w:tcBorders>
              <w:top w:val="nil"/>
              <w:left w:val="nil"/>
              <w:bottom w:val="nil"/>
              <w:right w:val="nil"/>
            </w:tcBorders>
            <w:shd w:val="clear" w:color="auto" w:fill="auto"/>
            <w:noWrap/>
            <w:vAlign w:val="center"/>
            <w:hideMark/>
          </w:tcPr>
          <w:p w14:paraId="55F95962"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59E6F89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89.1</w:t>
            </w:r>
          </w:p>
        </w:tc>
        <w:tc>
          <w:tcPr>
            <w:tcW w:w="154" w:type="pct"/>
            <w:tcBorders>
              <w:top w:val="nil"/>
              <w:left w:val="nil"/>
              <w:bottom w:val="nil"/>
              <w:right w:val="nil"/>
            </w:tcBorders>
            <w:shd w:val="clear" w:color="auto" w:fill="auto"/>
            <w:noWrap/>
            <w:vAlign w:val="center"/>
            <w:hideMark/>
          </w:tcPr>
          <w:p w14:paraId="0CDB999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1.2</w:t>
            </w:r>
          </w:p>
        </w:tc>
        <w:tc>
          <w:tcPr>
            <w:tcW w:w="62" w:type="pct"/>
            <w:tcBorders>
              <w:top w:val="nil"/>
              <w:left w:val="nil"/>
              <w:bottom w:val="nil"/>
              <w:right w:val="nil"/>
            </w:tcBorders>
            <w:shd w:val="clear" w:color="auto" w:fill="auto"/>
            <w:noWrap/>
            <w:vAlign w:val="center"/>
            <w:hideMark/>
          </w:tcPr>
          <w:p w14:paraId="5F9FFC70"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17A4329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90.5</w:t>
            </w:r>
          </w:p>
        </w:tc>
        <w:tc>
          <w:tcPr>
            <w:tcW w:w="175" w:type="pct"/>
            <w:tcBorders>
              <w:top w:val="nil"/>
              <w:left w:val="nil"/>
              <w:bottom w:val="nil"/>
              <w:right w:val="nil"/>
            </w:tcBorders>
            <w:shd w:val="clear" w:color="auto" w:fill="auto"/>
            <w:noWrap/>
            <w:vAlign w:val="center"/>
            <w:hideMark/>
          </w:tcPr>
          <w:p w14:paraId="1134FBB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0.9</w:t>
            </w:r>
          </w:p>
        </w:tc>
        <w:tc>
          <w:tcPr>
            <w:tcW w:w="62" w:type="pct"/>
            <w:tcBorders>
              <w:top w:val="nil"/>
              <w:left w:val="nil"/>
              <w:bottom w:val="nil"/>
              <w:right w:val="nil"/>
            </w:tcBorders>
            <w:shd w:val="clear" w:color="auto" w:fill="auto"/>
            <w:noWrap/>
            <w:vAlign w:val="center"/>
            <w:hideMark/>
          </w:tcPr>
          <w:p w14:paraId="38AA15F7"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7019872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90.2</w:t>
            </w:r>
          </w:p>
        </w:tc>
        <w:tc>
          <w:tcPr>
            <w:tcW w:w="174" w:type="pct"/>
            <w:tcBorders>
              <w:top w:val="nil"/>
              <w:left w:val="nil"/>
              <w:bottom w:val="nil"/>
              <w:right w:val="nil"/>
            </w:tcBorders>
            <w:shd w:val="clear" w:color="auto" w:fill="auto"/>
            <w:noWrap/>
            <w:vAlign w:val="center"/>
            <w:hideMark/>
          </w:tcPr>
          <w:p w14:paraId="1E6409D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r>
      <w:tr w:rsidR="00C333B8" w:rsidRPr="00C333B8" w14:paraId="59AC1CF1" w14:textId="77777777" w:rsidTr="00C333B8">
        <w:trPr>
          <w:trHeight w:val="240"/>
        </w:trPr>
        <w:tc>
          <w:tcPr>
            <w:tcW w:w="256" w:type="pct"/>
            <w:tcBorders>
              <w:top w:val="nil"/>
              <w:left w:val="nil"/>
              <w:bottom w:val="nil"/>
              <w:right w:val="nil"/>
            </w:tcBorders>
            <w:shd w:val="clear" w:color="auto" w:fill="auto"/>
            <w:noWrap/>
            <w:vAlign w:val="center"/>
            <w:hideMark/>
          </w:tcPr>
          <w:p w14:paraId="172FABA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X</w:t>
            </w:r>
            <w:r w:rsidRPr="00C333B8">
              <w:rPr>
                <w:rFonts w:eastAsia="Times New Roman"/>
                <w:sz w:val="18"/>
                <w:szCs w:val="18"/>
                <w:vertAlign w:val="subscript"/>
                <w:lang w:val="fr-FR" w:eastAsia="fr-FR"/>
              </w:rPr>
              <w:t>Fe</w:t>
            </w:r>
          </w:p>
        </w:tc>
        <w:tc>
          <w:tcPr>
            <w:tcW w:w="317" w:type="pct"/>
            <w:tcBorders>
              <w:top w:val="nil"/>
              <w:left w:val="nil"/>
              <w:bottom w:val="nil"/>
              <w:right w:val="nil"/>
            </w:tcBorders>
            <w:shd w:val="clear" w:color="auto" w:fill="auto"/>
            <w:noWrap/>
            <w:vAlign w:val="center"/>
            <w:hideMark/>
          </w:tcPr>
          <w:p w14:paraId="1AD88B3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10.7</w:t>
            </w:r>
          </w:p>
        </w:tc>
        <w:tc>
          <w:tcPr>
            <w:tcW w:w="154" w:type="pct"/>
            <w:tcBorders>
              <w:top w:val="nil"/>
              <w:left w:val="nil"/>
              <w:bottom w:val="nil"/>
              <w:right w:val="nil"/>
            </w:tcBorders>
            <w:shd w:val="clear" w:color="auto" w:fill="auto"/>
            <w:noWrap/>
            <w:vAlign w:val="center"/>
            <w:hideMark/>
          </w:tcPr>
          <w:p w14:paraId="0061B89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3FF42DA3"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15878E7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10.1</w:t>
            </w:r>
          </w:p>
        </w:tc>
        <w:tc>
          <w:tcPr>
            <w:tcW w:w="174" w:type="pct"/>
            <w:tcBorders>
              <w:top w:val="nil"/>
              <w:left w:val="nil"/>
              <w:bottom w:val="nil"/>
              <w:right w:val="nil"/>
            </w:tcBorders>
            <w:shd w:val="clear" w:color="auto" w:fill="auto"/>
            <w:noWrap/>
            <w:vAlign w:val="center"/>
            <w:hideMark/>
          </w:tcPr>
          <w:p w14:paraId="0C70978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567240BB"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782A173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10.6</w:t>
            </w:r>
          </w:p>
        </w:tc>
        <w:tc>
          <w:tcPr>
            <w:tcW w:w="154" w:type="pct"/>
            <w:tcBorders>
              <w:top w:val="nil"/>
              <w:left w:val="nil"/>
              <w:bottom w:val="nil"/>
              <w:right w:val="nil"/>
            </w:tcBorders>
            <w:shd w:val="clear" w:color="auto" w:fill="auto"/>
            <w:noWrap/>
            <w:vAlign w:val="center"/>
            <w:hideMark/>
          </w:tcPr>
          <w:p w14:paraId="01CA0F5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3FBB85CD"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1808D35B"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8.9</w:t>
            </w:r>
          </w:p>
        </w:tc>
        <w:tc>
          <w:tcPr>
            <w:tcW w:w="175" w:type="pct"/>
            <w:tcBorders>
              <w:top w:val="nil"/>
              <w:left w:val="nil"/>
              <w:bottom w:val="nil"/>
              <w:right w:val="nil"/>
            </w:tcBorders>
            <w:shd w:val="clear" w:color="auto" w:fill="auto"/>
            <w:noWrap/>
            <w:vAlign w:val="center"/>
            <w:hideMark/>
          </w:tcPr>
          <w:p w14:paraId="25A11849"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0.7</w:t>
            </w:r>
          </w:p>
        </w:tc>
        <w:tc>
          <w:tcPr>
            <w:tcW w:w="62" w:type="pct"/>
            <w:tcBorders>
              <w:top w:val="nil"/>
              <w:left w:val="nil"/>
              <w:bottom w:val="nil"/>
              <w:right w:val="nil"/>
            </w:tcBorders>
            <w:shd w:val="clear" w:color="auto" w:fill="auto"/>
            <w:noWrap/>
            <w:vAlign w:val="center"/>
            <w:hideMark/>
          </w:tcPr>
          <w:p w14:paraId="302D7446"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5AD26D6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8.9</w:t>
            </w:r>
          </w:p>
        </w:tc>
        <w:tc>
          <w:tcPr>
            <w:tcW w:w="154" w:type="pct"/>
            <w:tcBorders>
              <w:top w:val="nil"/>
              <w:left w:val="nil"/>
              <w:bottom w:val="nil"/>
              <w:right w:val="nil"/>
            </w:tcBorders>
            <w:shd w:val="clear" w:color="auto" w:fill="auto"/>
            <w:noWrap/>
            <w:vAlign w:val="center"/>
            <w:hideMark/>
          </w:tcPr>
          <w:p w14:paraId="55BC0FA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2AB1C147"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0050967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11.4</w:t>
            </w:r>
          </w:p>
        </w:tc>
        <w:tc>
          <w:tcPr>
            <w:tcW w:w="154" w:type="pct"/>
            <w:tcBorders>
              <w:top w:val="nil"/>
              <w:left w:val="nil"/>
              <w:bottom w:val="nil"/>
              <w:right w:val="nil"/>
            </w:tcBorders>
            <w:shd w:val="clear" w:color="auto" w:fill="auto"/>
            <w:noWrap/>
            <w:vAlign w:val="center"/>
            <w:hideMark/>
          </w:tcPr>
          <w:p w14:paraId="2EA811C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0.9</w:t>
            </w:r>
          </w:p>
        </w:tc>
        <w:tc>
          <w:tcPr>
            <w:tcW w:w="62" w:type="pct"/>
            <w:tcBorders>
              <w:top w:val="nil"/>
              <w:left w:val="nil"/>
              <w:bottom w:val="nil"/>
              <w:right w:val="nil"/>
            </w:tcBorders>
            <w:shd w:val="clear" w:color="auto" w:fill="auto"/>
            <w:noWrap/>
            <w:vAlign w:val="center"/>
            <w:hideMark/>
          </w:tcPr>
          <w:p w14:paraId="00BE6633"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236353C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10.6</w:t>
            </w:r>
          </w:p>
        </w:tc>
        <w:tc>
          <w:tcPr>
            <w:tcW w:w="154" w:type="pct"/>
            <w:tcBorders>
              <w:top w:val="nil"/>
              <w:left w:val="nil"/>
              <w:bottom w:val="nil"/>
              <w:right w:val="nil"/>
            </w:tcBorders>
            <w:shd w:val="clear" w:color="auto" w:fill="auto"/>
            <w:noWrap/>
            <w:vAlign w:val="center"/>
            <w:hideMark/>
          </w:tcPr>
          <w:p w14:paraId="3492857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1.2</w:t>
            </w:r>
          </w:p>
        </w:tc>
        <w:tc>
          <w:tcPr>
            <w:tcW w:w="62" w:type="pct"/>
            <w:tcBorders>
              <w:top w:val="nil"/>
              <w:left w:val="nil"/>
              <w:bottom w:val="nil"/>
              <w:right w:val="nil"/>
            </w:tcBorders>
            <w:shd w:val="clear" w:color="auto" w:fill="auto"/>
            <w:noWrap/>
            <w:vAlign w:val="center"/>
            <w:hideMark/>
          </w:tcPr>
          <w:p w14:paraId="7416E8BA"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2DEB1C7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9.2</w:t>
            </w:r>
          </w:p>
        </w:tc>
        <w:tc>
          <w:tcPr>
            <w:tcW w:w="175" w:type="pct"/>
            <w:tcBorders>
              <w:top w:val="nil"/>
              <w:left w:val="nil"/>
              <w:bottom w:val="nil"/>
              <w:right w:val="nil"/>
            </w:tcBorders>
            <w:shd w:val="clear" w:color="auto" w:fill="auto"/>
            <w:noWrap/>
            <w:vAlign w:val="center"/>
            <w:hideMark/>
          </w:tcPr>
          <w:p w14:paraId="2FB10C2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362D0499"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78162AC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9.5</w:t>
            </w:r>
          </w:p>
        </w:tc>
        <w:tc>
          <w:tcPr>
            <w:tcW w:w="174" w:type="pct"/>
            <w:tcBorders>
              <w:top w:val="nil"/>
              <w:left w:val="nil"/>
              <w:bottom w:val="nil"/>
              <w:right w:val="nil"/>
            </w:tcBorders>
            <w:shd w:val="clear" w:color="auto" w:fill="auto"/>
            <w:noWrap/>
            <w:vAlign w:val="center"/>
            <w:hideMark/>
          </w:tcPr>
          <w:p w14:paraId="05744C9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0.4</w:t>
            </w:r>
          </w:p>
        </w:tc>
      </w:tr>
      <w:tr w:rsidR="00C333B8" w:rsidRPr="00C333B8" w14:paraId="456D4651" w14:textId="77777777" w:rsidTr="00C333B8">
        <w:trPr>
          <w:trHeight w:val="240"/>
        </w:trPr>
        <w:tc>
          <w:tcPr>
            <w:tcW w:w="256" w:type="pct"/>
            <w:tcBorders>
              <w:top w:val="nil"/>
              <w:left w:val="nil"/>
              <w:bottom w:val="nil"/>
              <w:right w:val="nil"/>
            </w:tcBorders>
            <w:shd w:val="clear" w:color="auto" w:fill="auto"/>
            <w:noWrap/>
            <w:vAlign w:val="center"/>
            <w:hideMark/>
          </w:tcPr>
          <w:p w14:paraId="3ADF37B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X</w:t>
            </w:r>
            <w:r w:rsidRPr="00C333B8">
              <w:rPr>
                <w:rFonts w:eastAsia="Times New Roman"/>
                <w:sz w:val="18"/>
                <w:szCs w:val="18"/>
                <w:vertAlign w:val="subscript"/>
                <w:lang w:val="fr-FR" w:eastAsia="fr-FR"/>
              </w:rPr>
              <w:t>Cr</w:t>
            </w:r>
          </w:p>
        </w:tc>
        <w:tc>
          <w:tcPr>
            <w:tcW w:w="317" w:type="pct"/>
            <w:tcBorders>
              <w:top w:val="nil"/>
              <w:left w:val="nil"/>
              <w:bottom w:val="nil"/>
              <w:right w:val="nil"/>
            </w:tcBorders>
            <w:shd w:val="clear" w:color="auto" w:fill="auto"/>
            <w:noWrap/>
            <w:vAlign w:val="center"/>
            <w:hideMark/>
          </w:tcPr>
          <w:p w14:paraId="206881F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644E42C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963F381"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7A816C5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4" w:type="pct"/>
            <w:tcBorders>
              <w:top w:val="nil"/>
              <w:left w:val="nil"/>
              <w:bottom w:val="nil"/>
              <w:right w:val="nil"/>
            </w:tcBorders>
            <w:shd w:val="clear" w:color="auto" w:fill="auto"/>
            <w:noWrap/>
            <w:vAlign w:val="center"/>
            <w:hideMark/>
          </w:tcPr>
          <w:p w14:paraId="5225FC3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64A26F2"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35C4DEA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5C9E136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375BC18B"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561CCAE2"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0.1</w:t>
            </w:r>
          </w:p>
        </w:tc>
        <w:tc>
          <w:tcPr>
            <w:tcW w:w="175" w:type="pct"/>
            <w:tcBorders>
              <w:top w:val="nil"/>
              <w:left w:val="nil"/>
              <w:bottom w:val="nil"/>
              <w:right w:val="nil"/>
            </w:tcBorders>
            <w:shd w:val="clear" w:color="auto" w:fill="auto"/>
            <w:noWrap/>
            <w:vAlign w:val="center"/>
            <w:hideMark/>
          </w:tcPr>
          <w:p w14:paraId="29A034B1" w14:textId="77777777" w:rsidR="00C333B8" w:rsidRPr="00C333B8" w:rsidRDefault="00C333B8" w:rsidP="00C333B8">
            <w:pPr>
              <w:jc w:val="right"/>
              <w:rPr>
                <w:rFonts w:eastAsia="Times New Roman"/>
                <w:color w:val="000000"/>
                <w:sz w:val="18"/>
                <w:szCs w:val="18"/>
                <w:lang w:val="fr-FR" w:eastAsia="fr-FR"/>
              </w:rPr>
            </w:pPr>
            <w:r w:rsidRPr="00C333B8">
              <w:rPr>
                <w:rFonts w:eastAsia="Times New Roman"/>
                <w:color w:val="000000"/>
                <w:sz w:val="18"/>
                <w:szCs w:val="18"/>
                <w:lang w:val="fr-FR" w:eastAsia="fr-FR"/>
              </w:rPr>
              <w:t>0.0</w:t>
            </w:r>
          </w:p>
        </w:tc>
        <w:tc>
          <w:tcPr>
            <w:tcW w:w="62" w:type="pct"/>
            <w:tcBorders>
              <w:top w:val="nil"/>
              <w:left w:val="nil"/>
              <w:bottom w:val="nil"/>
              <w:right w:val="nil"/>
            </w:tcBorders>
            <w:shd w:val="clear" w:color="auto" w:fill="auto"/>
            <w:noWrap/>
            <w:vAlign w:val="center"/>
            <w:hideMark/>
          </w:tcPr>
          <w:p w14:paraId="0212360F" w14:textId="77777777" w:rsidR="00C333B8" w:rsidRPr="00C333B8" w:rsidRDefault="00C333B8" w:rsidP="00C333B8">
            <w:pPr>
              <w:rPr>
                <w:rFonts w:eastAsia="Times New Roman"/>
                <w:color w:val="000000"/>
                <w:sz w:val="18"/>
                <w:szCs w:val="18"/>
                <w:lang w:val="fr-FR" w:eastAsia="fr-FR"/>
              </w:rPr>
            </w:pPr>
          </w:p>
        </w:tc>
        <w:tc>
          <w:tcPr>
            <w:tcW w:w="317" w:type="pct"/>
            <w:tcBorders>
              <w:top w:val="nil"/>
              <w:left w:val="nil"/>
              <w:bottom w:val="nil"/>
              <w:right w:val="nil"/>
            </w:tcBorders>
            <w:shd w:val="clear" w:color="auto" w:fill="auto"/>
            <w:noWrap/>
            <w:vAlign w:val="center"/>
            <w:hideMark/>
          </w:tcPr>
          <w:p w14:paraId="0FB08311"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01A0DDB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365E130"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467CBB04"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3A1F5FD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0AD3D28" w14:textId="77777777" w:rsidR="00C333B8" w:rsidRPr="00C333B8" w:rsidRDefault="00C333B8" w:rsidP="00C333B8">
            <w:pPr>
              <w:jc w:val="center"/>
              <w:rPr>
                <w:rFonts w:eastAsia="Times New Roman"/>
                <w:sz w:val="18"/>
                <w:szCs w:val="18"/>
                <w:lang w:val="fr-FR" w:eastAsia="fr-FR"/>
              </w:rPr>
            </w:pPr>
          </w:p>
        </w:tc>
        <w:tc>
          <w:tcPr>
            <w:tcW w:w="317" w:type="pct"/>
            <w:tcBorders>
              <w:top w:val="nil"/>
              <w:left w:val="nil"/>
              <w:bottom w:val="nil"/>
              <w:right w:val="nil"/>
            </w:tcBorders>
            <w:shd w:val="clear" w:color="auto" w:fill="auto"/>
            <w:noWrap/>
            <w:vAlign w:val="center"/>
            <w:hideMark/>
          </w:tcPr>
          <w:p w14:paraId="7110173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54" w:type="pct"/>
            <w:tcBorders>
              <w:top w:val="nil"/>
              <w:left w:val="nil"/>
              <w:bottom w:val="nil"/>
              <w:right w:val="nil"/>
            </w:tcBorders>
            <w:shd w:val="clear" w:color="auto" w:fill="auto"/>
            <w:noWrap/>
            <w:vAlign w:val="center"/>
            <w:hideMark/>
          </w:tcPr>
          <w:p w14:paraId="1158C56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59A8BB1" w14:textId="77777777" w:rsidR="00C333B8" w:rsidRPr="00C333B8" w:rsidRDefault="00C333B8" w:rsidP="00C333B8">
            <w:pPr>
              <w:jc w:val="center"/>
              <w:rPr>
                <w:rFonts w:eastAsia="Times New Roman"/>
                <w:sz w:val="18"/>
                <w:szCs w:val="18"/>
                <w:lang w:val="fr-FR" w:eastAsia="fr-FR"/>
              </w:rPr>
            </w:pPr>
          </w:p>
        </w:tc>
        <w:tc>
          <w:tcPr>
            <w:tcW w:w="297" w:type="pct"/>
            <w:tcBorders>
              <w:top w:val="nil"/>
              <w:left w:val="nil"/>
              <w:bottom w:val="nil"/>
              <w:right w:val="nil"/>
            </w:tcBorders>
            <w:shd w:val="clear" w:color="auto" w:fill="auto"/>
            <w:noWrap/>
            <w:vAlign w:val="center"/>
            <w:hideMark/>
          </w:tcPr>
          <w:p w14:paraId="64EDB56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5" w:type="pct"/>
            <w:tcBorders>
              <w:top w:val="nil"/>
              <w:left w:val="nil"/>
              <w:bottom w:val="nil"/>
              <w:right w:val="nil"/>
            </w:tcBorders>
            <w:shd w:val="clear" w:color="auto" w:fill="auto"/>
            <w:noWrap/>
            <w:vAlign w:val="center"/>
            <w:hideMark/>
          </w:tcPr>
          <w:p w14:paraId="0E5521CA"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2FDEF0A" w14:textId="77777777" w:rsidR="00C333B8" w:rsidRPr="00C333B8" w:rsidRDefault="00C333B8" w:rsidP="00C333B8">
            <w:pPr>
              <w:jc w:val="center"/>
              <w:rPr>
                <w:rFonts w:eastAsia="Times New Roman"/>
                <w:sz w:val="18"/>
                <w:szCs w:val="18"/>
                <w:lang w:val="fr-FR" w:eastAsia="fr-FR"/>
              </w:rPr>
            </w:pPr>
          </w:p>
        </w:tc>
        <w:tc>
          <w:tcPr>
            <w:tcW w:w="298" w:type="pct"/>
            <w:tcBorders>
              <w:top w:val="nil"/>
              <w:left w:val="nil"/>
              <w:bottom w:val="nil"/>
              <w:right w:val="nil"/>
            </w:tcBorders>
            <w:shd w:val="clear" w:color="auto" w:fill="auto"/>
            <w:noWrap/>
            <w:vAlign w:val="center"/>
            <w:hideMark/>
          </w:tcPr>
          <w:p w14:paraId="12C8365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0.1</w:t>
            </w:r>
          </w:p>
        </w:tc>
        <w:tc>
          <w:tcPr>
            <w:tcW w:w="174" w:type="pct"/>
            <w:tcBorders>
              <w:top w:val="nil"/>
              <w:left w:val="nil"/>
              <w:bottom w:val="nil"/>
              <w:right w:val="nil"/>
            </w:tcBorders>
            <w:shd w:val="clear" w:color="auto" w:fill="auto"/>
            <w:noWrap/>
            <w:vAlign w:val="center"/>
            <w:hideMark/>
          </w:tcPr>
          <w:p w14:paraId="25DA5EA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0.0</w:t>
            </w:r>
          </w:p>
        </w:tc>
      </w:tr>
      <w:tr w:rsidR="00C333B8" w:rsidRPr="00C333B8" w14:paraId="75AEF87E" w14:textId="77777777" w:rsidTr="00C333B8">
        <w:trPr>
          <w:trHeight w:val="240"/>
        </w:trPr>
        <w:tc>
          <w:tcPr>
            <w:tcW w:w="256" w:type="pct"/>
            <w:tcBorders>
              <w:top w:val="nil"/>
              <w:left w:val="nil"/>
              <w:bottom w:val="single" w:sz="4" w:space="0" w:color="auto"/>
              <w:right w:val="nil"/>
            </w:tcBorders>
            <w:shd w:val="clear" w:color="auto" w:fill="auto"/>
            <w:noWrap/>
            <w:vAlign w:val="center"/>
            <w:hideMark/>
          </w:tcPr>
          <w:p w14:paraId="0C2F669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Cr#</w:t>
            </w:r>
          </w:p>
        </w:tc>
        <w:tc>
          <w:tcPr>
            <w:tcW w:w="317" w:type="pct"/>
            <w:tcBorders>
              <w:top w:val="nil"/>
              <w:left w:val="nil"/>
              <w:bottom w:val="single" w:sz="4" w:space="0" w:color="auto"/>
              <w:right w:val="nil"/>
            </w:tcBorders>
            <w:shd w:val="clear" w:color="auto" w:fill="auto"/>
            <w:noWrap/>
            <w:vAlign w:val="center"/>
            <w:hideMark/>
          </w:tcPr>
          <w:p w14:paraId="1180A96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9.0</w:t>
            </w:r>
          </w:p>
        </w:tc>
        <w:tc>
          <w:tcPr>
            <w:tcW w:w="154" w:type="pct"/>
            <w:tcBorders>
              <w:top w:val="nil"/>
              <w:left w:val="nil"/>
              <w:bottom w:val="single" w:sz="4" w:space="0" w:color="auto"/>
              <w:right w:val="nil"/>
            </w:tcBorders>
            <w:shd w:val="clear" w:color="auto" w:fill="auto"/>
            <w:noWrap/>
            <w:vAlign w:val="center"/>
            <w:hideMark/>
          </w:tcPr>
          <w:p w14:paraId="0FEF540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6B78075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8" w:type="pct"/>
            <w:tcBorders>
              <w:top w:val="nil"/>
              <w:left w:val="nil"/>
              <w:bottom w:val="single" w:sz="4" w:space="0" w:color="auto"/>
              <w:right w:val="nil"/>
            </w:tcBorders>
            <w:shd w:val="clear" w:color="auto" w:fill="auto"/>
            <w:noWrap/>
            <w:vAlign w:val="center"/>
            <w:hideMark/>
          </w:tcPr>
          <w:p w14:paraId="76BF145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17.2</w:t>
            </w:r>
          </w:p>
        </w:tc>
        <w:tc>
          <w:tcPr>
            <w:tcW w:w="174" w:type="pct"/>
            <w:tcBorders>
              <w:top w:val="nil"/>
              <w:left w:val="nil"/>
              <w:bottom w:val="single" w:sz="4" w:space="0" w:color="auto"/>
              <w:right w:val="nil"/>
            </w:tcBorders>
            <w:shd w:val="clear" w:color="auto" w:fill="auto"/>
            <w:noWrap/>
            <w:vAlign w:val="center"/>
            <w:hideMark/>
          </w:tcPr>
          <w:p w14:paraId="1B7BFED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7EEC184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426B5E83"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18.5</w:t>
            </w:r>
          </w:p>
        </w:tc>
        <w:tc>
          <w:tcPr>
            <w:tcW w:w="154" w:type="pct"/>
            <w:tcBorders>
              <w:top w:val="nil"/>
              <w:left w:val="nil"/>
              <w:bottom w:val="single" w:sz="4" w:space="0" w:color="auto"/>
              <w:right w:val="nil"/>
            </w:tcBorders>
            <w:shd w:val="clear" w:color="auto" w:fill="auto"/>
            <w:noWrap/>
            <w:vAlign w:val="center"/>
            <w:hideMark/>
          </w:tcPr>
          <w:p w14:paraId="2C15ACD2"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5693B6F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7" w:type="pct"/>
            <w:tcBorders>
              <w:top w:val="nil"/>
              <w:left w:val="nil"/>
              <w:bottom w:val="single" w:sz="4" w:space="0" w:color="auto"/>
              <w:right w:val="nil"/>
            </w:tcBorders>
            <w:shd w:val="clear" w:color="auto" w:fill="auto"/>
            <w:noWrap/>
            <w:vAlign w:val="center"/>
            <w:hideMark/>
          </w:tcPr>
          <w:p w14:paraId="7BDF619E"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24.9</w:t>
            </w:r>
          </w:p>
        </w:tc>
        <w:tc>
          <w:tcPr>
            <w:tcW w:w="175" w:type="pct"/>
            <w:tcBorders>
              <w:top w:val="nil"/>
              <w:left w:val="nil"/>
              <w:bottom w:val="single" w:sz="4" w:space="0" w:color="auto"/>
              <w:right w:val="nil"/>
            </w:tcBorders>
            <w:shd w:val="clear" w:color="auto" w:fill="auto"/>
            <w:noWrap/>
            <w:vAlign w:val="center"/>
            <w:hideMark/>
          </w:tcPr>
          <w:p w14:paraId="43B0F192"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76303B96" w14:textId="77777777" w:rsidR="00C333B8" w:rsidRPr="00C333B8" w:rsidRDefault="00C333B8" w:rsidP="00C333B8">
            <w:pPr>
              <w:rPr>
                <w:rFonts w:eastAsia="Times New Roman"/>
                <w:color w:val="000000"/>
                <w:sz w:val="18"/>
                <w:szCs w:val="18"/>
                <w:lang w:val="fr-FR" w:eastAsia="fr-FR"/>
              </w:rPr>
            </w:pPr>
            <w:r w:rsidRPr="00C333B8">
              <w:rPr>
                <w:rFonts w:eastAsia="Times New Roman"/>
                <w:color w:val="000000"/>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336AE99F"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11.7</w:t>
            </w:r>
          </w:p>
        </w:tc>
        <w:tc>
          <w:tcPr>
            <w:tcW w:w="154" w:type="pct"/>
            <w:tcBorders>
              <w:top w:val="nil"/>
              <w:left w:val="nil"/>
              <w:bottom w:val="single" w:sz="4" w:space="0" w:color="auto"/>
              <w:right w:val="nil"/>
            </w:tcBorders>
            <w:shd w:val="clear" w:color="auto" w:fill="auto"/>
            <w:noWrap/>
            <w:vAlign w:val="center"/>
            <w:hideMark/>
          </w:tcPr>
          <w:p w14:paraId="2791439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0ADBC97C"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2CCD5FA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21.8</w:t>
            </w:r>
          </w:p>
        </w:tc>
        <w:tc>
          <w:tcPr>
            <w:tcW w:w="154" w:type="pct"/>
            <w:tcBorders>
              <w:top w:val="nil"/>
              <w:left w:val="nil"/>
              <w:bottom w:val="single" w:sz="4" w:space="0" w:color="auto"/>
              <w:right w:val="nil"/>
            </w:tcBorders>
            <w:shd w:val="clear" w:color="auto" w:fill="auto"/>
            <w:noWrap/>
            <w:vAlign w:val="center"/>
            <w:hideMark/>
          </w:tcPr>
          <w:p w14:paraId="5DDB800E"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48CC72A0"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317" w:type="pct"/>
            <w:tcBorders>
              <w:top w:val="nil"/>
              <w:left w:val="nil"/>
              <w:bottom w:val="single" w:sz="4" w:space="0" w:color="auto"/>
              <w:right w:val="nil"/>
            </w:tcBorders>
            <w:shd w:val="clear" w:color="auto" w:fill="auto"/>
            <w:noWrap/>
            <w:vAlign w:val="center"/>
            <w:hideMark/>
          </w:tcPr>
          <w:p w14:paraId="66564049"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15.4</w:t>
            </w:r>
          </w:p>
        </w:tc>
        <w:tc>
          <w:tcPr>
            <w:tcW w:w="154" w:type="pct"/>
            <w:tcBorders>
              <w:top w:val="nil"/>
              <w:left w:val="nil"/>
              <w:bottom w:val="single" w:sz="4" w:space="0" w:color="auto"/>
              <w:right w:val="nil"/>
            </w:tcBorders>
            <w:shd w:val="clear" w:color="auto" w:fill="auto"/>
            <w:noWrap/>
            <w:vAlign w:val="center"/>
            <w:hideMark/>
          </w:tcPr>
          <w:p w14:paraId="15ED1A65"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441A616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7" w:type="pct"/>
            <w:tcBorders>
              <w:top w:val="nil"/>
              <w:left w:val="nil"/>
              <w:bottom w:val="single" w:sz="4" w:space="0" w:color="auto"/>
              <w:right w:val="nil"/>
            </w:tcBorders>
            <w:shd w:val="clear" w:color="auto" w:fill="auto"/>
            <w:noWrap/>
            <w:vAlign w:val="center"/>
            <w:hideMark/>
          </w:tcPr>
          <w:p w14:paraId="43181FB6"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23.4</w:t>
            </w:r>
          </w:p>
        </w:tc>
        <w:tc>
          <w:tcPr>
            <w:tcW w:w="175" w:type="pct"/>
            <w:tcBorders>
              <w:top w:val="nil"/>
              <w:left w:val="nil"/>
              <w:bottom w:val="single" w:sz="4" w:space="0" w:color="auto"/>
              <w:right w:val="nil"/>
            </w:tcBorders>
            <w:shd w:val="clear" w:color="auto" w:fill="auto"/>
            <w:noWrap/>
            <w:vAlign w:val="center"/>
            <w:hideMark/>
          </w:tcPr>
          <w:p w14:paraId="0F855ACB"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w:t>
            </w:r>
          </w:p>
        </w:tc>
        <w:tc>
          <w:tcPr>
            <w:tcW w:w="62" w:type="pct"/>
            <w:tcBorders>
              <w:top w:val="nil"/>
              <w:left w:val="nil"/>
              <w:bottom w:val="single" w:sz="4" w:space="0" w:color="auto"/>
              <w:right w:val="nil"/>
            </w:tcBorders>
            <w:shd w:val="clear" w:color="auto" w:fill="auto"/>
            <w:noWrap/>
            <w:vAlign w:val="center"/>
            <w:hideMark/>
          </w:tcPr>
          <w:p w14:paraId="09F8D0C7"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 </w:t>
            </w:r>
          </w:p>
        </w:tc>
        <w:tc>
          <w:tcPr>
            <w:tcW w:w="298" w:type="pct"/>
            <w:tcBorders>
              <w:top w:val="nil"/>
              <w:left w:val="nil"/>
              <w:bottom w:val="single" w:sz="4" w:space="0" w:color="auto"/>
              <w:right w:val="nil"/>
            </w:tcBorders>
            <w:shd w:val="clear" w:color="auto" w:fill="auto"/>
            <w:noWrap/>
            <w:vAlign w:val="center"/>
            <w:hideMark/>
          </w:tcPr>
          <w:p w14:paraId="296E0A28" w14:textId="77777777" w:rsidR="00C333B8" w:rsidRPr="00C333B8" w:rsidRDefault="00C333B8" w:rsidP="00C333B8">
            <w:pPr>
              <w:jc w:val="center"/>
              <w:rPr>
                <w:rFonts w:eastAsia="Times New Roman"/>
                <w:sz w:val="18"/>
                <w:szCs w:val="18"/>
                <w:lang w:val="fr-FR" w:eastAsia="fr-FR"/>
              </w:rPr>
            </w:pPr>
            <w:r w:rsidRPr="00C333B8">
              <w:rPr>
                <w:rFonts w:eastAsia="Times New Roman"/>
                <w:sz w:val="18"/>
                <w:szCs w:val="18"/>
                <w:lang w:val="fr-FR" w:eastAsia="fr-FR"/>
              </w:rPr>
              <w:t>22.5</w:t>
            </w:r>
          </w:p>
        </w:tc>
        <w:tc>
          <w:tcPr>
            <w:tcW w:w="174" w:type="pct"/>
            <w:tcBorders>
              <w:top w:val="nil"/>
              <w:left w:val="nil"/>
              <w:bottom w:val="single" w:sz="4" w:space="0" w:color="auto"/>
              <w:right w:val="nil"/>
            </w:tcBorders>
            <w:shd w:val="clear" w:color="auto" w:fill="auto"/>
            <w:noWrap/>
            <w:vAlign w:val="center"/>
            <w:hideMark/>
          </w:tcPr>
          <w:p w14:paraId="7D886C48" w14:textId="77777777" w:rsidR="00C333B8" w:rsidRPr="00C333B8" w:rsidRDefault="00C333B8" w:rsidP="00C333B8">
            <w:pPr>
              <w:jc w:val="center"/>
              <w:rPr>
                <w:rFonts w:eastAsia="Times New Roman"/>
                <w:color w:val="000000"/>
                <w:sz w:val="18"/>
                <w:szCs w:val="18"/>
                <w:lang w:val="fr-FR" w:eastAsia="fr-FR"/>
              </w:rPr>
            </w:pPr>
            <w:r w:rsidRPr="00C333B8">
              <w:rPr>
                <w:rFonts w:eastAsia="Times New Roman"/>
                <w:color w:val="000000"/>
                <w:sz w:val="18"/>
                <w:szCs w:val="18"/>
                <w:lang w:val="fr-FR" w:eastAsia="fr-FR"/>
              </w:rPr>
              <w:t>-</w:t>
            </w:r>
          </w:p>
        </w:tc>
      </w:tr>
    </w:tbl>
    <w:p w14:paraId="7A0CC664" w14:textId="77777777" w:rsidR="00D247B7" w:rsidRDefault="00D247B7" w:rsidP="00120E5F">
      <w:pPr>
        <w:pStyle w:val="FigureorTableCaption"/>
        <w:rPr>
          <w:color w:val="000000"/>
        </w:rPr>
      </w:pPr>
    </w:p>
    <w:p w14:paraId="182700BB" w14:textId="77777777" w:rsidR="00586DA8" w:rsidRPr="00E313B9" w:rsidRDefault="00586DA8" w:rsidP="00120E5F">
      <w:pPr>
        <w:pStyle w:val="FigureorTableCaption"/>
      </w:pPr>
    </w:p>
    <w:p w14:paraId="25EB082F" w14:textId="77777777" w:rsidR="00120E5F" w:rsidRDefault="00120E5F" w:rsidP="008E3798">
      <w:pPr>
        <w:tabs>
          <w:tab w:val="left" w:pos="912"/>
          <w:tab w:val="left" w:pos="1416"/>
          <w:tab w:val="left" w:pos="2124"/>
          <w:tab w:val="left" w:pos="2832"/>
          <w:tab w:val="left" w:pos="3540"/>
          <w:tab w:val="left" w:pos="4248"/>
          <w:tab w:val="left" w:pos="5903"/>
        </w:tabs>
        <w:spacing w:after="120"/>
        <w:jc w:val="both"/>
        <w:rPr>
          <w:bCs/>
          <w:noProof/>
          <w:sz w:val="24"/>
          <w:szCs w:val="24"/>
          <w:lang w:val="fr-FR" w:eastAsia="fr-FR"/>
        </w:rPr>
      </w:pPr>
    </w:p>
    <w:p w14:paraId="1BB3B21A" w14:textId="77777777" w:rsidR="00855702" w:rsidRPr="00855702" w:rsidRDefault="00855702" w:rsidP="008E3798">
      <w:pPr>
        <w:tabs>
          <w:tab w:val="left" w:pos="912"/>
          <w:tab w:val="left" w:pos="1416"/>
          <w:tab w:val="left" w:pos="2124"/>
          <w:tab w:val="left" w:pos="2832"/>
          <w:tab w:val="left" w:pos="3540"/>
          <w:tab w:val="left" w:pos="4248"/>
          <w:tab w:val="left" w:pos="5903"/>
        </w:tabs>
        <w:spacing w:after="120"/>
        <w:jc w:val="both"/>
        <w:rPr>
          <w:bCs/>
          <w:noProof/>
          <w:sz w:val="18"/>
          <w:szCs w:val="18"/>
          <w:lang w:val="fr-FR" w:eastAsia="fr-FR"/>
        </w:rPr>
      </w:pPr>
    </w:p>
    <w:p w14:paraId="2C4A7117" w14:textId="77777777" w:rsidR="00836D0A" w:rsidRDefault="00836D0A" w:rsidP="008E3798">
      <w:pPr>
        <w:tabs>
          <w:tab w:val="left" w:pos="912"/>
          <w:tab w:val="left" w:pos="1416"/>
          <w:tab w:val="left" w:pos="2124"/>
          <w:tab w:val="left" w:pos="2832"/>
          <w:tab w:val="left" w:pos="3540"/>
          <w:tab w:val="left" w:pos="4248"/>
          <w:tab w:val="left" w:pos="5903"/>
        </w:tabs>
        <w:spacing w:after="120"/>
        <w:jc w:val="both"/>
        <w:rPr>
          <w:rStyle w:val="Strong"/>
          <w:b w:val="0"/>
          <w:sz w:val="24"/>
          <w:szCs w:val="24"/>
        </w:rPr>
      </w:pPr>
    </w:p>
    <w:p w14:paraId="32E71EB9" w14:textId="77777777" w:rsidR="00855702" w:rsidRDefault="00855702" w:rsidP="008E3798">
      <w:pPr>
        <w:tabs>
          <w:tab w:val="left" w:pos="912"/>
          <w:tab w:val="left" w:pos="1416"/>
          <w:tab w:val="left" w:pos="2124"/>
          <w:tab w:val="left" w:pos="2832"/>
          <w:tab w:val="left" w:pos="3540"/>
          <w:tab w:val="left" w:pos="4248"/>
          <w:tab w:val="left" w:pos="5903"/>
        </w:tabs>
        <w:spacing w:after="120"/>
        <w:jc w:val="both"/>
        <w:rPr>
          <w:rStyle w:val="Strong"/>
          <w:b w:val="0"/>
          <w:sz w:val="24"/>
          <w:szCs w:val="24"/>
        </w:rPr>
        <w:sectPr w:rsidR="00855702" w:rsidSect="00855702">
          <w:pgSz w:w="15840" w:h="12240" w:orient="landscape"/>
          <w:pgMar w:top="1440" w:right="1440" w:bottom="1440" w:left="1440" w:header="432" w:footer="720" w:gutter="0"/>
          <w:cols w:space="720"/>
          <w:docGrid w:linePitch="360"/>
        </w:sectPr>
      </w:pPr>
    </w:p>
    <w:p w14:paraId="7C368A8A" w14:textId="001F2F79" w:rsidR="008E3798" w:rsidRDefault="008E3798" w:rsidP="008E3798">
      <w:pPr>
        <w:tabs>
          <w:tab w:val="left" w:pos="912"/>
        </w:tabs>
        <w:spacing w:after="120"/>
        <w:jc w:val="both"/>
        <w:rPr>
          <w:rStyle w:val="Strong"/>
          <w:b w:val="0"/>
          <w:sz w:val="24"/>
          <w:szCs w:val="24"/>
        </w:rPr>
      </w:pPr>
      <w:r w:rsidRPr="00022B05">
        <w:rPr>
          <w:rStyle w:val="Strong"/>
          <w:b w:val="0"/>
          <w:sz w:val="24"/>
          <w:szCs w:val="24"/>
        </w:rPr>
        <w:lastRenderedPageBreak/>
        <w:tab/>
      </w:r>
      <w:proofErr w:type="gramStart"/>
      <w:r w:rsidR="00217607" w:rsidRPr="000A3182">
        <w:rPr>
          <w:rStyle w:val="Strong"/>
          <w:b w:val="0"/>
          <w:sz w:val="24"/>
          <w:szCs w:val="24"/>
          <w:u w:val="single"/>
        </w:rPr>
        <w:t>Orthopyroxene.</w:t>
      </w:r>
      <w:proofErr w:type="gramEnd"/>
      <w:r w:rsidR="00217607">
        <w:rPr>
          <w:rStyle w:val="Strong"/>
          <w:b w:val="0"/>
          <w:sz w:val="24"/>
          <w:szCs w:val="24"/>
        </w:rPr>
        <w:t xml:space="preserve"> </w:t>
      </w:r>
      <w:r w:rsidRPr="00022B05">
        <w:rPr>
          <w:rStyle w:val="Strong"/>
          <w:b w:val="0"/>
          <w:sz w:val="24"/>
          <w:szCs w:val="24"/>
        </w:rPr>
        <w:t xml:space="preserve">Orthopyroxenes are present as porphyroclasts, as inclusions in clinopyroxenes, as small grains that </w:t>
      </w:r>
      <w:r w:rsidR="00217607">
        <w:rPr>
          <w:rStyle w:val="Strong"/>
          <w:b w:val="0"/>
          <w:sz w:val="24"/>
          <w:szCs w:val="24"/>
        </w:rPr>
        <w:t>are probably</w:t>
      </w:r>
      <w:r w:rsidRPr="00022B05">
        <w:rPr>
          <w:rStyle w:val="Strong"/>
          <w:b w:val="0"/>
          <w:sz w:val="24"/>
          <w:szCs w:val="24"/>
        </w:rPr>
        <w:t xml:space="preserve"> relicts of partially reacted porphyroclasts, and as reaction rims between olivine and plagioclase. Mg# are similar for all orthopyroxene types</w:t>
      </w:r>
      <w:r w:rsidR="00491C37">
        <w:rPr>
          <w:rStyle w:val="Strong"/>
          <w:b w:val="0"/>
          <w:sz w:val="24"/>
          <w:szCs w:val="24"/>
        </w:rPr>
        <w:t xml:space="preserve"> (from 86.</w:t>
      </w:r>
      <w:r w:rsidR="00D13924">
        <w:rPr>
          <w:rStyle w:val="Strong"/>
          <w:b w:val="0"/>
          <w:sz w:val="24"/>
          <w:szCs w:val="24"/>
        </w:rPr>
        <w:t>1</w:t>
      </w:r>
      <w:r w:rsidR="00491C37">
        <w:rPr>
          <w:rStyle w:val="Strong"/>
          <w:b w:val="0"/>
          <w:sz w:val="24"/>
          <w:szCs w:val="24"/>
        </w:rPr>
        <w:t xml:space="preserve"> to 90.1 </w:t>
      </w:r>
      <w:proofErr w:type="gramStart"/>
      <w:r w:rsidR="00491C37">
        <w:rPr>
          <w:rStyle w:val="Strong"/>
          <w:b w:val="0"/>
          <w:sz w:val="24"/>
          <w:szCs w:val="24"/>
        </w:rPr>
        <w:t>wt%</w:t>
      </w:r>
      <w:proofErr w:type="gramEnd"/>
      <w:r w:rsidR="00491C37">
        <w:rPr>
          <w:rStyle w:val="Strong"/>
          <w:b w:val="0"/>
          <w:sz w:val="24"/>
          <w:szCs w:val="24"/>
        </w:rPr>
        <w:t>)</w:t>
      </w:r>
      <w:r w:rsidRPr="00022B05">
        <w:rPr>
          <w:rStyle w:val="Strong"/>
          <w:b w:val="0"/>
          <w:sz w:val="24"/>
          <w:szCs w:val="24"/>
        </w:rPr>
        <w:t xml:space="preserve">, and similar to those reported for orthopyroxenes in plagioclase-free peridotites of the same region </w:t>
      </w:r>
      <w:r w:rsidR="00491C37">
        <w:rPr>
          <w:rStyle w:val="Strong"/>
          <w:b w:val="0"/>
          <w:sz w:val="24"/>
          <w:szCs w:val="24"/>
        </w:rPr>
        <w:t>(from 89.</w:t>
      </w:r>
      <w:r w:rsidR="00D13924">
        <w:rPr>
          <w:rStyle w:val="Strong"/>
          <w:b w:val="0"/>
          <w:sz w:val="24"/>
          <w:szCs w:val="24"/>
        </w:rPr>
        <w:t>3</w:t>
      </w:r>
      <w:r w:rsidR="00491C37">
        <w:rPr>
          <w:rStyle w:val="Strong"/>
          <w:b w:val="0"/>
          <w:sz w:val="24"/>
          <w:szCs w:val="24"/>
        </w:rPr>
        <w:t xml:space="preserve"> to 92.1 wt%, </w:t>
      </w:r>
      <w:r w:rsidR="001123EC" w:rsidRPr="00022B05">
        <w:rPr>
          <w:rStyle w:val="Strong"/>
          <w:b w:val="0"/>
          <w:i/>
          <w:sz w:val="24"/>
          <w:szCs w:val="24"/>
        </w:rPr>
        <w:t>Seyler et al.</w:t>
      </w:r>
      <w:r w:rsidR="001123EC" w:rsidRPr="00022B05">
        <w:rPr>
          <w:rStyle w:val="Strong"/>
          <w:b w:val="0"/>
          <w:sz w:val="24"/>
          <w:szCs w:val="24"/>
        </w:rPr>
        <w:t xml:space="preserve"> </w:t>
      </w:r>
      <w:r w:rsidR="00491C37">
        <w:rPr>
          <w:rStyle w:val="Strong"/>
          <w:b w:val="0"/>
          <w:sz w:val="24"/>
          <w:szCs w:val="24"/>
        </w:rPr>
        <w:t>[</w:t>
      </w:r>
      <w:r w:rsidR="001123EC" w:rsidRPr="00022B05">
        <w:rPr>
          <w:rStyle w:val="Strong"/>
          <w:b w:val="0"/>
          <w:sz w:val="24"/>
          <w:szCs w:val="24"/>
        </w:rPr>
        <w:t>2003]</w:t>
      </w:r>
      <w:r w:rsidR="00491C37">
        <w:rPr>
          <w:rStyle w:val="Strong"/>
          <w:b w:val="0"/>
          <w:sz w:val="24"/>
          <w:szCs w:val="24"/>
        </w:rPr>
        <w:t>)</w:t>
      </w:r>
      <w:r w:rsidRPr="00022B05">
        <w:rPr>
          <w:rStyle w:val="Strong"/>
          <w:b w:val="0"/>
          <w:sz w:val="24"/>
          <w:szCs w:val="24"/>
        </w:rPr>
        <w:t xml:space="preserve">. Orthopyroxene reaction rims stand out by distinctly lower </w:t>
      </w:r>
      <w:r w:rsidR="000A3182" w:rsidRPr="00022B05">
        <w:rPr>
          <w:rStyle w:val="Strong"/>
          <w:b w:val="0"/>
          <w:sz w:val="24"/>
          <w:szCs w:val="24"/>
        </w:rPr>
        <w:t>Al</w:t>
      </w:r>
      <w:r w:rsidR="000A3182" w:rsidRPr="00022B05">
        <w:rPr>
          <w:rStyle w:val="Strong"/>
          <w:b w:val="0"/>
          <w:sz w:val="24"/>
          <w:szCs w:val="24"/>
          <w:vertAlign w:val="subscript"/>
        </w:rPr>
        <w:t>2</w:t>
      </w:r>
      <w:r w:rsidR="000A3182" w:rsidRPr="00022B05">
        <w:rPr>
          <w:rStyle w:val="Strong"/>
          <w:b w:val="0"/>
          <w:sz w:val="24"/>
          <w:szCs w:val="24"/>
        </w:rPr>
        <w:t>O</w:t>
      </w:r>
      <w:r w:rsidR="000A3182" w:rsidRPr="00022B05">
        <w:rPr>
          <w:rStyle w:val="Strong"/>
          <w:b w:val="0"/>
          <w:sz w:val="24"/>
          <w:szCs w:val="24"/>
          <w:vertAlign w:val="subscript"/>
        </w:rPr>
        <w:t>3</w:t>
      </w:r>
      <w:r w:rsidR="000A3182" w:rsidRPr="00022B05">
        <w:rPr>
          <w:rStyle w:val="Strong"/>
          <w:b w:val="0"/>
          <w:sz w:val="24"/>
          <w:szCs w:val="24"/>
        </w:rPr>
        <w:t xml:space="preserve"> </w:t>
      </w:r>
      <w:r w:rsidRPr="00022B05">
        <w:rPr>
          <w:rStyle w:val="Strong"/>
          <w:b w:val="0"/>
          <w:sz w:val="24"/>
          <w:szCs w:val="24"/>
        </w:rPr>
        <w:t xml:space="preserve">and </w:t>
      </w:r>
      <w:r w:rsidR="000A3182">
        <w:rPr>
          <w:rStyle w:val="Strong"/>
          <w:b w:val="0"/>
          <w:sz w:val="24"/>
          <w:szCs w:val="24"/>
        </w:rPr>
        <w:t>TiO</w:t>
      </w:r>
      <w:r w:rsidR="000A3182" w:rsidRPr="000A3182">
        <w:rPr>
          <w:rStyle w:val="Strong"/>
          <w:b w:val="0"/>
          <w:sz w:val="24"/>
          <w:szCs w:val="24"/>
          <w:vertAlign w:val="subscript"/>
        </w:rPr>
        <w:t>2</w:t>
      </w:r>
      <w:r w:rsidR="000A3182" w:rsidRPr="00022B05">
        <w:rPr>
          <w:rStyle w:val="Strong"/>
          <w:b w:val="0"/>
          <w:sz w:val="24"/>
          <w:szCs w:val="24"/>
        </w:rPr>
        <w:t xml:space="preserve"> </w:t>
      </w:r>
      <w:r w:rsidRPr="00022B05">
        <w:rPr>
          <w:rStyle w:val="Strong"/>
          <w:b w:val="0"/>
          <w:sz w:val="24"/>
          <w:szCs w:val="24"/>
        </w:rPr>
        <w:t xml:space="preserve">contents (Table </w:t>
      </w:r>
      <w:r w:rsidR="00EC21E5">
        <w:rPr>
          <w:rStyle w:val="Strong"/>
          <w:b w:val="0"/>
          <w:sz w:val="24"/>
          <w:szCs w:val="24"/>
        </w:rPr>
        <w:t>7</w:t>
      </w:r>
      <w:r w:rsidRPr="00022B05">
        <w:rPr>
          <w:rStyle w:val="Strong"/>
          <w:b w:val="0"/>
          <w:sz w:val="24"/>
          <w:szCs w:val="24"/>
        </w:rPr>
        <w:t xml:space="preserve">). The other types of orthopyroxenes are compositionally similar. As in clinopyroxenes, the </w:t>
      </w:r>
      <w:r w:rsidR="000A3182">
        <w:rPr>
          <w:rStyle w:val="Strong"/>
          <w:b w:val="0"/>
          <w:sz w:val="24"/>
          <w:szCs w:val="24"/>
        </w:rPr>
        <w:t>Cr</w:t>
      </w:r>
      <w:r w:rsidR="000A3182" w:rsidRPr="00022B05">
        <w:rPr>
          <w:rStyle w:val="Strong"/>
          <w:b w:val="0"/>
          <w:sz w:val="24"/>
          <w:szCs w:val="24"/>
          <w:vertAlign w:val="subscript"/>
        </w:rPr>
        <w:t>2</w:t>
      </w:r>
      <w:r w:rsidR="000A3182" w:rsidRPr="00022B05">
        <w:rPr>
          <w:rStyle w:val="Strong"/>
          <w:b w:val="0"/>
          <w:sz w:val="24"/>
          <w:szCs w:val="24"/>
        </w:rPr>
        <w:t>O</w:t>
      </w:r>
      <w:r w:rsidR="000A3182" w:rsidRPr="00022B05">
        <w:rPr>
          <w:rStyle w:val="Strong"/>
          <w:b w:val="0"/>
          <w:sz w:val="24"/>
          <w:szCs w:val="24"/>
          <w:vertAlign w:val="subscript"/>
        </w:rPr>
        <w:t>3</w:t>
      </w:r>
      <w:r w:rsidR="000A3182" w:rsidRPr="00022B05">
        <w:rPr>
          <w:rStyle w:val="Strong"/>
          <w:b w:val="0"/>
          <w:sz w:val="24"/>
          <w:szCs w:val="24"/>
        </w:rPr>
        <w:t xml:space="preserve"> </w:t>
      </w:r>
      <w:r w:rsidRPr="00022B05">
        <w:rPr>
          <w:rStyle w:val="Strong"/>
          <w:b w:val="0"/>
          <w:sz w:val="24"/>
          <w:szCs w:val="24"/>
        </w:rPr>
        <w:t>content of orthopyroxenes is lower in plagioclase websterites than in plagioclase lherzolites, and spans the whole range (0.2 to 0.</w:t>
      </w:r>
      <w:r w:rsidR="00D13924">
        <w:rPr>
          <w:rStyle w:val="Strong"/>
          <w:b w:val="0"/>
          <w:sz w:val="24"/>
          <w:szCs w:val="24"/>
        </w:rPr>
        <w:t>9</w:t>
      </w:r>
      <w:r w:rsidRPr="00022B05">
        <w:rPr>
          <w:rStyle w:val="Strong"/>
          <w:b w:val="0"/>
          <w:sz w:val="24"/>
          <w:szCs w:val="24"/>
        </w:rPr>
        <w:t xml:space="preserve"> </w:t>
      </w:r>
      <w:proofErr w:type="gramStart"/>
      <w:r w:rsidRPr="00022B05">
        <w:rPr>
          <w:rStyle w:val="Strong"/>
          <w:b w:val="0"/>
          <w:sz w:val="24"/>
          <w:szCs w:val="24"/>
        </w:rPr>
        <w:t>wt%</w:t>
      </w:r>
      <w:proofErr w:type="gramEnd"/>
      <w:r w:rsidRPr="00022B05">
        <w:rPr>
          <w:rStyle w:val="Strong"/>
          <w:b w:val="0"/>
          <w:sz w:val="24"/>
          <w:szCs w:val="24"/>
        </w:rPr>
        <w:t xml:space="preserve">) in plagioclase-rich samples (troctolites, olivine gabbros, gabbros). Also similar to clinopyroxenes, orthopyroxene rims are similar in composition to orthopyroxene cores, except for lower CaO contents. The values reported in Table </w:t>
      </w:r>
      <w:r w:rsidR="00EC21E5">
        <w:rPr>
          <w:rStyle w:val="Strong"/>
          <w:b w:val="0"/>
          <w:sz w:val="24"/>
          <w:szCs w:val="24"/>
        </w:rPr>
        <w:t>7</w:t>
      </w:r>
      <w:r w:rsidRPr="00022B05">
        <w:rPr>
          <w:rStyle w:val="Strong"/>
          <w:b w:val="0"/>
          <w:sz w:val="24"/>
          <w:szCs w:val="24"/>
        </w:rPr>
        <w:t xml:space="preserve"> correspond to crystal cores</w:t>
      </w:r>
      <w:r w:rsidR="00E84C0F">
        <w:rPr>
          <w:rStyle w:val="Strong"/>
          <w:b w:val="0"/>
          <w:sz w:val="24"/>
          <w:szCs w:val="24"/>
        </w:rPr>
        <w:t>.</w:t>
      </w:r>
    </w:p>
    <w:p w14:paraId="2BA88DE0" w14:textId="622A626E" w:rsidR="00120E5F" w:rsidRDefault="00120E5F" w:rsidP="00120E5F">
      <w:pPr>
        <w:tabs>
          <w:tab w:val="left" w:pos="912"/>
        </w:tabs>
        <w:spacing w:after="120"/>
        <w:jc w:val="both"/>
        <w:rPr>
          <w:sz w:val="24"/>
          <w:szCs w:val="24"/>
        </w:rPr>
      </w:pPr>
      <w:r w:rsidRPr="00022B05">
        <w:rPr>
          <w:sz w:val="24"/>
          <w:szCs w:val="24"/>
        </w:rPr>
        <w:tab/>
      </w:r>
      <w:proofErr w:type="gramStart"/>
      <w:r w:rsidRPr="00383843">
        <w:rPr>
          <w:sz w:val="24"/>
          <w:szCs w:val="24"/>
          <w:u w:val="single"/>
        </w:rPr>
        <w:t>Olivine.</w:t>
      </w:r>
      <w:proofErr w:type="gramEnd"/>
      <w:r>
        <w:rPr>
          <w:sz w:val="24"/>
          <w:szCs w:val="24"/>
        </w:rPr>
        <w:t xml:space="preserve"> </w:t>
      </w:r>
      <w:proofErr w:type="gramStart"/>
      <w:r w:rsidRPr="00022B05">
        <w:rPr>
          <w:sz w:val="24"/>
          <w:szCs w:val="24"/>
        </w:rPr>
        <w:t>Fo</w:t>
      </w:r>
      <w:proofErr w:type="gramEnd"/>
      <w:r w:rsidRPr="00022B05">
        <w:rPr>
          <w:sz w:val="24"/>
          <w:szCs w:val="24"/>
        </w:rPr>
        <w:t xml:space="preserve"> contents in olivine (cores and rims) range between </w:t>
      </w:r>
      <w:r>
        <w:rPr>
          <w:sz w:val="24"/>
          <w:szCs w:val="24"/>
        </w:rPr>
        <w:t>87.0</w:t>
      </w:r>
      <w:r w:rsidRPr="00022B05">
        <w:rPr>
          <w:sz w:val="24"/>
          <w:szCs w:val="24"/>
        </w:rPr>
        <w:t xml:space="preserve"> and 90.1% (Table </w:t>
      </w:r>
      <w:r>
        <w:rPr>
          <w:sz w:val="24"/>
          <w:szCs w:val="24"/>
        </w:rPr>
        <w:t>8</w:t>
      </w:r>
      <w:r w:rsidRPr="00022B05">
        <w:rPr>
          <w:sz w:val="24"/>
          <w:szCs w:val="24"/>
        </w:rPr>
        <w:t xml:space="preserve">). As in the case of clinopyroxenes and orthopyroxenes, there is no correlation between olivine </w:t>
      </w:r>
      <w:proofErr w:type="gramStart"/>
      <w:r w:rsidRPr="00022B05">
        <w:rPr>
          <w:sz w:val="24"/>
          <w:szCs w:val="24"/>
        </w:rPr>
        <w:t>Fo</w:t>
      </w:r>
      <w:proofErr w:type="gramEnd"/>
      <w:r w:rsidRPr="00022B05">
        <w:rPr>
          <w:sz w:val="24"/>
          <w:szCs w:val="24"/>
        </w:rPr>
        <w:t xml:space="preserve"> and plagioclase An content in the same sample. Several samples, including two olivine gabbros, contain olivine with </w:t>
      </w:r>
      <w:proofErr w:type="gramStart"/>
      <w:r w:rsidRPr="00022B05">
        <w:rPr>
          <w:sz w:val="24"/>
          <w:szCs w:val="24"/>
        </w:rPr>
        <w:t>Fo</w:t>
      </w:r>
      <w:proofErr w:type="gramEnd"/>
      <w:r w:rsidRPr="00022B05">
        <w:rPr>
          <w:sz w:val="24"/>
          <w:szCs w:val="24"/>
        </w:rPr>
        <w:t xml:space="preserve"> contents in the range of values measured in olivine from plagioclase-free peridotites from the same region (</w:t>
      </w:r>
      <w:r w:rsidRPr="00022B05">
        <w:rPr>
          <w:rStyle w:val="Strong"/>
          <w:b w:val="0"/>
          <w:sz w:val="24"/>
          <w:szCs w:val="24"/>
        </w:rPr>
        <w:t>89</w:t>
      </w:r>
      <w:r>
        <w:rPr>
          <w:rStyle w:val="Strong"/>
          <w:b w:val="0"/>
          <w:sz w:val="24"/>
          <w:szCs w:val="24"/>
        </w:rPr>
        <w:t>.3</w:t>
      </w:r>
      <w:r w:rsidRPr="00022B05">
        <w:rPr>
          <w:rStyle w:val="Strong"/>
          <w:b w:val="0"/>
          <w:sz w:val="24"/>
          <w:szCs w:val="24"/>
        </w:rPr>
        <w:t xml:space="preserve"> to 90.</w:t>
      </w:r>
      <w:r>
        <w:rPr>
          <w:rStyle w:val="Strong"/>
          <w:b w:val="0"/>
          <w:sz w:val="24"/>
          <w:szCs w:val="24"/>
        </w:rPr>
        <w:t>7</w:t>
      </w:r>
      <w:r w:rsidRPr="00022B05">
        <w:rPr>
          <w:rStyle w:val="Strong"/>
          <w:b w:val="0"/>
          <w:sz w:val="24"/>
          <w:szCs w:val="24"/>
        </w:rPr>
        <w:t>%; [</w:t>
      </w:r>
      <w:r w:rsidRPr="00022B05">
        <w:rPr>
          <w:rStyle w:val="Strong"/>
          <w:b w:val="0"/>
          <w:i/>
          <w:sz w:val="24"/>
          <w:szCs w:val="24"/>
        </w:rPr>
        <w:t>Seyler et al.</w:t>
      </w:r>
      <w:r w:rsidRPr="00022B05">
        <w:rPr>
          <w:rStyle w:val="Strong"/>
          <w:b w:val="0"/>
          <w:sz w:val="24"/>
          <w:szCs w:val="24"/>
        </w:rPr>
        <w:t>, 2003]</w:t>
      </w:r>
      <w:r w:rsidRPr="00022B05">
        <w:rPr>
          <w:sz w:val="24"/>
          <w:szCs w:val="24"/>
        </w:rPr>
        <w:t xml:space="preserve">). Other samples contain olivine with slightly lower </w:t>
      </w:r>
      <w:proofErr w:type="gramStart"/>
      <w:r w:rsidRPr="00022B05">
        <w:rPr>
          <w:sz w:val="24"/>
          <w:szCs w:val="24"/>
        </w:rPr>
        <w:t>Fo</w:t>
      </w:r>
      <w:proofErr w:type="gramEnd"/>
      <w:r w:rsidRPr="00022B05">
        <w:rPr>
          <w:sz w:val="24"/>
          <w:szCs w:val="24"/>
        </w:rPr>
        <w:t xml:space="preserve"> contents (</w:t>
      </w:r>
      <w:r>
        <w:rPr>
          <w:sz w:val="24"/>
          <w:szCs w:val="24"/>
        </w:rPr>
        <w:t>87.0</w:t>
      </w:r>
      <w:r w:rsidRPr="00022B05">
        <w:rPr>
          <w:sz w:val="24"/>
          <w:szCs w:val="24"/>
        </w:rPr>
        <w:t xml:space="preserve"> to 88.</w:t>
      </w:r>
      <w:r>
        <w:rPr>
          <w:sz w:val="24"/>
          <w:szCs w:val="24"/>
        </w:rPr>
        <w:t>7</w:t>
      </w:r>
      <w:r w:rsidRPr="00022B05">
        <w:rPr>
          <w:sz w:val="24"/>
          <w:szCs w:val="24"/>
        </w:rPr>
        <w:t xml:space="preserve">%). </w:t>
      </w:r>
      <w:proofErr w:type="gramStart"/>
      <w:r w:rsidR="000A3182" w:rsidRPr="00022B05">
        <w:rPr>
          <w:sz w:val="24"/>
          <w:szCs w:val="24"/>
        </w:rPr>
        <w:t>Fo</w:t>
      </w:r>
      <w:proofErr w:type="gramEnd"/>
      <w:r w:rsidR="000A3182" w:rsidRPr="00022B05">
        <w:rPr>
          <w:sz w:val="24"/>
          <w:szCs w:val="24"/>
        </w:rPr>
        <w:t xml:space="preserve"> contents </w:t>
      </w:r>
      <w:r w:rsidRPr="00022B05">
        <w:rPr>
          <w:sz w:val="24"/>
          <w:szCs w:val="24"/>
        </w:rPr>
        <w:t xml:space="preserve">in plagioclase lherzolites </w:t>
      </w:r>
      <w:r w:rsidR="000A3182">
        <w:rPr>
          <w:sz w:val="24"/>
          <w:szCs w:val="24"/>
        </w:rPr>
        <w:t>show</w:t>
      </w:r>
      <w:r w:rsidRPr="00022B05">
        <w:rPr>
          <w:sz w:val="24"/>
          <w:szCs w:val="24"/>
        </w:rPr>
        <w:t xml:space="preserve"> the higher range (87.9 to 90.1%); </w:t>
      </w:r>
      <w:r w:rsidR="000A3182">
        <w:rPr>
          <w:sz w:val="24"/>
          <w:szCs w:val="24"/>
        </w:rPr>
        <w:t xml:space="preserve">Fo contents </w:t>
      </w:r>
      <w:r w:rsidRPr="00022B05">
        <w:rPr>
          <w:sz w:val="24"/>
          <w:szCs w:val="24"/>
        </w:rPr>
        <w:t xml:space="preserve">in plagioclase websterites </w:t>
      </w:r>
      <w:r w:rsidR="000A3182">
        <w:rPr>
          <w:sz w:val="24"/>
          <w:szCs w:val="24"/>
        </w:rPr>
        <w:t>range from</w:t>
      </w:r>
      <w:r w:rsidRPr="00022B05">
        <w:rPr>
          <w:sz w:val="24"/>
          <w:szCs w:val="24"/>
        </w:rPr>
        <w:t xml:space="preserve"> between 87.</w:t>
      </w:r>
      <w:r>
        <w:rPr>
          <w:sz w:val="24"/>
          <w:szCs w:val="24"/>
        </w:rPr>
        <w:t>9</w:t>
      </w:r>
      <w:r w:rsidRPr="00022B05">
        <w:rPr>
          <w:sz w:val="24"/>
          <w:szCs w:val="24"/>
        </w:rPr>
        <w:t xml:space="preserve"> </w:t>
      </w:r>
      <w:r w:rsidR="000A3182">
        <w:rPr>
          <w:sz w:val="24"/>
          <w:szCs w:val="24"/>
        </w:rPr>
        <w:t>to</w:t>
      </w:r>
      <w:r w:rsidRPr="00022B05">
        <w:rPr>
          <w:sz w:val="24"/>
          <w:szCs w:val="24"/>
        </w:rPr>
        <w:t xml:space="preserve"> 89.7%; </w:t>
      </w:r>
      <w:r w:rsidR="000A3182" w:rsidRPr="00022B05">
        <w:rPr>
          <w:sz w:val="24"/>
          <w:szCs w:val="24"/>
        </w:rPr>
        <w:t>Fo values</w:t>
      </w:r>
      <w:r w:rsidRPr="00022B05">
        <w:rPr>
          <w:sz w:val="24"/>
          <w:szCs w:val="24"/>
        </w:rPr>
        <w:t xml:space="preserve"> in troctolites and olivine gabbros </w:t>
      </w:r>
      <w:r w:rsidR="000A3182">
        <w:rPr>
          <w:sz w:val="24"/>
          <w:szCs w:val="24"/>
        </w:rPr>
        <w:t>are</w:t>
      </w:r>
      <w:r w:rsidRPr="00022B05">
        <w:rPr>
          <w:sz w:val="24"/>
          <w:szCs w:val="24"/>
        </w:rPr>
        <w:t xml:space="preserve"> between </w:t>
      </w:r>
      <w:r>
        <w:rPr>
          <w:sz w:val="24"/>
          <w:szCs w:val="24"/>
        </w:rPr>
        <w:t>87.0</w:t>
      </w:r>
      <w:r w:rsidRPr="00022B05">
        <w:rPr>
          <w:sz w:val="24"/>
          <w:szCs w:val="24"/>
        </w:rPr>
        <w:t xml:space="preserve"> and 89.6% (Table </w:t>
      </w:r>
      <w:r>
        <w:rPr>
          <w:sz w:val="24"/>
          <w:szCs w:val="24"/>
        </w:rPr>
        <w:t>8</w:t>
      </w:r>
      <w:r w:rsidRPr="00022B05">
        <w:rPr>
          <w:sz w:val="24"/>
          <w:szCs w:val="24"/>
        </w:rPr>
        <w:t>). Olivine NiO (0.</w:t>
      </w:r>
      <w:r>
        <w:rPr>
          <w:sz w:val="24"/>
          <w:szCs w:val="24"/>
        </w:rPr>
        <w:t>3</w:t>
      </w:r>
      <w:r w:rsidRPr="00022B05">
        <w:rPr>
          <w:sz w:val="24"/>
          <w:szCs w:val="24"/>
        </w:rPr>
        <w:t>-0.4 wt%) and MnO (0.1-0.2 wt%) contents are similar in all samples and within the range measured in olivine from plagioclase-free peridotites from the same region (between 0.3 and 0.4 wt% for NiO, and between 0.</w:t>
      </w:r>
      <w:r>
        <w:rPr>
          <w:sz w:val="24"/>
          <w:szCs w:val="24"/>
        </w:rPr>
        <w:t>1</w:t>
      </w:r>
      <w:r w:rsidRPr="00022B05">
        <w:rPr>
          <w:sz w:val="24"/>
          <w:szCs w:val="24"/>
        </w:rPr>
        <w:t xml:space="preserve"> and 0.</w:t>
      </w:r>
      <w:r>
        <w:rPr>
          <w:sz w:val="24"/>
          <w:szCs w:val="24"/>
        </w:rPr>
        <w:t>2</w:t>
      </w:r>
      <w:r w:rsidRPr="00022B05">
        <w:rPr>
          <w:sz w:val="24"/>
          <w:szCs w:val="24"/>
        </w:rPr>
        <w:t xml:space="preserve"> wt% for MnO; </w:t>
      </w:r>
      <w:r w:rsidRPr="00022B05">
        <w:rPr>
          <w:rStyle w:val="Strong"/>
          <w:b w:val="0"/>
          <w:sz w:val="24"/>
          <w:szCs w:val="24"/>
        </w:rPr>
        <w:t>[</w:t>
      </w:r>
      <w:r w:rsidRPr="00022B05">
        <w:rPr>
          <w:rStyle w:val="Strong"/>
          <w:b w:val="0"/>
          <w:i/>
          <w:sz w:val="24"/>
          <w:szCs w:val="24"/>
        </w:rPr>
        <w:t>Seyler et al.</w:t>
      </w:r>
      <w:r w:rsidRPr="00022B05">
        <w:rPr>
          <w:rStyle w:val="Strong"/>
          <w:b w:val="0"/>
          <w:sz w:val="24"/>
          <w:szCs w:val="24"/>
        </w:rPr>
        <w:t>, 2003]</w:t>
      </w:r>
      <w:r w:rsidRPr="00022B05">
        <w:rPr>
          <w:sz w:val="24"/>
          <w:szCs w:val="24"/>
        </w:rPr>
        <w:t>).</w:t>
      </w:r>
    </w:p>
    <w:p w14:paraId="672AF280" w14:textId="24B4050C" w:rsidR="00120E5F" w:rsidRDefault="00120E5F" w:rsidP="00120E5F">
      <w:pPr>
        <w:spacing w:after="120"/>
        <w:jc w:val="both"/>
        <w:rPr>
          <w:sz w:val="24"/>
          <w:szCs w:val="24"/>
        </w:rPr>
      </w:pPr>
      <w:r w:rsidRPr="00022B05">
        <w:rPr>
          <w:sz w:val="24"/>
          <w:szCs w:val="24"/>
        </w:rPr>
        <w:tab/>
      </w:r>
      <w:proofErr w:type="gramStart"/>
      <w:r w:rsidRPr="00383843">
        <w:rPr>
          <w:sz w:val="24"/>
          <w:szCs w:val="24"/>
          <w:u w:val="single"/>
        </w:rPr>
        <w:t>Spinel.</w:t>
      </w:r>
      <w:proofErr w:type="gramEnd"/>
      <w:r>
        <w:rPr>
          <w:sz w:val="24"/>
          <w:szCs w:val="24"/>
        </w:rPr>
        <w:t xml:space="preserve"> </w:t>
      </w:r>
      <w:r w:rsidRPr="00022B05">
        <w:rPr>
          <w:sz w:val="24"/>
          <w:szCs w:val="24"/>
        </w:rPr>
        <w:t xml:space="preserve">The Mg# of spinel in </w:t>
      </w:r>
      <w:r>
        <w:rPr>
          <w:sz w:val="24"/>
          <w:szCs w:val="24"/>
        </w:rPr>
        <w:t>the plagioclase-bearing ultramafic</w:t>
      </w:r>
      <w:r w:rsidRPr="00022B05">
        <w:rPr>
          <w:sz w:val="24"/>
          <w:szCs w:val="24"/>
        </w:rPr>
        <w:t xml:space="preserve"> samples spans a range from 49.</w:t>
      </w:r>
      <w:r>
        <w:rPr>
          <w:sz w:val="24"/>
          <w:szCs w:val="24"/>
        </w:rPr>
        <w:t>4</w:t>
      </w:r>
      <w:r w:rsidR="000A3182">
        <w:rPr>
          <w:sz w:val="24"/>
          <w:szCs w:val="24"/>
        </w:rPr>
        <w:t xml:space="preserve"> to 76.1% (Figure 10 and</w:t>
      </w:r>
      <w:r w:rsidRPr="00022B05">
        <w:rPr>
          <w:sz w:val="24"/>
          <w:szCs w:val="24"/>
        </w:rPr>
        <w:t xml:space="preserve"> Table </w:t>
      </w:r>
      <w:r>
        <w:rPr>
          <w:sz w:val="24"/>
          <w:szCs w:val="24"/>
        </w:rPr>
        <w:t>9</w:t>
      </w:r>
      <w:r w:rsidRPr="00022B05">
        <w:rPr>
          <w:sz w:val="24"/>
          <w:szCs w:val="24"/>
        </w:rPr>
        <w:t xml:space="preserve">). As in the case of pyroxenes and olivine, there is no correlation between the Mg# of the spinels and plagioclase </w:t>
      </w:r>
      <w:proofErr w:type="gramStart"/>
      <w:r w:rsidRPr="00022B05">
        <w:rPr>
          <w:sz w:val="24"/>
          <w:szCs w:val="24"/>
        </w:rPr>
        <w:t>An</w:t>
      </w:r>
      <w:proofErr w:type="gramEnd"/>
      <w:r w:rsidRPr="00022B05">
        <w:rPr>
          <w:sz w:val="24"/>
          <w:szCs w:val="24"/>
        </w:rPr>
        <w:t xml:space="preserve"> contents. In terms of their Mg#, Cr# and TiO</w:t>
      </w:r>
      <w:r w:rsidRPr="00383843">
        <w:rPr>
          <w:sz w:val="24"/>
          <w:szCs w:val="24"/>
          <w:vertAlign w:val="subscript"/>
        </w:rPr>
        <w:t>2</w:t>
      </w:r>
      <w:r w:rsidRPr="00022B05">
        <w:rPr>
          <w:sz w:val="24"/>
          <w:szCs w:val="24"/>
        </w:rPr>
        <w:t xml:space="preserve"> content, most spinels in </w:t>
      </w:r>
      <w:r>
        <w:rPr>
          <w:sz w:val="24"/>
          <w:szCs w:val="24"/>
        </w:rPr>
        <w:t>these</w:t>
      </w:r>
      <w:r w:rsidRPr="00022B05">
        <w:rPr>
          <w:sz w:val="24"/>
          <w:szCs w:val="24"/>
        </w:rPr>
        <w:t xml:space="preserve"> samples plot between the spinels of plagioclase-free lherzolites in the same region </w:t>
      </w:r>
      <w:r w:rsidRPr="00022B05">
        <w:rPr>
          <w:rStyle w:val="Strong"/>
          <w:b w:val="0"/>
          <w:sz w:val="24"/>
          <w:szCs w:val="24"/>
        </w:rPr>
        <w:t>[</w:t>
      </w:r>
      <w:r w:rsidRPr="00022B05">
        <w:rPr>
          <w:rStyle w:val="Strong"/>
          <w:b w:val="0"/>
          <w:i/>
          <w:sz w:val="24"/>
          <w:szCs w:val="24"/>
        </w:rPr>
        <w:t>Seyler et al.</w:t>
      </w:r>
      <w:r w:rsidRPr="00022B05">
        <w:rPr>
          <w:rStyle w:val="Strong"/>
          <w:b w:val="0"/>
          <w:sz w:val="24"/>
          <w:szCs w:val="24"/>
        </w:rPr>
        <w:t>, 2003]</w:t>
      </w:r>
      <w:r w:rsidRPr="00022B05">
        <w:rPr>
          <w:sz w:val="24"/>
          <w:szCs w:val="24"/>
        </w:rPr>
        <w:t>, and the spine</w:t>
      </w:r>
      <w:r>
        <w:rPr>
          <w:sz w:val="24"/>
          <w:szCs w:val="24"/>
        </w:rPr>
        <w:t>ls of troctolites from the MAR [</w:t>
      </w:r>
      <w:r w:rsidRPr="00022B05">
        <w:rPr>
          <w:i/>
          <w:sz w:val="24"/>
          <w:szCs w:val="24"/>
        </w:rPr>
        <w:t>Drouin et al.</w:t>
      </w:r>
      <w:r>
        <w:rPr>
          <w:sz w:val="24"/>
          <w:szCs w:val="24"/>
        </w:rPr>
        <w:t>, 2009]</w:t>
      </w:r>
      <w:r w:rsidRPr="00022B05">
        <w:rPr>
          <w:sz w:val="24"/>
          <w:szCs w:val="24"/>
        </w:rPr>
        <w:t>. They have lower Mg# (49.</w:t>
      </w:r>
      <w:r>
        <w:rPr>
          <w:sz w:val="24"/>
          <w:szCs w:val="24"/>
        </w:rPr>
        <w:t>4</w:t>
      </w:r>
      <w:r w:rsidRPr="00022B05">
        <w:rPr>
          <w:sz w:val="24"/>
          <w:szCs w:val="24"/>
        </w:rPr>
        <w:t xml:space="preserve"> to 64.1%), Al</w:t>
      </w:r>
      <w:r w:rsidRPr="00022B05">
        <w:rPr>
          <w:sz w:val="24"/>
          <w:szCs w:val="24"/>
          <w:vertAlign w:val="subscript"/>
        </w:rPr>
        <w:t>2</w:t>
      </w:r>
      <w:r w:rsidRPr="00022B05">
        <w:rPr>
          <w:sz w:val="24"/>
          <w:szCs w:val="24"/>
        </w:rPr>
        <w:t>O</w:t>
      </w:r>
      <w:r w:rsidRPr="00022B05">
        <w:rPr>
          <w:sz w:val="24"/>
          <w:szCs w:val="24"/>
          <w:vertAlign w:val="subscript"/>
        </w:rPr>
        <w:t>3</w:t>
      </w:r>
      <w:r w:rsidRPr="00022B05">
        <w:rPr>
          <w:sz w:val="24"/>
          <w:szCs w:val="24"/>
        </w:rPr>
        <w:t xml:space="preserve"> (31.7 to 37.</w:t>
      </w:r>
      <w:r>
        <w:rPr>
          <w:sz w:val="24"/>
          <w:szCs w:val="24"/>
        </w:rPr>
        <w:t>4</w:t>
      </w:r>
      <w:r w:rsidRPr="00022B05">
        <w:rPr>
          <w:sz w:val="24"/>
          <w:szCs w:val="24"/>
        </w:rPr>
        <w:t xml:space="preserve"> </w:t>
      </w:r>
      <w:proofErr w:type="gramStart"/>
      <w:r w:rsidRPr="00022B05">
        <w:rPr>
          <w:sz w:val="24"/>
          <w:szCs w:val="24"/>
        </w:rPr>
        <w:t>wt%</w:t>
      </w:r>
      <w:proofErr w:type="gramEnd"/>
      <w:r w:rsidRPr="00022B05">
        <w:rPr>
          <w:sz w:val="24"/>
          <w:szCs w:val="24"/>
        </w:rPr>
        <w:t>) and MgO (11.</w:t>
      </w:r>
      <w:r>
        <w:rPr>
          <w:sz w:val="24"/>
          <w:szCs w:val="24"/>
        </w:rPr>
        <w:t>9</w:t>
      </w:r>
      <w:r w:rsidRPr="00022B05">
        <w:rPr>
          <w:sz w:val="24"/>
          <w:szCs w:val="24"/>
        </w:rPr>
        <w:t xml:space="preserve"> to 15.7 wt%) contents, and higher Cr# (33.</w:t>
      </w:r>
      <w:r>
        <w:rPr>
          <w:sz w:val="24"/>
          <w:szCs w:val="24"/>
        </w:rPr>
        <w:t>7</w:t>
      </w:r>
      <w:r w:rsidRPr="00022B05">
        <w:rPr>
          <w:sz w:val="24"/>
          <w:szCs w:val="24"/>
        </w:rPr>
        <w:t xml:space="preserve"> to </w:t>
      </w:r>
      <w:r>
        <w:rPr>
          <w:sz w:val="24"/>
          <w:szCs w:val="24"/>
        </w:rPr>
        <w:t>41.0</w:t>
      </w:r>
      <w:r w:rsidRPr="00022B05">
        <w:rPr>
          <w:sz w:val="24"/>
          <w:szCs w:val="24"/>
        </w:rPr>
        <w:t>%), TiO</w:t>
      </w:r>
      <w:r w:rsidRPr="00383843">
        <w:rPr>
          <w:sz w:val="24"/>
          <w:szCs w:val="24"/>
          <w:vertAlign w:val="subscript"/>
        </w:rPr>
        <w:t>2</w:t>
      </w:r>
      <w:r w:rsidRPr="00022B05">
        <w:rPr>
          <w:sz w:val="24"/>
          <w:szCs w:val="24"/>
        </w:rPr>
        <w:t xml:space="preserve"> (0.</w:t>
      </w:r>
      <w:r>
        <w:rPr>
          <w:sz w:val="24"/>
          <w:szCs w:val="24"/>
        </w:rPr>
        <w:t>3</w:t>
      </w:r>
      <w:r w:rsidRPr="00022B05">
        <w:rPr>
          <w:sz w:val="24"/>
          <w:szCs w:val="24"/>
        </w:rPr>
        <w:t xml:space="preserve"> to 0.</w:t>
      </w:r>
      <w:r>
        <w:rPr>
          <w:sz w:val="24"/>
          <w:szCs w:val="24"/>
        </w:rPr>
        <w:t>8</w:t>
      </w:r>
      <w:r w:rsidRPr="00022B05">
        <w:rPr>
          <w:sz w:val="24"/>
          <w:szCs w:val="24"/>
        </w:rPr>
        <w:t xml:space="preserve"> wt%) and FeO (15.5 to 21.</w:t>
      </w:r>
      <w:r>
        <w:rPr>
          <w:sz w:val="24"/>
          <w:szCs w:val="24"/>
        </w:rPr>
        <w:t>6</w:t>
      </w:r>
      <w:r w:rsidRPr="00022B05">
        <w:rPr>
          <w:sz w:val="24"/>
          <w:szCs w:val="24"/>
        </w:rPr>
        <w:t xml:space="preserve"> wt%) contents, than spinels from plagioclase-free lherzolites </w:t>
      </w:r>
      <w:r>
        <w:rPr>
          <w:sz w:val="24"/>
          <w:szCs w:val="24"/>
        </w:rPr>
        <w:t>[</w:t>
      </w:r>
      <w:r w:rsidRPr="00383843">
        <w:rPr>
          <w:i/>
          <w:sz w:val="24"/>
          <w:szCs w:val="24"/>
        </w:rPr>
        <w:t>Seyler et al</w:t>
      </w:r>
      <w:r>
        <w:rPr>
          <w:i/>
          <w:sz w:val="24"/>
          <w:szCs w:val="24"/>
        </w:rPr>
        <w:t>.</w:t>
      </w:r>
      <w:r w:rsidRPr="00022B05">
        <w:rPr>
          <w:sz w:val="24"/>
          <w:szCs w:val="24"/>
        </w:rPr>
        <w:t>, 2003</w:t>
      </w:r>
      <w:r>
        <w:rPr>
          <w:sz w:val="24"/>
          <w:szCs w:val="24"/>
        </w:rPr>
        <w:t>]</w:t>
      </w:r>
      <w:r w:rsidRPr="00022B05">
        <w:rPr>
          <w:sz w:val="24"/>
          <w:szCs w:val="24"/>
        </w:rPr>
        <w:t xml:space="preserve">. </w:t>
      </w:r>
      <w:r w:rsidR="00E76131">
        <w:rPr>
          <w:sz w:val="24"/>
          <w:szCs w:val="24"/>
        </w:rPr>
        <w:t>However, s</w:t>
      </w:r>
      <w:r w:rsidRPr="00022B05">
        <w:rPr>
          <w:sz w:val="24"/>
          <w:szCs w:val="24"/>
        </w:rPr>
        <w:t>pinels in three samples (two plagioclase-bearing websterites: SMS17-4-22 and SMS29-3-9, and an olivine gabbro: SMS6-2-1) plot within the ranges of plagioclase-free lherzolites (Figure 10).</w:t>
      </w:r>
    </w:p>
    <w:p w14:paraId="7AFCD9D0" w14:textId="6184E15D" w:rsidR="00C74084" w:rsidRDefault="00120E5F">
      <w:pPr>
        <w:rPr>
          <w:rStyle w:val="Strong"/>
          <w:b w:val="0"/>
          <w:sz w:val="24"/>
          <w:szCs w:val="24"/>
        </w:rPr>
        <w:sectPr w:rsidR="00C74084" w:rsidSect="00C74084">
          <w:pgSz w:w="12240" w:h="15840"/>
          <w:pgMar w:top="1440" w:right="1440" w:bottom="1440" w:left="1440" w:header="432" w:footer="720" w:gutter="0"/>
          <w:cols w:space="720"/>
          <w:docGrid w:linePitch="360"/>
        </w:sectPr>
      </w:pPr>
      <w:r>
        <w:rPr>
          <w:rStyle w:val="Strong"/>
          <w:b w:val="0"/>
          <w:sz w:val="24"/>
          <w:szCs w:val="24"/>
        </w:rPr>
        <w:br w:type="page"/>
      </w:r>
    </w:p>
    <w:p w14:paraId="1B00A3F5" w14:textId="7B01D0D0" w:rsidR="008E5227" w:rsidRPr="006D6761" w:rsidRDefault="00120E5F" w:rsidP="00120E5F">
      <w:pPr>
        <w:pStyle w:val="FigureorTableCaption"/>
        <w:rPr>
          <w:color w:val="000000"/>
        </w:rPr>
      </w:pPr>
      <w:proofErr w:type="gramStart"/>
      <w:r w:rsidRPr="006D6761">
        <w:rPr>
          <w:b/>
        </w:rPr>
        <w:lastRenderedPageBreak/>
        <w:t>Table 7.</w:t>
      </w:r>
      <w:proofErr w:type="gramEnd"/>
      <w:r w:rsidRPr="006D6761">
        <w:t xml:space="preserve"> </w:t>
      </w:r>
      <w:r w:rsidRPr="006D6761">
        <w:rPr>
          <w:color w:val="000000"/>
        </w:rPr>
        <w:t>Major element compositions (</w:t>
      </w:r>
      <w:proofErr w:type="gramStart"/>
      <w:r w:rsidRPr="006D6761">
        <w:rPr>
          <w:color w:val="000000"/>
        </w:rPr>
        <w:t>wt%</w:t>
      </w:r>
      <w:proofErr w:type="gramEnd"/>
      <w:r w:rsidRPr="006D6761">
        <w:rPr>
          <w:color w:val="000000"/>
        </w:rPr>
        <w:t xml:space="preserve">) of orthopyroxenes of representative plagioclase-bearing ultramafic rocks. Average composition of several orthopyroxene grains in each sample. Error bars: ±1 </w:t>
      </w:r>
      <w:proofErr w:type="gramStart"/>
      <w:r w:rsidRPr="006D6761">
        <w:rPr>
          <w:color w:val="000000"/>
        </w:rPr>
        <w:t>std</w:t>
      </w:r>
      <w:proofErr w:type="gramEnd"/>
      <w:r w:rsidRPr="006D6761">
        <w:rPr>
          <w:color w:val="000000"/>
        </w:rPr>
        <w:t>.</w:t>
      </w:r>
    </w:p>
    <w:p w14:paraId="69850AC3" w14:textId="77777777" w:rsidR="00120E5F" w:rsidRPr="006D6761" w:rsidRDefault="00120E5F" w:rsidP="00F33F0C">
      <w:pPr>
        <w:rPr>
          <w:rStyle w:val="Strong"/>
          <w:b w:val="0"/>
          <w:sz w:val="18"/>
          <w:szCs w:val="18"/>
        </w:rPr>
      </w:pPr>
    </w:p>
    <w:tbl>
      <w:tblPr>
        <w:tblW w:w="5000" w:type="pct"/>
        <w:tblCellMar>
          <w:left w:w="70" w:type="dxa"/>
          <w:right w:w="70" w:type="dxa"/>
        </w:tblCellMar>
        <w:tblLook w:val="04A0" w:firstRow="1" w:lastRow="0" w:firstColumn="1" w:lastColumn="0" w:noHBand="0" w:noVBand="1"/>
      </w:tblPr>
      <w:tblGrid>
        <w:gridCol w:w="636"/>
        <w:gridCol w:w="751"/>
        <w:gridCol w:w="365"/>
        <w:gridCol w:w="755"/>
        <w:gridCol w:w="440"/>
        <w:gridCol w:w="185"/>
        <w:gridCol w:w="797"/>
        <w:gridCol w:w="379"/>
        <w:gridCol w:w="755"/>
        <w:gridCol w:w="440"/>
        <w:gridCol w:w="185"/>
        <w:gridCol w:w="786"/>
        <w:gridCol w:w="367"/>
        <w:gridCol w:w="752"/>
        <w:gridCol w:w="443"/>
        <w:gridCol w:w="185"/>
        <w:gridCol w:w="739"/>
        <w:gridCol w:w="365"/>
        <w:gridCol w:w="185"/>
        <w:gridCol w:w="718"/>
        <w:gridCol w:w="365"/>
        <w:gridCol w:w="185"/>
        <w:gridCol w:w="671"/>
        <w:gridCol w:w="391"/>
        <w:gridCol w:w="185"/>
        <w:gridCol w:w="692"/>
        <w:gridCol w:w="383"/>
      </w:tblGrid>
      <w:tr w:rsidR="006D6761" w:rsidRPr="006D6761" w14:paraId="7BF2132C" w14:textId="77777777" w:rsidTr="006D6761">
        <w:trPr>
          <w:trHeight w:val="240"/>
        </w:trPr>
        <w:tc>
          <w:tcPr>
            <w:tcW w:w="255" w:type="pct"/>
            <w:tcBorders>
              <w:top w:val="single" w:sz="4" w:space="0" w:color="auto"/>
              <w:left w:val="nil"/>
              <w:bottom w:val="nil"/>
              <w:right w:val="nil"/>
            </w:tcBorders>
            <w:shd w:val="clear" w:color="auto" w:fill="auto"/>
            <w:noWrap/>
            <w:vAlign w:val="bottom"/>
            <w:hideMark/>
          </w:tcPr>
          <w:p w14:paraId="47B17092" w14:textId="77777777" w:rsidR="006D6761" w:rsidRPr="001F338C" w:rsidRDefault="006D6761" w:rsidP="006D6761">
            <w:pPr>
              <w:rPr>
                <w:rFonts w:eastAsia="Times New Roman"/>
                <w:b/>
                <w:bCs/>
                <w:sz w:val="18"/>
                <w:szCs w:val="18"/>
                <w:lang w:val="en-GB" w:eastAsia="fr-FR"/>
                <w:rPrChange w:id="57" w:author="Daniele" w:date="2016-04-03T18:30:00Z">
                  <w:rPr>
                    <w:rFonts w:eastAsia="Times New Roman"/>
                    <w:b/>
                    <w:bCs/>
                    <w:sz w:val="18"/>
                    <w:szCs w:val="18"/>
                    <w:lang w:val="fr-FR" w:eastAsia="fr-FR"/>
                  </w:rPr>
                </w:rPrChange>
              </w:rPr>
            </w:pPr>
            <w:r w:rsidRPr="001F338C">
              <w:rPr>
                <w:rFonts w:eastAsia="Times New Roman"/>
                <w:b/>
                <w:bCs/>
                <w:sz w:val="18"/>
                <w:szCs w:val="18"/>
                <w:lang w:val="en-GB" w:eastAsia="fr-FR"/>
                <w:rPrChange w:id="58" w:author="Daniele" w:date="2016-04-03T18:30:00Z">
                  <w:rPr>
                    <w:rFonts w:eastAsia="Times New Roman"/>
                    <w:b/>
                    <w:bCs/>
                    <w:sz w:val="18"/>
                    <w:szCs w:val="18"/>
                    <w:lang w:val="fr-FR" w:eastAsia="fr-FR"/>
                  </w:rPr>
                </w:rPrChange>
              </w:rPr>
              <w:t> </w:t>
            </w:r>
          </w:p>
        </w:tc>
        <w:tc>
          <w:tcPr>
            <w:tcW w:w="848" w:type="pct"/>
            <w:gridSpan w:val="4"/>
            <w:tcBorders>
              <w:top w:val="single" w:sz="4" w:space="0" w:color="auto"/>
              <w:left w:val="nil"/>
              <w:bottom w:val="single" w:sz="4" w:space="0" w:color="auto"/>
              <w:right w:val="nil"/>
            </w:tcBorders>
            <w:shd w:val="clear" w:color="auto" w:fill="auto"/>
            <w:noWrap/>
            <w:vAlign w:val="center"/>
            <w:hideMark/>
          </w:tcPr>
          <w:p w14:paraId="7D385F7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SMS6-2-1</w:t>
            </w:r>
          </w:p>
        </w:tc>
        <w:tc>
          <w:tcPr>
            <w:tcW w:w="62" w:type="pct"/>
            <w:tcBorders>
              <w:top w:val="single" w:sz="4" w:space="0" w:color="auto"/>
              <w:left w:val="nil"/>
              <w:bottom w:val="nil"/>
              <w:right w:val="nil"/>
            </w:tcBorders>
            <w:shd w:val="clear" w:color="auto" w:fill="auto"/>
            <w:noWrap/>
            <w:vAlign w:val="center"/>
            <w:hideMark/>
          </w:tcPr>
          <w:p w14:paraId="76B4361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906" w:type="pct"/>
            <w:gridSpan w:val="4"/>
            <w:tcBorders>
              <w:top w:val="single" w:sz="4" w:space="0" w:color="auto"/>
              <w:left w:val="nil"/>
              <w:bottom w:val="single" w:sz="4" w:space="0" w:color="auto"/>
              <w:right w:val="nil"/>
            </w:tcBorders>
            <w:shd w:val="clear" w:color="auto" w:fill="auto"/>
            <w:noWrap/>
            <w:vAlign w:val="center"/>
            <w:hideMark/>
          </w:tcPr>
          <w:p w14:paraId="7A8B2D8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SMS6-5-2</w:t>
            </w:r>
          </w:p>
        </w:tc>
        <w:tc>
          <w:tcPr>
            <w:tcW w:w="62" w:type="pct"/>
            <w:tcBorders>
              <w:top w:val="single" w:sz="4" w:space="0" w:color="auto"/>
              <w:left w:val="nil"/>
              <w:bottom w:val="nil"/>
              <w:right w:val="nil"/>
            </w:tcBorders>
            <w:shd w:val="clear" w:color="auto" w:fill="auto"/>
            <w:noWrap/>
            <w:vAlign w:val="center"/>
            <w:hideMark/>
          </w:tcPr>
          <w:p w14:paraId="485E578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873" w:type="pct"/>
            <w:gridSpan w:val="4"/>
            <w:tcBorders>
              <w:top w:val="single" w:sz="4" w:space="0" w:color="auto"/>
              <w:left w:val="nil"/>
              <w:bottom w:val="single" w:sz="4" w:space="0" w:color="auto"/>
              <w:right w:val="nil"/>
            </w:tcBorders>
            <w:shd w:val="clear" w:color="auto" w:fill="auto"/>
            <w:noWrap/>
            <w:vAlign w:val="center"/>
            <w:hideMark/>
          </w:tcPr>
          <w:p w14:paraId="6651AF6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SMS6-5-7</w:t>
            </w:r>
          </w:p>
        </w:tc>
        <w:tc>
          <w:tcPr>
            <w:tcW w:w="62" w:type="pct"/>
            <w:tcBorders>
              <w:top w:val="single" w:sz="4" w:space="0" w:color="auto"/>
              <w:left w:val="nil"/>
              <w:bottom w:val="nil"/>
              <w:right w:val="nil"/>
            </w:tcBorders>
            <w:shd w:val="clear" w:color="auto" w:fill="auto"/>
            <w:noWrap/>
            <w:vAlign w:val="center"/>
            <w:hideMark/>
          </w:tcPr>
          <w:p w14:paraId="66C249C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436" w:type="pct"/>
            <w:gridSpan w:val="2"/>
            <w:tcBorders>
              <w:top w:val="single" w:sz="4" w:space="0" w:color="auto"/>
              <w:left w:val="nil"/>
              <w:bottom w:val="single" w:sz="4" w:space="0" w:color="auto"/>
              <w:right w:val="nil"/>
            </w:tcBorders>
            <w:shd w:val="clear" w:color="auto" w:fill="auto"/>
            <w:noWrap/>
            <w:vAlign w:val="center"/>
            <w:hideMark/>
          </w:tcPr>
          <w:p w14:paraId="4694FE7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SMS17-4-22</w:t>
            </w:r>
          </w:p>
        </w:tc>
        <w:tc>
          <w:tcPr>
            <w:tcW w:w="62" w:type="pct"/>
            <w:tcBorders>
              <w:top w:val="single" w:sz="4" w:space="0" w:color="auto"/>
              <w:left w:val="nil"/>
              <w:bottom w:val="nil"/>
              <w:right w:val="nil"/>
            </w:tcBorders>
            <w:shd w:val="clear" w:color="auto" w:fill="auto"/>
            <w:noWrap/>
            <w:vAlign w:val="center"/>
            <w:hideMark/>
          </w:tcPr>
          <w:p w14:paraId="5CF38E7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436" w:type="pct"/>
            <w:gridSpan w:val="2"/>
            <w:tcBorders>
              <w:top w:val="single" w:sz="4" w:space="0" w:color="auto"/>
              <w:left w:val="nil"/>
              <w:bottom w:val="single" w:sz="4" w:space="0" w:color="auto"/>
              <w:right w:val="nil"/>
            </w:tcBorders>
            <w:shd w:val="clear" w:color="auto" w:fill="auto"/>
            <w:noWrap/>
            <w:vAlign w:val="center"/>
            <w:hideMark/>
          </w:tcPr>
          <w:p w14:paraId="06AC9C7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SMS17-5-6</w:t>
            </w:r>
          </w:p>
        </w:tc>
        <w:tc>
          <w:tcPr>
            <w:tcW w:w="62" w:type="pct"/>
            <w:tcBorders>
              <w:top w:val="single" w:sz="4" w:space="0" w:color="auto"/>
              <w:left w:val="nil"/>
              <w:bottom w:val="nil"/>
              <w:right w:val="nil"/>
            </w:tcBorders>
            <w:shd w:val="clear" w:color="auto" w:fill="auto"/>
            <w:noWrap/>
            <w:vAlign w:val="center"/>
            <w:hideMark/>
          </w:tcPr>
          <w:p w14:paraId="26FBF83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436" w:type="pct"/>
            <w:gridSpan w:val="2"/>
            <w:tcBorders>
              <w:top w:val="single" w:sz="4" w:space="0" w:color="auto"/>
              <w:left w:val="nil"/>
              <w:bottom w:val="single" w:sz="4" w:space="0" w:color="auto"/>
              <w:right w:val="nil"/>
            </w:tcBorders>
            <w:shd w:val="clear" w:color="auto" w:fill="auto"/>
            <w:noWrap/>
            <w:vAlign w:val="center"/>
            <w:hideMark/>
          </w:tcPr>
          <w:p w14:paraId="2B6D640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SMS29-3-9</w:t>
            </w:r>
          </w:p>
        </w:tc>
        <w:tc>
          <w:tcPr>
            <w:tcW w:w="62" w:type="pct"/>
            <w:tcBorders>
              <w:top w:val="single" w:sz="4" w:space="0" w:color="auto"/>
              <w:left w:val="nil"/>
              <w:bottom w:val="nil"/>
              <w:right w:val="nil"/>
            </w:tcBorders>
            <w:shd w:val="clear" w:color="auto" w:fill="auto"/>
            <w:noWrap/>
            <w:vAlign w:val="center"/>
            <w:hideMark/>
          </w:tcPr>
          <w:p w14:paraId="1EA2BCB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436" w:type="pct"/>
            <w:gridSpan w:val="2"/>
            <w:tcBorders>
              <w:top w:val="single" w:sz="4" w:space="0" w:color="auto"/>
              <w:left w:val="nil"/>
              <w:bottom w:val="single" w:sz="4" w:space="0" w:color="auto"/>
              <w:right w:val="nil"/>
            </w:tcBorders>
            <w:shd w:val="clear" w:color="auto" w:fill="auto"/>
            <w:noWrap/>
            <w:vAlign w:val="center"/>
            <w:hideMark/>
          </w:tcPr>
          <w:p w14:paraId="642F0C2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ED23-3-6</w:t>
            </w:r>
          </w:p>
        </w:tc>
      </w:tr>
      <w:tr w:rsidR="006D6761" w:rsidRPr="006D6761" w14:paraId="02586A86" w14:textId="77777777" w:rsidTr="006D6761">
        <w:trPr>
          <w:trHeight w:val="240"/>
        </w:trPr>
        <w:tc>
          <w:tcPr>
            <w:tcW w:w="255" w:type="pct"/>
            <w:tcBorders>
              <w:top w:val="nil"/>
              <w:left w:val="nil"/>
              <w:bottom w:val="nil"/>
              <w:right w:val="nil"/>
            </w:tcBorders>
            <w:shd w:val="clear" w:color="auto" w:fill="auto"/>
            <w:noWrap/>
            <w:vAlign w:val="bottom"/>
            <w:hideMark/>
          </w:tcPr>
          <w:p w14:paraId="10D68B7A" w14:textId="77777777" w:rsidR="006D6761" w:rsidRPr="006D6761" w:rsidRDefault="006D6761" w:rsidP="006D6761">
            <w:pPr>
              <w:rPr>
                <w:rFonts w:eastAsia="Times New Roman"/>
                <w:sz w:val="18"/>
                <w:szCs w:val="18"/>
                <w:lang w:val="fr-FR" w:eastAsia="fr-FR"/>
              </w:rPr>
            </w:pPr>
          </w:p>
        </w:tc>
        <w:tc>
          <w:tcPr>
            <w:tcW w:w="444" w:type="pct"/>
            <w:gridSpan w:val="2"/>
            <w:tcBorders>
              <w:top w:val="single" w:sz="4" w:space="0" w:color="auto"/>
              <w:left w:val="nil"/>
              <w:bottom w:val="nil"/>
              <w:right w:val="nil"/>
            </w:tcBorders>
            <w:shd w:val="clear" w:color="auto" w:fill="auto"/>
            <w:noWrap/>
            <w:vAlign w:val="center"/>
            <w:hideMark/>
          </w:tcPr>
          <w:p w14:paraId="11B190F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Core</w:t>
            </w:r>
          </w:p>
        </w:tc>
        <w:tc>
          <w:tcPr>
            <w:tcW w:w="403" w:type="pct"/>
            <w:gridSpan w:val="2"/>
            <w:tcBorders>
              <w:top w:val="single" w:sz="4" w:space="0" w:color="auto"/>
              <w:left w:val="nil"/>
              <w:bottom w:val="nil"/>
              <w:right w:val="nil"/>
            </w:tcBorders>
            <w:shd w:val="clear" w:color="auto" w:fill="auto"/>
            <w:noWrap/>
            <w:vAlign w:val="center"/>
            <w:hideMark/>
          </w:tcPr>
          <w:p w14:paraId="64138F8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Secondary rim</w:t>
            </w:r>
          </w:p>
        </w:tc>
        <w:tc>
          <w:tcPr>
            <w:tcW w:w="62" w:type="pct"/>
            <w:tcBorders>
              <w:top w:val="nil"/>
              <w:left w:val="nil"/>
              <w:bottom w:val="nil"/>
              <w:right w:val="nil"/>
            </w:tcBorders>
            <w:shd w:val="clear" w:color="auto" w:fill="auto"/>
            <w:noWrap/>
            <w:vAlign w:val="center"/>
            <w:hideMark/>
          </w:tcPr>
          <w:p w14:paraId="5D7502AE" w14:textId="77777777" w:rsidR="006D6761" w:rsidRPr="006D6761" w:rsidRDefault="006D6761" w:rsidP="006D6761">
            <w:pPr>
              <w:jc w:val="center"/>
              <w:rPr>
                <w:rFonts w:eastAsia="Times New Roman"/>
                <w:sz w:val="18"/>
                <w:szCs w:val="18"/>
                <w:lang w:val="fr-FR" w:eastAsia="fr-FR"/>
              </w:rPr>
            </w:pPr>
          </w:p>
        </w:tc>
        <w:tc>
          <w:tcPr>
            <w:tcW w:w="480" w:type="pct"/>
            <w:gridSpan w:val="2"/>
            <w:tcBorders>
              <w:top w:val="single" w:sz="4" w:space="0" w:color="auto"/>
              <w:left w:val="nil"/>
              <w:bottom w:val="nil"/>
              <w:right w:val="nil"/>
            </w:tcBorders>
            <w:shd w:val="clear" w:color="auto" w:fill="auto"/>
            <w:noWrap/>
            <w:vAlign w:val="center"/>
            <w:hideMark/>
          </w:tcPr>
          <w:p w14:paraId="6CF4BD9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Core</w:t>
            </w:r>
          </w:p>
        </w:tc>
        <w:tc>
          <w:tcPr>
            <w:tcW w:w="426" w:type="pct"/>
            <w:gridSpan w:val="2"/>
            <w:tcBorders>
              <w:top w:val="single" w:sz="4" w:space="0" w:color="auto"/>
              <w:left w:val="nil"/>
              <w:bottom w:val="nil"/>
              <w:right w:val="nil"/>
            </w:tcBorders>
            <w:shd w:val="clear" w:color="auto" w:fill="auto"/>
            <w:noWrap/>
            <w:vAlign w:val="center"/>
            <w:hideMark/>
          </w:tcPr>
          <w:p w14:paraId="041AA87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Secondary rim</w:t>
            </w:r>
          </w:p>
        </w:tc>
        <w:tc>
          <w:tcPr>
            <w:tcW w:w="62" w:type="pct"/>
            <w:tcBorders>
              <w:top w:val="nil"/>
              <w:left w:val="nil"/>
              <w:bottom w:val="nil"/>
              <w:right w:val="nil"/>
            </w:tcBorders>
            <w:shd w:val="clear" w:color="auto" w:fill="auto"/>
            <w:noWrap/>
            <w:vAlign w:val="center"/>
            <w:hideMark/>
          </w:tcPr>
          <w:p w14:paraId="0DBDD040" w14:textId="77777777" w:rsidR="006D6761" w:rsidRPr="006D6761" w:rsidRDefault="006D6761" w:rsidP="006D6761">
            <w:pPr>
              <w:jc w:val="center"/>
              <w:rPr>
                <w:rFonts w:eastAsia="Times New Roman"/>
                <w:sz w:val="18"/>
                <w:szCs w:val="18"/>
                <w:lang w:val="fr-FR" w:eastAsia="fr-FR"/>
              </w:rPr>
            </w:pPr>
          </w:p>
        </w:tc>
        <w:tc>
          <w:tcPr>
            <w:tcW w:w="464" w:type="pct"/>
            <w:gridSpan w:val="2"/>
            <w:tcBorders>
              <w:top w:val="single" w:sz="4" w:space="0" w:color="auto"/>
              <w:left w:val="nil"/>
              <w:bottom w:val="nil"/>
              <w:right w:val="nil"/>
            </w:tcBorders>
            <w:shd w:val="clear" w:color="auto" w:fill="auto"/>
            <w:noWrap/>
            <w:vAlign w:val="center"/>
            <w:hideMark/>
          </w:tcPr>
          <w:p w14:paraId="45EAD3C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Core</w:t>
            </w:r>
          </w:p>
        </w:tc>
        <w:tc>
          <w:tcPr>
            <w:tcW w:w="409" w:type="pct"/>
            <w:gridSpan w:val="2"/>
            <w:tcBorders>
              <w:top w:val="single" w:sz="4" w:space="0" w:color="auto"/>
              <w:left w:val="nil"/>
              <w:bottom w:val="nil"/>
              <w:right w:val="nil"/>
            </w:tcBorders>
            <w:shd w:val="clear" w:color="auto" w:fill="auto"/>
            <w:noWrap/>
            <w:vAlign w:val="center"/>
            <w:hideMark/>
          </w:tcPr>
          <w:p w14:paraId="5CCA8F4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Secondary rim</w:t>
            </w:r>
          </w:p>
        </w:tc>
        <w:tc>
          <w:tcPr>
            <w:tcW w:w="62" w:type="pct"/>
            <w:tcBorders>
              <w:top w:val="nil"/>
              <w:left w:val="nil"/>
              <w:bottom w:val="nil"/>
              <w:right w:val="nil"/>
            </w:tcBorders>
            <w:shd w:val="clear" w:color="auto" w:fill="auto"/>
            <w:noWrap/>
            <w:vAlign w:val="center"/>
            <w:hideMark/>
          </w:tcPr>
          <w:p w14:paraId="61E72314" w14:textId="77777777" w:rsidR="006D6761" w:rsidRPr="006D6761" w:rsidRDefault="006D6761" w:rsidP="006D6761">
            <w:pPr>
              <w:jc w:val="center"/>
              <w:rPr>
                <w:rFonts w:eastAsia="Times New Roman"/>
                <w:sz w:val="18"/>
                <w:szCs w:val="18"/>
                <w:lang w:val="fr-FR" w:eastAsia="fr-FR"/>
              </w:rPr>
            </w:pPr>
          </w:p>
        </w:tc>
        <w:tc>
          <w:tcPr>
            <w:tcW w:w="436" w:type="pct"/>
            <w:gridSpan w:val="2"/>
            <w:tcBorders>
              <w:top w:val="single" w:sz="4" w:space="0" w:color="auto"/>
              <w:left w:val="nil"/>
              <w:bottom w:val="nil"/>
              <w:right w:val="nil"/>
            </w:tcBorders>
            <w:shd w:val="clear" w:color="auto" w:fill="auto"/>
            <w:noWrap/>
            <w:vAlign w:val="center"/>
            <w:hideMark/>
          </w:tcPr>
          <w:p w14:paraId="7B39AE5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6EE3793B" w14:textId="77777777" w:rsidR="006D6761" w:rsidRPr="006D6761" w:rsidRDefault="006D6761" w:rsidP="006D6761">
            <w:pPr>
              <w:jc w:val="center"/>
              <w:rPr>
                <w:rFonts w:eastAsia="Times New Roman"/>
                <w:sz w:val="18"/>
                <w:szCs w:val="18"/>
                <w:lang w:val="fr-FR" w:eastAsia="fr-FR"/>
              </w:rPr>
            </w:pPr>
          </w:p>
        </w:tc>
        <w:tc>
          <w:tcPr>
            <w:tcW w:w="436" w:type="pct"/>
            <w:gridSpan w:val="2"/>
            <w:tcBorders>
              <w:top w:val="single" w:sz="4" w:space="0" w:color="auto"/>
              <w:left w:val="nil"/>
              <w:bottom w:val="nil"/>
              <w:right w:val="nil"/>
            </w:tcBorders>
            <w:shd w:val="clear" w:color="auto" w:fill="auto"/>
            <w:noWrap/>
            <w:vAlign w:val="center"/>
            <w:hideMark/>
          </w:tcPr>
          <w:p w14:paraId="27AEBD0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759775DC" w14:textId="77777777" w:rsidR="006D6761" w:rsidRPr="006D6761" w:rsidRDefault="006D6761" w:rsidP="006D6761">
            <w:pPr>
              <w:jc w:val="center"/>
              <w:rPr>
                <w:rFonts w:eastAsia="Times New Roman"/>
                <w:sz w:val="18"/>
                <w:szCs w:val="18"/>
                <w:lang w:val="fr-FR" w:eastAsia="fr-FR"/>
              </w:rPr>
            </w:pPr>
          </w:p>
        </w:tc>
        <w:tc>
          <w:tcPr>
            <w:tcW w:w="436" w:type="pct"/>
            <w:gridSpan w:val="2"/>
            <w:tcBorders>
              <w:top w:val="single" w:sz="4" w:space="0" w:color="auto"/>
              <w:left w:val="nil"/>
              <w:bottom w:val="nil"/>
              <w:right w:val="nil"/>
            </w:tcBorders>
            <w:shd w:val="clear" w:color="auto" w:fill="auto"/>
            <w:noWrap/>
            <w:vAlign w:val="center"/>
            <w:hideMark/>
          </w:tcPr>
          <w:p w14:paraId="4E91667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Core</w:t>
            </w:r>
          </w:p>
        </w:tc>
        <w:tc>
          <w:tcPr>
            <w:tcW w:w="62" w:type="pct"/>
            <w:tcBorders>
              <w:top w:val="nil"/>
              <w:left w:val="nil"/>
              <w:bottom w:val="nil"/>
              <w:right w:val="nil"/>
            </w:tcBorders>
            <w:shd w:val="clear" w:color="auto" w:fill="auto"/>
            <w:noWrap/>
            <w:vAlign w:val="center"/>
            <w:hideMark/>
          </w:tcPr>
          <w:p w14:paraId="3B14D2A6" w14:textId="77777777" w:rsidR="006D6761" w:rsidRPr="006D6761" w:rsidRDefault="006D6761" w:rsidP="006D6761">
            <w:pPr>
              <w:jc w:val="center"/>
              <w:rPr>
                <w:rFonts w:eastAsia="Times New Roman"/>
                <w:sz w:val="18"/>
                <w:szCs w:val="18"/>
                <w:lang w:val="fr-FR" w:eastAsia="fr-FR"/>
              </w:rPr>
            </w:pPr>
          </w:p>
        </w:tc>
        <w:tc>
          <w:tcPr>
            <w:tcW w:w="436" w:type="pct"/>
            <w:gridSpan w:val="2"/>
            <w:tcBorders>
              <w:top w:val="single" w:sz="4" w:space="0" w:color="auto"/>
              <w:left w:val="nil"/>
              <w:bottom w:val="nil"/>
              <w:right w:val="nil"/>
            </w:tcBorders>
            <w:shd w:val="clear" w:color="auto" w:fill="auto"/>
            <w:noWrap/>
            <w:vAlign w:val="center"/>
            <w:hideMark/>
          </w:tcPr>
          <w:p w14:paraId="28E207F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Core</w:t>
            </w:r>
          </w:p>
        </w:tc>
      </w:tr>
      <w:tr w:rsidR="006D6761" w:rsidRPr="006D6761" w14:paraId="0751D6C3" w14:textId="77777777" w:rsidTr="006D6761">
        <w:trPr>
          <w:trHeight w:val="240"/>
        </w:trPr>
        <w:tc>
          <w:tcPr>
            <w:tcW w:w="255" w:type="pct"/>
            <w:tcBorders>
              <w:top w:val="nil"/>
              <w:left w:val="nil"/>
              <w:bottom w:val="nil"/>
              <w:right w:val="nil"/>
            </w:tcBorders>
            <w:shd w:val="clear" w:color="auto" w:fill="auto"/>
            <w:noWrap/>
            <w:vAlign w:val="bottom"/>
            <w:hideMark/>
          </w:tcPr>
          <w:p w14:paraId="14FB375A" w14:textId="77777777" w:rsidR="006D6761" w:rsidRPr="006D6761" w:rsidRDefault="006D6761" w:rsidP="006D6761">
            <w:pPr>
              <w:rPr>
                <w:rFonts w:eastAsia="Times New Roman"/>
                <w:sz w:val="18"/>
                <w:szCs w:val="18"/>
                <w:lang w:val="fr-FR" w:eastAsia="fr-FR"/>
              </w:rPr>
            </w:pPr>
          </w:p>
        </w:tc>
        <w:tc>
          <w:tcPr>
            <w:tcW w:w="299" w:type="pct"/>
            <w:tcBorders>
              <w:top w:val="nil"/>
              <w:left w:val="nil"/>
              <w:bottom w:val="nil"/>
              <w:right w:val="nil"/>
            </w:tcBorders>
            <w:shd w:val="clear" w:color="auto" w:fill="auto"/>
            <w:noWrap/>
            <w:vAlign w:val="center"/>
            <w:hideMark/>
          </w:tcPr>
          <w:p w14:paraId="048732A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(n=12)</w:t>
            </w:r>
          </w:p>
        </w:tc>
        <w:tc>
          <w:tcPr>
            <w:tcW w:w="145" w:type="pct"/>
            <w:tcBorders>
              <w:top w:val="nil"/>
              <w:left w:val="nil"/>
              <w:bottom w:val="nil"/>
              <w:right w:val="nil"/>
            </w:tcBorders>
            <w:shd w:val="clear" w:color="auto" w:fill="auto"/>
            <w:noWrap/>
            <w:vAlign w:val="center"/>
            <w:hideMark/>
          </w:tcPr>
          <w:p w14:paraId="51AF92B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255" w:type="pct"/>
            <w:tcBorders>
              <w:top w:val="nil"/>
              <w:left w:val="nil"/>
              <w:bottom w:val="nil"/>
              <w:right w:val="nil"/>
            </w:tcBorders>
            <w:shd w:val="clear" w:color="auto" w:fill="auto"/>
            <w:noWrap/>
            <w:vAlign w:val="center"/>
            <w:hideMark/>
          </w:tcPr>
          <w:p w14:paraId="579CC3C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(n=3)</w:t>
            </w:r>
          </w:p>
        </w:tc>
        <w:tc>
          <w:tcPr>
            <w:tcW w:w="149" w:type="pct"/>
            <w:tcBorders>
              <w:top w:val="nil"/>
              <w:left w:val="nil"/>
              <w:bottom w:val="nil"/>
              <w:right w:val="nil"/>
            </w:tcBorders>
            <w:shd w:val="clear" w:color="auto" w:fill="auto"/>
            <w:noWrap/>
            <w:vAlign w:val="center"/>
            <w:hideMark/>
          </w:tcPr>
          <w:p w14:paraId="340FC42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62" w:type="pct"/>
            <w:tcBorders>
              <w:top w:val="nil"/>
              <w:left w:val="nil"/>
              <w:bottom w:val="nil"/>
              <w:right w:val="nil"/>
            </w:tcBorders>
            <w:shd w:val="clear" w:color="auto" w:fill="auto"/>
            <w:noWrap/>
            <w:vAlign w:val="center"/>
            <w:hideMark/>
          </w:tcPr>
          <w:p w14:paraId="5BE590C4"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10EFA5A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(n=11)</w:t>
            </w:r>
          </w:p>
        </w:tc>
        <w:tc>
          <w:tcPr>
            <w:tcW w:w="157" w:type="pct"/>
            <w:tcBorders>
              <w:top w:val="nil"/>
              <w:left w:val="nil"/>
              <w:bottom w:val="nil"/>
              <w:right w:val="nil"/>
            </w:tcBorders>
            <w:shd w:val="clear" w:color="auto" w:fill="auto"/>
            <w:noWrap/>
            <w:vAlign w:val="center"/>
            <w:hideMark/>
          </w:tcPr>
          <w:p w14:paraId="54B34B4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269" w:type="pct"/>
            <w:tcBorders>
              <w:top w:val="nil"/>
              <w:left w:val="nil"/>
              <w:bottom w:val="nil"/>
              <w:right w:val="nil"/>
            </w:tcBorders>
            <w:shd w:val="clear" w:color="auto" w:fill="auto"/>
            <w:noWrap/>
            <w:vAlign w:val="center"/>
            <w:hideMark/>
          </w:tcPr>
          <w:p w14:paraId="7D5B47B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(n=4)</w:t>
            </w:r>
          </w:p>
        </w:tc>
        <w:tc>
          <w:tcPr>
            <w:tcW w:w="157" w:type="pct"/>
            <w:tcBorders>
              <w:top w:val="nil"/>
              <w:left w:val="nil"/>
              <w:bottom w:val="nil"/>
              <w:right w:val="nil"/>
            </w:tcBorders>
            <w:shd w:val="clear" w:color="auto" w:fill="auto"/>
            <w:noWrap/>
            <w:vAlign w:val="center"/>
            <w:hideMark/>
          </w:tcPr>
          <w:p w14:paraId="31DC2E4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62" w:type="pct"/>
            <w:tcBorders>
              <w:top w:val="nil"/>
              <w:left w:val="nil"/>
              <w:bottom w:val="nil"/>
              <w:right w:val="nil"/>
            </w:tcBorders>
            <w:shd w:val="clear" w:color="auto" w:fill="auto"/>
            <w:noWrap/>
            <w:vAlign w:val="center"/>
            <w:hideMark/>
          </w:tcPr>
          <w:p w14:paraId="66E7FCC8"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6CD97E3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(n=48)</w:t>
            </w:r>
          </w:p>
        </w:tc>
        <w:tc>
          <w:tcPr>
            <w:tcW w:w="152" w:type="pct"/>
            <w:tcBorders>
              <w:top w:val="nil"/>
              <w:left w:val="nil"/>
              <w:bottom w:val="nil"/>
              <w:right w:val="nil"/>
            </w:tcBorders>
            <w:shd w:val="clear" w:color="auto" w:fill="auto"/>
            <w:noWrap/>
            <w:vAlign w:val="center"/>
            <w:hideMark/>
          </w:tcPr>
          <w:p w14:paraId="6ECAE91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258" w:type="pct"/>
            <w:tcBorders>
              <w:top w:val="nil"/>
              <w:left w:val="nil"/>
              <w:bottom w:val="nil"/>
              <w:right w:val="nil"/>
            </w:tcBorders>
            <w:shd w:val="clear" w:color="auto" w:fill="auto"/>
            <w:noWrap/>
            <w:vAlign w:val="center"/>
            <w:hideMark/>
          </w:tcPr>
          <w:p w14:paraId="795D796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(n=4)</w:t>
            </w:r>
          </w:p>
        </w:tc>
        <w:tc>
          <w:tcPr>
            <w:tcW w:w="152" w:type="pct"/>
            <w:tcBorders>
              <w:top w:val="nil"/>
              <w:left w:val="nil"/>
              <w:bottom w:val="nil"/>
              <w:right w:val="nil"/>
            </w:tcBorders>
            <w:shd w:val="clear" w:color="auto" w:fill="auto"/>
            <w:noWrap/>
            <w:vAlign w:val="center"/>
            <w:hideMark/>
          </w:tcPr>
          <w:p w14:paraId="1207B1C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62" w:type="pct"/>
            <w:tcBorders>
              <w:top w:val="nil"/>
              <w:left w:val="nil"/>
              <w:bottom w:val="nil"/>
              <w:right w:val="nil"/>
            </w:tcBorders>
            <w:shd w:val="clear" w:color="auto" w:fill="auto"/>
            <w:noWrap/>
            <w:vAlign w:val="center"/>
            <w:hideMark/>
          </w:tcPr>
          <w:p w14:paraId="4C3CB44D"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4FDDDBF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(n=13)</w:t>
            </w:r>
          </w:p>
        </w:tc>
        <w:tc>
          <w:tcPr>
            <w:tcW w:w="143" w:type="pct"/>
            <w:tcBorders>
              <w:top w:val="nil"/>
              <w:left w:val="nil"/>
              <w:bottom w:val="nil"/>
              <w:right w:val="nil"/>
            </w:tcBorders>
            <w:shd w:val="clear" w:color="auto" w:fill="auto"/>
            <w:noWrap/>
            <w:vAlign w:val="center"/>
            <w:hideMark/>
          </w:tcPr>
          <w:p w14:paraId="0D4C857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62" w:type="pct"/>
            <w:tcBorders>
              <w:top w:val="nil"/>
              <w:left w:val="nil"/>
              <w:bottom w:val="nil"/>
              <w:right w:val="nil"/>
            </w:tcBorders>
            <w:shd w:val="clear" w:color="auto" w:fill="auto"/>
            <w:noWrap/>
            <w:vAlign w:val="center"/>
            <w:hideMark/>
          </w:tcPr>
          <w:p w14:paraId="4BA843C6"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113CE93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(n=14)</w:t>
            </w:r>
          </w:p>
        </w:tc>
        <w:tc>
          <w:tcPr>
            <w:tcW w:w="143" w:type="pct"/>
            <w:tcBorders>
              <w:top w:val="nil"/>
              <w:left w:val="nil"/>
              <w:bottom w:val="nil"/>
              <w:right w:val="nil"/>
            </w:tcBorders>
            <w:shd w:val="clear" w:color="auto" w:fill="auto"/>
            <w:noWrap/>
            <w:vAlign w:val="center"/>
            <w:hideMark/>
          </w:tcPr>
          <w:p w14:paraId="68CB6DC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62" w:type="pct"/>
            <w:tcBorders>
              <w:top w:val="nil"/>
              <w:left w:val="nil"/>
              <w:bottom w:val="nil"/>
              <w:right w:val="nil"/>
            </w:tcBorders>
            <w:shd w:val="clear" w:color="auto" w:fill="auto"/>
            <w:noWrap/>
            <w:vAlign w:val="center"/>
            <w:hideMark/>
          </w:tcPr>
          <w:p w14:paraId="5F3EFE66"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0EB2751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(n=1)</w:t>
            </w:r>
          </w:p>
        </w:tc>
        <w:tc>
          <w:tcPr>
            <w:tcW w:w="161" w:type="pct"/>
            <w:tcBorders>
              <w:top w:val="nil"/>
              <w:left w:val="nil"/>
              <w:bottom w:val="nil"/>
              <w:right w:val="nil"/>
            </w:tcBorders>
            <w:shd w:val="clear" w:color="auto" w:fill="auto"/>
            <w:noWrap/>
            <w:vAlign w:val="center"/>
            <w:hideMark/>
          </w:tcPr>
          <w:p w14:paraId="6F4375C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c>
          <w:tcPr>
            <w:tcW w:w="62" w:type="pct"/>
            <w:tcBorders>
              <w:top w:val="nil"/>
              <w:left w:val="nil"/>
              <w:bottom w:val="nil"/>
              <w:right w:val="nil"/>
            </w:tcBorders>
            <w:shd w:val="clear" w:color="auto" w:fill="auto"/>
            <w:noWrap/>
            <w:vAlign w:val="center"/>
            <w:hideMark/>
          </w:tcPr>
          <w:p w14:paraId="0A0A65DB"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4BF2412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(n=8)</w:t>
            </w:r>
          </w:p>
        </w:tc>
        <w:tc>
          <w:tcPr>
            <w:tcW w:w="161" w:type="pct"/>
            <w:tcBorders>
              <w:top w:val="nil"/>
              <w:left w:val="nil"/>
              <w:bottom w:val="nil"/>
              <w:right w:val="nil"/>
            </w:tcBorders>
            <w:shd w:val="clear" w:color="auto" w:fill="auto"/>
            <w:noWrap/>
            <w:vAlign w:val="center"/>
            <w:hideMark/>
          </w:tcPr>
          <w:p w14:paraId="27B935C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w:t>
            </w:r>
          </w:p>
        </w:tc>
      </w:tr>
      <w:tr w:rsidR="006D6761" w:rsidRPr="006D6761" w14:paraId="27D6F5CE" w14:textId="77777777" w:rsidTr="006D6761">
        <w:trPr>
          <w:trHeight w:val="240"/>
        </w:trPr>
        <w:tc>
          <w:tcPr>
            <w:tcW w:w="255" w:type="pct"/>
            <w:tcBorders>
              <w:top w:val="single" w:sz="4" w:space="0" w:color="auto"/>
              <w:left w:val="nil"/>
              <w:bottom w:val="nil"/>
              <w:right w:val="nil"/>
            </w:tcBorders>
            <w:shd w:val="clear" w:color="auto" w:fill="auto"/>
            <w:noWrap/>
            <w:vAlign w:val="center"/>
            <w:hideMark/>
          </w:tcPr>
          <w:p w14:paraId="69A8AFC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SiO</w:t>
            </w:r>
            <w:r w:rsidRPr="006D6761">
              <w:rPr>
                <w:rFonts w:eastAsia="Times New Roman"/>
                <w:sz w:val="18"/>
                <w:szCs w:val="18"/>
                <w:vertAlign w:val="subscript"/>
                <w:lang w:val="fr-FR" w:eastAsia="fr-FR"/>
              </w:rPr>
              <w:t>2</w:t>
            </w:r>
          </w:p>
        </w:tc>
        <w:tc>
          <w:tcPr>
            <w:tcW w:w="299" w:type="pct"/>
            <w:tcBorders>
              <w:top w:val="single" w:sz="4" w:space="0" w:color="auto"/>
              <w:left w:val="nil"/>
              <w:bottom w:val="nil"/>
              <w:right w:val="nil"/>
            </w:tcBorders>
            <w:shd w:val="clear" w:color="auto" w:fill="auto"/>
            <w:noWrap/>
            <w:vAlign w:val="center"/>
            <w:hideMark/>
          </w:tcPr>
          <w:p w14:paraId="076C8DA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55.8</w:t>
            </w:r>
          </w:p>
        </w:tc>
        <w:tc>
          <w:tcPr>
            <w:tcW w:w="145" w:type="pct"/>
            <w:tcBorders>
              <w:top w:val="single" w:sz="4" w:space="0" w:color="auto"/>
              <w:left w:val="nil"/>
              <w:bottom w:val="nil"/>
              <w:right w:val="nil"/>
            </w:tcBorders>
            <w:shd w:val="clear" w:color="auto" w:fill="auto"/>
            <w:noWrap/>
            <w:vAlign w:val="center"/>
            <w:hideMark/>
          </w:tcPr>
          <w:p w14:paraId="6A83457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0.9</w:t>
            </w:r>
          </w:p>
        </w:tc>
        <w:tc>
          <w:tcPr>
            <w:tcW w:w="255" w:type="pct"/>
            <w:tcBorders>
              <w:top w:val="single" w:sz="4" w:space="0" w:color="auto"/>
              <w:left w:val="nil"/>
              <w:bottom w:val="nil"/>
              <w:right w:val="nil"/>
            </w:tcBorders>
            <w:shd w:val="clear" w:color="auto" w:fill="auto"/>
            <w:noWrap/>
            <w:vAlign w:val="center"/>
            <w:hideMark/>
          </w:tcPr>
          <w:p w14:paraId="490DB5F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57.3</w:t>
            </w:r>
          </w:p>
        </w:tc>
        <w:tc>
          <w:tcPr>
            <w:tcW w:w="149" w:type="pct"/>
            <w:tcBorders>
              <w:top w:val="single" w:sz="4" w:space="0" w:color="auto"/>
              <w:left w:val="nil"/>
              <w:bottom w:val="nil"/>
              <w:right w:val="nil"/>
            </w:tcBorders>
            <w:shd w:val="clear" w:color="auto" w:fill="auto"/>
            <w:noWrap/>
            <w:vAlign w:val="center"/>
            <w:hideMark/>
          </w:tcPr>
          <w:p w14:paraId="2E0B5BC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single" w:sz="4" w:space="0" w:color="auto"/>
              <w:left w:val="nil"/>
              <w:bottom w:val="nil"/>
              <w:right w:val="nil"/>
            </w:tcBorders>
            <w:shd w:val="clear" w:color="auto" w:fill="auto"/>
            <w:noWrap/>
            <w:vAlign w:val="center"/>
            <w:hideMark/>
          </w:tcPr>
          <w:p w14:paraId="04CC322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323" w:type="pct"/>
            <w:tcBorders>
              <w:top w:val="single" w:sz="4" w:space="0" w:color="auto"/>
              <w:left w:val="nil"/>
              <w:bottom w:val="nil"/>
              <w:right w:val="nil"/>
            </w:tcBorders>
            <w:shd w:val="clear" w:color="auto" w:fill="auto"/>
            <w:noWrap/>
            <w:vAlign w:val="center"/>
            <w:hideMark/>
          </w:tcPr>
          <w:p w14:paraId="28AD456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55.2</w:t>
            </w:r>
          </w:p>
        </w:tc>
        <w:tc>
          <w:tcPr>
            <w:tcW w:w="157" w:type="pct"/>
            <w:tcBorders>
              <w:top w:val="single" w:sz="4" w:space="0" w:color="auto"/>
              <w:left w:val="nil"/>
              <w:bottom w:val="nil"/>
              <w:right w:val="nil"/>
            </w:tcBorders>
            <w:shd w:val="clear" w:color="auto" w:fill="auto"/>
            <w:noWrap/>
            <w:vAlign w:val="center"/>
            <w:hideMark/>
          </w:tcPr>
          <w:p w14:paraId="1A4D747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w:t>
            </w:r>
          </w:p>
        </w:tc>
        <w:tc>
          <w:tcPr>
            <w:tcW w:w="269" w:type="pct"/>
            <w:tcBorders>
              <w:top w:val="single" w:sz="4" w:space="0" w:color="auto"/>
              <w:left w:val="nil"/>
              <w:bottom w:val="nil"/>
              <w:right w:val="nil"/>
            </w:tcBorders>
            <w:shd w:val="clear" w:color="auto" w:fill="auto"/>
            <w:noWrap/>
            <w:vAlign w:val="center"/>
            <w:hideMark/>
          </w:tcPr>
          <w:p w14:paraId="2878C09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57.9</w:t>
            </w:r>
          </w:p>
        </w:tc>
        <w:tc>
          <w:tcPr>
            <w:tcW w:w="157" w:type="pct"/>
            <w:tcBorders>
              <w:top w:val="single" w:sz="4" w:space="0" w:color="auto"/>
              <w:left w:val="nil"/>
              <w:bottom w:val="nil"/>
              <w:right w:val="nil"/>
            </w:tcBorders>
            <w:shd w:val="clear" w:color="auto" w:fill="auto"/>
            <w:noWrap/>
            <w:vAlign w:val="center"/>
            <w:hideMark/>
          </w:tcPr>
          <w:p w14:paraId="3B81E4E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62" w:type="pct"/>
            <w:tcBorders>
              <w:top w:val="single" w:sz="4" w:space="0" w:color="auto"/>
              <w:left w:val="nil"/>
              <w:bottom w:val="nil"/>
              <w:right w:val="nil"/>
            </w:tcBorders>
            <w:shd w:val="clear" w:color="auto" w:fill="auto"/>
            <w:noWrap/>
            <w:vAlign w:val="center"/>
            <w:hideMark/>
          </w:tcPr>
          <w:p w14:paraId="01386A8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312" w:type="pct"/>
            <w:tcBorders>
              <w:top w:val="single" w:sz="4" w:space="0" w:color="auto"/>
              <w:left w:val="nil"/>
              <w:bottom w:val="nil"/>
              <w:right w:val="nil"/>
            </w:tcBorders>
            <w:shd w:val="clear" w:color="auto" w:fill="auto"/>
            <w:noWrap/>
            <w:vAlign w:val="center"/>
            <w:hideMark/>
          </w:tcPr>
          <w:p w14:paraId="6C5AD43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55.1</w:t>
            </w:r>
          </w:p>
        </w:tc>
        <w:tc>
          <w:tcPr>
            <w:tcW w:w="152" w:type="pct"/>
            <w:tcBorders>
              <w:top w:val="single" w:sz="4" w:space="0" w:color="auto"/>
              <w:left w:val="nil"/>
              <w:bottom w:val="nil"/>
              <w:right w:val="nil"/>
            </w:tcBorders>
            <w:shd w:val="clear" w:color="auto" w:fill="auto"/>
            <w:noWrap/>
            <w:vAlign w:val="center"/>
            <w:hideMark/>
          </w:tcPr>
          <w:p w14:paraId="738C3DC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w:t>
            </w:r>
          </w:p>
        </w:tc>
        <w:tc>
          <w:tcPr>
            <w:tcW w:w="258" w:type="pct"/>
            <w:tcBorders>
              <w:top w:val="single" w:sz="4" w:space="0" w:color="auto"/>
              <w:left w:val="nil"/>
              <w:bottom w:val="nil"/>
              <w:right w:val="nil"/>
            </w:tcBorders>
            <w:shd w:val="clear" w:color="auto" w:fill="auto"/>
            <w:noWrap/>
            <w:vAlign w:val="center"/>
            <w:hideMark/>
          </w:tcPr>
          <w:p w14:paraId="662A49E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53.9</w:t>
            </w:r>
          </w:p>
        </w:tc>
        <w:tc>
          <w:tcPr>
            <w:tcW w:w="152" w:type="pct"/>
            <w:tcBorders>
              <w:top w:val="single" w:sz="4" w:space="0" w:color="auto"/>
              <w:left w:val="nil"/>
              <w:bottom w:val="nil"/>
              <w:right w:val="nil"/>
            </w:tcBorders>
            <w:shd w:val="clear" w:color="auto" w:fill="auto"/>
            <w:noWrap/>
            <w:vAlign w:val="center"/>
            <w:hideMark/>
          </w:tcPr>
          <w:p w14:paraId="7F627B6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single" w:sz="4" w:space="0" w:color="auto"/>
              <w:left w:val="nil"/>
              <w:bottom w:val="nil"/>
              <w:right w:val="nil"/>
            </w:tcBorders>
            <w:shd w:val="clear" w:color="auto" w:fill="auto"/>
            <w:noWrap/>
            <w:vAlign w:val="center"/>
            <w:hideMark/>
          </w:tcPr>
          <w:p w14:paraId="0024559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94" w:type="pct"/>
            <w:tcBorders>
              <w:top w:val="single" w:sz="4" w:space="0" w:color="auto"/>
              <w:left w:val="nil"/>
              <w:bottom w:val="nil"/>
              <w:right w:val="nil"/>
            </w:tcBorders>
            <w:shd w:val="clear" w:color="auto" w:fill="auto"/>
            <w:noWrap/>
            <w:vAlign w:val="center"/>
            <w:hideMark/>
          </w:tcPr>
          <w:p w14:paraId="0CF4466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55.3</w:t>
            </w:r>
          </w:p>
        </w:tc>
        <w:tc>
          <w:tcPr>
            <w:tcW w:w="143" w:type="pct"/>
            <w:tcBorders>
              <w:top w:val="single" w:sz="4" w:space="0" w:color="auto"/>
              <w:left w:val="nil"/>
              <w:bottom w:val="nil"/>
              <w:right w:val="nil"/>
            </w:tcBorders>
            <w:shd w:val="clear" w:color="auto" w:fill="auto"/>
            <w:noWrap/>
            <w:vAlign w:val="center"/>
            <w:hideMark/>
          </w:tcPr>
          <w:p w14:paraId="123E321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62" w:type="pct"/>
            <w:tcBorders>
              <w:top w:val="single" w:sz="4" w:space="0" w:color="auto"/>
              <w:left w:val="nil"/>
              <w:bottom w:val="nil"/>
              <w:right w:val="nil"/>
            </w:tcBorders>
            <w:shd w:val="clear" w:color="auto" w:fill="auto"/>
            <w:noWrap/>
            <w:vAlign w:val="center"/>
            <w:hideMark/>
          </w:tcPr>
          <w:p w14:paraId="77138B0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94" w:type="pct"/>
            <w:tcBorders>
              <w:top w:val="single" w:sz="4" w:space="0" w:color="auto"/>
              <w:left w:val="nil"/>
              <w:bottom w:val="nil"/>
              <w:right w:val="nil"/>
            </w:tcBorders>
            <w:shd w:val="clear" w:color="auto" w:fill="auto"/>
            <w:noWrap/>
            <w:vAlign w:val="center"/>
            <w:hideMark/>
          </w:tcPr>
          <w:p w14:paraId="43CAA7B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54.6</w:t>
            </w:r>
          </w:p>
        </w:tc>
        <w:tc>
          <w:tcPr>
            <w:tcW w:w="143" w:type="pct"/>
            <w:tcBorders>
              <w:top w:val="single" w:sz="4" w:space="0" w:color="auto"/>
              <w:left w:val="nil"/>
              <w:bottom w:val="nil"/>
              <w:right w:val="nil"/>
            </w:tcBorders>
            <w:shd w:val="clear" w:color="auto" w:fill="auto"/>
            <w:noWrap/>
            <w:vAlign w:val="center"/>
            <w:hideMark/>
          </w:tcPr>
          <w:p w14:paraId="508FD61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0.9</w:t>
            </w:r>
          </w:p>
        </w:tc>
        <w:tc>
          <w:tcPr>
            <w:tcW w:w="62" w:type="pct"/>
            <w:tcBorders>
              <w:top w:val="single" w:sz="4" w:space="0" w:color="auto"/>
              <w:left w:val="nil"/>
              <w:bottom w:val="nil"/>
              <w:right w:val="nil"/>
            </w:tcBorders>
            <w:shd w:val="clear" w:color="auto" w:fill="auto"/>
            <w:noWrap/>
            <w:vAlign w:val="center"/>
            <w:hideMark/>
          </w:tcPr>
          <w:p w14:paraId="3915115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76" w:type="pct"/>
            <w:tcBorders>
              <w:top w:val="single" w:sz="4" w:space="0" w:color="auto"/>
              <w:left w:val="nil"/>
              <w:bottom w:val="nil"/>
              <w:right w:val="nil"/>
            </w:tcBorders>
            <w:shd w:val="clear" w:color="auto" w:fill="auto"/>
            <w:noWrap/>
            <w:vAlign w:val="center"/>
            <w:hideMark/>
          </w:tcPr>
          <w:p w14:paraId="7846058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53.0</w:t>
            </w:r>
          </w:p>
        </w:tc>
        <w:tc>
          <w:tcPr>
            <w:tcW w:w="161" w:type="pct"/>
            <w:tcBorders>
              <w:top w:val="single" w:sz="4" w:space="0" w:color="auto"/>
              <w:left w:val="nil"/>
              <w:bottom w:val="nil"/>
              <w:right w:val="nil"/>
            </w:tcBorders>
            <w:shd w:val="clear" w:color="auto" w:fill="auto"/>
            <w:noWrap/>
            <w:vAlign w:val="center"/>
            <w:hideMark/>
          </w:tcPr>
          <w:p w14:paraId="314FC3B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62" w:type="pct"/>
            <w:tcBorders>
              <w:top w:val="single" w:sz="4" w:space="0" w:color="auto"/>
              <w:left w:val="nil"/>
              <w:bottom w:val="nil"/>
              <w:right w:val="nil"/>
            </w:tcBorders>
            <w:shd w:val="clear" w:color="auto" w:fill="auto"/>
            <w:noWrap/>
            <w:vAlign w:val="center"/>
            <w:hideMark/>
          </w:tcPr>
          <w:p w14:paraId="5C1541D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76" w:type="pct"/>
            <w:tcBorders>
              <w:top w:val="single" w:sz="4" w:space="0" w:color="auto"/>
              <w:left w:val="nil"/>
              <w:bottom w:val="nil"/>
              <w:right w:val="nil"/>
            </w:tcBorders>
            <w:shd w:val="clear" w:color="auto" w:fill="auto"/>
            <w:noWrap/>
            <w:vAlign w:val="center"/>
            <w:hideMark/>
          </w:tcPr>
          <w:p w14:paraId="368BAB9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55.6</w:t>
            </w:r>
          </w:p>
        </w:tc>
        <w:tc>
          <w:tcPr>
            <w:tcW w:w="161" w:type="pct"/>
            <w:tcBorders>
              <w:top w:val="single" w:sz="4" w:space="0" w:color="auto"/>
              <w:left w:val="nil"/>
              <w:bottom w:val="nil"/>
              <w:right w:val="nil"/>
            </w:tcBorders>
            <w:shd w:val="clear" w:color="auto" w:fill="auto"/>
            <w:noWrap/>
            <w:vAlign w:val="center"/>
            <w:hideMark/>
          </w:tcPr>
          <w:p w14:paraId="2741F16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r>
      <w:tr w:rsidR="006D6761" w:rsidRPr="006D6761" w14:paraId="2EB4297C" w14:textId="77777777" w:rsidTr="006D6761">
        <w:trPr>
          <w:trHeight w:val="240"/>
        </w:trPr>
        <w:tc>
          <w:tcPr>
            <w:tcW w:w="255" w:type="pct"/>
            <w:tcBorders>
              <w:top w:val="nil"/>
              <w:left w:val="nil"/>
              <w:bottom w:val="nil"/>
              <w:right w:val="nil"/>
            </w:tcBorders>
            <w:shd w:val="clear" w:color="auto" w:fill="auto"/>
            <w:noWrap/>
            <w:vAlign w:val="center"/>
            <w:hideMark/>
          </w:tcPr>
          <w:p w14:paraId="7CA09D3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TiO</w:t>
            </w:r>
            <w:r w:rsidRPr="006D6761">
              <w:rPr>
                <w:rFonts w:eastAsia="Times New Roman"/>
                <w:sz w:val="18"/>
                <w:szCs w:val="18"/>
                <w:vertAlign w:val="subscript"/>
                <w:lang w:val="fr-FR" w:eastAsia="fr-FR"/>
              </w:rPr>
              <w:t>2</w:t>
            </w:r>
          </w:p>
        </w:tc>
        <w:tc>
          <w:tcPr>
            <w:tcW w:w="299" w:type="pct"/>
            <w:tcBorders>
              <w:top w:val="nil"/>
              <w:left w:val="nil"/>
              <w:bottom w:val="nil"/>
              <w:right w:val="nil"/>
            </w:tcBorders>
            <w:shd w:val="clear" w:color="auto" w:fill="auto"/>
            <w:noWrap/>
            <w:vAlign w:val="center"/>
            <w:hideMark/>
          </w:tcPr>
          <w:p w14:paraId="38BBA4A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5" w:type="pct"/>
            <w:tcBorders>
              <w:top w:val="nil"/>
              <w:left w:val="nil"/>
              <w:bottom w:val="nil"/>
              <w:right w:val="nil"/>
            </w:tcBorders>
            <w:shd w:val="clear" w:color="auto" w:fill="auto"/>
            <w:noWrap/>
            <w:vAlign w:val="center"/>
            <w:hideMark/>
          </w:tcPr>
          <w:p w14:paraId="11A8E06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255" w:type="pct"/>
            <w:tcBorders>
              <w:top w:val="nil"/>
              <w:left w:val="nil"/>
              <w:bottom w:val="nil"/>
              <w:right w:val="nil"/>
            </w:tcBorders>
            <w:shd w:val="clear" w:color="auto" w:fill="auto"/>
            <w:noWrap/>
            <w:vAlign w:val="center"/>
            <w:hideMark/>
          </w:tcPr>
          <w:p w14:paraId="16B5B6A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9" w:type="pct"/>
            <w:tcBorders>
              <w:top w:val="nil"/>
              <w:left w:val="nil"/>
              <w:bottom w:val="nil"/>
              <w:right w:val="nil"/>
            </w:tcBorders>
            <w:shd w:val="clear" w:color="auto" w:fill="auto"/>
            <w:noWrap/>
            <w:vAlign w:val="center"/>
            <w:hideMark/>
          </w:tcPr>
          <w:p w14:paraId="542DA38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5E6361F"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1BB72E3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57" w:type="pct"/>
            <w:tcBorders>
              <w:top w:val="nil"/>
              <w:left w:val="nil"/>
              <w:bottom w:val="nil"/>
              <w:right w:val="nil"/>
            </w:tcBorders>
            <w:shd w:val="clear" w:color="auto" w:fill="auto"/>
            <w:noWrap/>
            <w:vAlign w:val="center"/>
            <w:hideMark/>
          </w:tcPr>
          <w:p w14:paraId="5D73A2B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3835C73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0228F53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854A741"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62A16C1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52" w:type="pct"/>
            <w:tcBorders>
              <w:top w:val="nil"/>
              <w:left w:val="nil"/>
              <w:bottom w:val="nil"/>
              <w:right w:val="nil"/>
            </w:tcBorders>
            <w:shd w:val="clear" w:color="auto" w:fill="auto"/>
            <w:noWrap/>
            <w:vAlign w:val="center"/>
            <w:hideMark/>
          </w:tcPr>
          <w:p w14:paraId="65BD7CE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8" w:type="pct"/>
            <w:tcBorders>
              <w:top w:val="nil"/>
              <w:left w:val="nil"/>
              <w:bottom w:val="nil"/>
              <w:right w:val="nil"/>
            </w:tcBorders>
            <w:shd w:val="clear" w:color="auto" w:fill="auto"/>
            <w:noWrap/>
            <w:vAlign w:val="center"/>
            <w:hideMark/>
          </w:tcPr>
          <w:p w14:paraId="316DD17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2" w:type="pct"/>
            <w:tcBorders>
              <w:top w:val="nil"/>
              <w:left w:val="nil"/>
              <w:bottom w:val="nil"/>
              <w:right w:val="nil"/>
            </w:tcBorders>
            <w:shd w:val="clear" w:color="auto" w:fill="auto"/>
            <w:noWrap/>
            <w:vAlign w:val="center"/>
            <w:hideMark/>
          </w:tcPr>
          <w:p w14:paraId="5D09550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4A102AD0"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694740A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3" w:type="pct"/>
            <w:tcBorders>
              <w:top w:val="nil"/>
              <w:left w:val="nil"/>
              <w:bottom w:val="nil"/>
              <w:right w:val="nil"/>
            </w:tcBorders>
            <w:shd w:val="clear" w:color="auto" w:fill="auto"/>
            <w:noWrap/>
            <w:vAlign w:val="center"/>
            <w:hideMark/>
          </w:tcPr>
          <w:p w14:paraId="6D8857B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229A6D96"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196AE67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3" w:type="pct"/>
            <w:tcBorders>
              <w:top w:val="nil"/>
              <w:left w:val="nil"/>
              <w:bottom w:val="nil"/>
              <w:right w:val="nil"/>
            </w:tcBorders>
            <w:shd w:val="clear" w:color="auto" w:fill="auto"/>
            <w:noWrap/>
            <w:vAlign w:val="center"/>
            <w:hideMark/>
          </w:tcPr>
          <w:p w14:paraId="3517337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61D97AC"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4850739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61" w:type="pct"/>
            <w:tcBorders>
              <w:top w:val="nil"/>
              <w:left w:val="nil"/>
              <w:bottom w:val="nil"/>
              <w:right w:val="nil"/>
            </w:tcBorders>
            <w:shd w:val="clear" w:color="auto" w:fill="auto"/>
            <w:noWrap/>
            <w:vAlign w:val="center"/>
            <w:hideMark/>
          </w:tcPr>
          <w:p w14:paraId="516FDE2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BAA0D4E"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5CD375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61" w:type="pct"/>
            <w:tcBorders>
              <w:top w:val="nil"/>
              <w:left w:val="nil"/>
              <w:bottom w:val="nil"/>
              <w:right w:val="nil"/>
            </w:tcBorders>
            <w:shd w:val="clear" w:color="auto" w:fill="auto"/>
            <w:noWrap/>
            <w:vAlign w:val="center"/>
            <w:hideMark/>
          </w:tcPr>
          <w:p w14:paraId="3CD0BB7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1C26850C" w14:textId="77777777" w:rsidTr="006D6761">
        <w:trPr>
          <w:trHeight w:val="240"/>
        </w:trPr>
        <w:tc>
          <w:tcPr>
            <w:tcW w:w="255" w:type="pct"/>
            <w:tcBorders>
              <w:top w:val="nil"/>
              <w:left w:val="nil"/>
              <w:bottom w:val="nil"/>
              <w:right w:val="nil"/>
            </w:tcBorders>
            <w:shd w:val="clear" w:color="auto" w:fill="auto"/>
            <w:noWrap/>
            <w:vAlign w:val="center"/>
            <w:hideMark/>
          </w:tcPr>
          <w:p w14:paraId="50A8337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Al</w:t>
            </w:r>
            <w:r w:rsidRPr="006D6761">
              <w:rPr>
                <w:rFonts w:eastAsia="Times New Roman"/>
                <w:sz w:val="18"/>
                <w:szCs w:val="18"/>
                <w:vertAlign w:val="subscript"/>
                <w:lang w:val="fr-FR" w:eastAsia="fr-FR"/>
              </w:rPr>
              <w:t>2</w:t>
            </w:r>
            <w:r w:rsidRPr="006D6761">
              <w:rPr>
                <w:rFonts w:eastAsia="Times New Roman"/>
                <w:sz w:val="18"/>
                <w:szCs w:val="18"/>
                <w:lang w:val="fr-FR" w:eastAsia="fr-FR"/>
              </w:rPr>
              <w:t>O</w:t>
            </w:r>
            <w:r w:rsidRPr="006D6761">
              <w:rPr>
                <w:rFonts w:eastAsia="Times New Roman"/>
                <w:sz w:val="18"/>
                <w:szCs w:val="18"/>
                <w:vertAlign w:val="subscript"/>
                <w:lang w:val="fr-FR" w:eastAsia="fr-FR"/>
              </w:rPr>
              <w:t>3</w:t>
            </w:r>
          </w:p>
        </w:tc>
        <w:tc>
          <w:tcPr>
            <w:tcW w:w="299" w:type="pct"/>
            <w:tcBorders>
              <w:top w:val="nil"/>
              <w:left w:val="nil"/>
              <w:bottom w:val="nil"/>
              <w:right w:val="nil"/>
            </w:tcBorders>
            <w:shd w:val="clear" w:color="auto" w:fill="auto"/>
            <w:noWrap/>
            <w:vAlign w:val="center"/>
            <w:hideMark/>
          </w:tcPr>
          <w:p w14:paraId="5FCA552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2.1</w:t>
            </w:r>
          </w:p>
        </w:tc>
        <w:tc>
          <w:tcPr>
            <w:tcW w:w="145" w:type="pct"/>
            <w:tcBorders>
              <w:top w:val="nil"/>
              <w:left w:val="nil"/>
              <w:bottom w:val="nil"/>
              <w:right w:val="nil"/>
            </w:tcBorders>
            <w:shd w:val="clear" w:color="auto" w:fill="auto"/>
            <w:noWrap/>
            <w:vAlign w:val="center"/>
            <w:hideMark/>
          </w:tcPr>
          <w:p w14:paraId="7030E67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w:t>
            </w:r>
          </w:p>
        </w:tc>
        <w:tc>
          <w:tcPr>
            <w:tcW w:w="255" w:type="pct"/>
            <w:tcBorders>
              <w:top w:val="nil"/>
              <w:left w:val="nil"/>
              <w:bottom w:val="nil"/>
              <w:right w:val="nil"/>
            </w:tcBorders>
            <w:shd w:val="clear" w:color="auto" w:fill="auto"/>
            <w:noWrap/>
            <w:vAlign w:val="center"/>
            <w:hideMark/>
          </w:tcPr>
          <w:p w14:paraId="1F058F3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c>
          <w:tcPr>
            <w:tcW w:w="149" w:type="pct"/>
            <w:tcBorders>
              <w:top w:val="nil"/>
              <w:left w:val="nil"/>
              <w:bottom w:val="nil"/>
              <w:right w:val="nil"/>
            </w:tcBorders>
            <w:shd w:val="clear" w:color="auto" w:fill="auto"/>
            <w:noWrap/>
            <w:vAlign w:val="center"/>
            <w:hideMark/>
          </w:tcPr>
          <w:p w14:paraId="3354D95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5922078A"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0988106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4.1</w:t>
            </w:r>
          </w:p>
        </w:tc>
        <w:tc>
          <w:tcPr>
            <w:tcW w:w="157" w:type="pct"/>
            <w:tcBorders>
              <w:top w:val="nil"/>
              <w:left w:val="nil"/>
              <w:bottom w:val="nil"/>
              <w:right w:val="nil"/>
            </w:tcBorders>
            <w:shd w:val="clear" w:color="auto" w:fill="auto"/>
            <w:noWrap/>
            <w:vAlign w:val="center"/>
            <w:hideMark/>
          </w:tcPr>
          <w:p w14:paraId="43EAF08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1.5</w:t>
            </w:r>
          </w:p>
        </w:tc>
        <w:tc>
          <w:tcPr>
            <w:tcW w:w="269" w:type="pct"/>
            <w:tcBorders>
              <w:top w:val="nil"/>
              <w:left w:val="nil"/>
              <w:bottom w:val="nil"/>
              <w:right w:val="nil"/>
            </w:tcBorders>
            <w:shd w:val="clear" w:color="auto" w:fill="auto"/>
            <w:noWrap/>
            <w:vAlign w:val="center"/>
            <w:hideMark/>
          </w:tcPr>
          <w:p w14:paraId="271A371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c>
          <w:tcPr>
            <w:tcW w:w="157" w:type="pct"/>
            <w:tcBorders>
              <w:top w:val="nil"/>
              <w:left w:val="nil"/>
              <w:bottom w:val="nil"/>
              <w:right w:val="nil"/>
            </w:tcBorders>
            <w:shd w:val="clear" w:color="auto" w:fill="auto"/>
            <w:noWrap/>
            <w:vAlign w:val="center"/>
            <w:hideMark/>
          </w:tcPr>
          <w:p w14:paraId="33C07B9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7A51606F"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1EED7EB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2.9</w:t>
            </w:r>
          </w:p>
        </w:tc>
        <w:tc>
          <w:tcPr>
            <w:tcW w:w="152" w:type="pct"/>
            <w:tcBorders>
              <w:top w:val="nil"/>
              <w:left w:val="nil"/>
              <w:bottom w:val="nil"/>
              <w:right w:val="nil"/>
            </w:tcBorders>
            <w:shd w:val="clear" w:color="auto" w:fill="auto"/>
            <w:noWrap/>
            <w:vAlign w:val="center"/>
            <w:hideMark/>
          </w:tcPr>
          <w:p w14:paraId="1822AD5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258" w:type="pct"/>
            <w:tcBorders>
              <w:top w:val="nil"/>
              <w:left w:val="nil"/>
              <w:bottom w:val="nil"/>
              <w:right w:val="nil"/>
            </w:tcBorders>
            <w:shd w:val="clear" w:color="auto" w:fill="auto"/>
            <w:noWrap/>
            <w:vAlign w:val="center"/>
            <w:hideMark/>
          </w:tcPr>
          <w:p w14:paraId="055F9B7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1.4</w:t>
            </w:r>
          </w:p>
        </w:tc>
        <w:tc>
          <w:tcPr>
            <w:tcW w:w="152" w:type="pct"/>
            <w:tcBorders>
              <w:top w:val="nil"/>
              <w:left w:val="nil"/>
              <w:bottom w:val="nil"/>
              <w:right w:val="nil"/>
            </w:tcBorders>
            <w:shd w:val="clear" w:color="auto" w:fill="auto"/>
            <w:noWrap/>
            <w:vAlign w:val="center"/>
            <w:hideMark/>
          </w:tcPr>
          <w:p w14:paraId="3FDB45E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w:t>
            </w:r>
          </w:p>
        </w:tc>
        <w:tc>
          <w:tcPr>
            <w:tcW w:w="62" w:type="pct"/>
            <w:tcBorders>
              <w:top w:val="nil"/>
              <w:left w:val="nil"/>
              <w:bottom w:val="nil"/>
              <w:right w:val="nil"/>
            </w:tcBorders>
            <w:shd w:val="clear" w:color="auto" w:fill="auto"/>
            <w:noWrap/>
            <w:vAlign w:val="center"/>
            <w:hideMark/>
          </w:tcPr>
          <w:p w14:paraId="5A154818"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7D7B9BC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3.4</w:t>
            </w:r>
          </w:p>
        </w:tc>
        <w:tc>
          <w:tcPr>
            <w:tcW w:w="143" w:type="pct"/>
            <w:tcBorders>
              <w:top w:val="nil"/>
              <w:left w:val="nil"/>
              <w:bottom w:val="nil"/>
              <w:right w:val="nil"/>
            </w:tcBorders>
            <w:shd w:val="clear" w:color="auto" w:fill="auto"/>
            <w:noWrap/>
            <w:vAlign w:val="center"/>
            <w:hideMark/>
          </w:tcPr>
          <w:p w14:paraId="0A132F8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w:t>
            </w:r>
          </w:p>
        </w:tc>
        <w:tc>
          <w:tcPr>
            <w:tcW w:w="62" w:type="pct"/>
            <w:tcBorders>
              <w:top w:val="nil"/>
              <w:left w:val="nil"/>
              <w:bottom w:val="nil"/>
              <w:right w:val="nil"/>
            </w:tcBorders>
            <w:shd w:val="clear" w:color="auto" w:fill="auto"/>
            <w:noWrap/>
            <w:vAlign w:val="center"/>
            <w:hideMark/>
          </w:tcPr>
          <w:p w14:paraId="1D14188E"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26FEBB6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4.0</w:t>
            </w:r>
          </w:p>
        </w:tc>
        <w:tc>
          <w:tcPr>
            <w:tcW w:w="143" w:type="pct"/>
            <w:tcBorders>
              <w:top w:val="nil"/>
              <w:left w:val="nil"/>
              <w:bottom w:val="nil"/>
              <w:right w:val="nil"/>
            </w:tcBorders>
            <w:shd w:val="clear" w:color="auto" w:fill="auto"/>
            <w:noWrap/>
            <w:vAlign w:val="center"/>
            <w:hideMark/>
          </w:tcPr>
          <w:p w14:paraId="1567502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1.2</w:t>
            </w:r>
          </w:p>
        </w:tc>
        <w:tc>
          <w:tcPr>
            <w:tcW w:w="62" w:type="pct"/>
            <w:tcBorders>
              <w:top w:val="nil"/>
              <w:left w:val="nil"/>
              <w:bottom w:val="nil"/>
              <w:right w:val="nil"/>
            </w:tcBorders>
            <w:shd w:val="clear" w:color="auto" w:fill="auto"/>
            <w:noWrap/>
            <w:vAlign w:val="center"/>
            <w:hideMark/>
          </w:tcPr>
          <w:p w14:paraId="3779DE4D"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952016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6.8</w:t>
            </w:r>
          </w:p>
        </w:tc>
        <w:tc>
          <w:tcPr>
            <w:tcW w:w="161" w:type="pct"/>
            <w:tcBorders>
              <w:top w:val="nil"/>
              <w:left w:val="nil"/>
              <w:bottom w:val="nil"/>
              <w:right w:val="nil"/>
            </w:tcBorders>
            <w:shd w:val="clear" w:color="auto" w:fill="auto"/>
            <w:noWrap/>
            <w:vAlign w:val="center"/>
            <w:hideMark/>
          </w:tcPr>
          <w:p w14:paraId="3A0D50B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2BDE7D6F"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117ED5F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3.5</w:t>
            </w:r>
          </w:p>
        </w:tc>
        <w:tc>
          <w:tcPr>
            <w:tcW w:w="161" w:type="pct"/>
            <w:tcBorders>
              <w:top w:val="nil"/>
              <w:left w:val="nil"/>
              <w:bottom w:val="nil"/>
              <w:right w:val="nil"/>
            </w:tcBorders>
            <w:shd w:val="clear" w:color="auto" w:fill="auto"/>
            <w:noWrap/>
            <w:vAlign w:val="center"/>
            <w:hideMark/>
          </w:tcPr>
          <w:p w14:paraId="49E2C82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r>
      <w:tr w:rsidR="006D6761" w:rsidRPr="006D6761" w14:paraId="54301B65" w14:textId="77777777" w:rsidTr="006D6761">
        <w:trPr>
          <w:trHeight w:val="240"/>
        </w:trPr>
        <w:tc>
          <w:tcPr>
            <w:tcW w:w="255" w:type="pct"/>
            <w:tcBorders>
              <w:top w:val="nil"/>
              <w:left w:val="nil"/>
              <w:bottom w:val="nil"/>
              <w:right w:val="nil"/>
            </w:tcBorders>
            <w:shd w:val="clear" w:color="auto" w:fill="auto"/>
            <w:noWrap/>
            <w:vAlign w:val="center"/>
            <w:hideMark/>
          </w:tcPr>
          <w:p w14:paraId="0CCAEC4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FeO</w:t>
            </w:r>
            <w:r w:rsidRPr="006D6761">
              <w:rPr>
                <w:rFonts w:eastAsia="Times New Roman"/>
                <w:sz w:val="18"/>
                <w:szCs w:val="18"/>
                <w:vertAlign w:val="subscript"/>
                <w:lang w:val="fr-FR" w:eastAsia="fr-FR"/>
              </w:rPr>
              <w:t>tot</w:t>
            </w:r>
          </w:p>
        </w:tc>
        <w:tc>
          <w:tcPr>
            <w:tcW w:w="299" w:type="pct"/>
            <w:tcBorders>
              <w:top w:val="nil"/>
              <w:left w:val="nil"/>
              <w:bottom w:val="nil"/>
              <w:right w:val="nil"/>
            </w:tcBorders>
            <w:shd w:val="clear" w:color="auto" w:fill="auto"/>
            <w:noWrap/>
            <w:vAlign w:val="center"/>
            <w:hideMark/>
          </w:tcPr>
          <w:p w14:paraId="5FD6841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9.0</w:t>
            </w:r>
          </w:p>
        </w:tc>
        <w:tc>
          <w:tcPr>
            <w:tcW w:w="145" w:type="pct"/>
            <w:tcBorders>
              <w:top w:val="nil"/>
              <w:left w:val="nil"/>
              <w:bottom w:val="nil"/>
              <w:right w:val="nil"/>
            </w:tcBorders>
            <w:shd w:val="clear" w:color="auto" w:fill="auto"/>
            <w:noWrap/>
            <w:vAlign w:val="center"/>
            <w:hideMark/>
          </w:tcPr>
          <w:p w14:paraId="4395E6E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255" w:type="pct"/>
            <w:tcBorders>
              <w:top w:val="nil"/>
              <w:left w:val="nil"/>
              <w:bottom w:val="nil"/>
              <w:right w:val="nil"/>
            </w:tcBorders>
            <w:shd w:val="clear" w:color="auto" w:fill="auto"/>
            <w:noWrap/>
            <w:vAlign w:val="center"/>
            <w:hideMark/>
          </w:tcPr>
          <w:p w14:paraId="68C729F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7.9</w:t>
            </w:r>
          </w:p>
        </w:tc>
        <w:tc>
          <w:tcPr>
            <w:tcW w:w="149" w:type="pct"/>
            <w:tcBorders>
              <w:top w:val="nil"/>
              <w:left w:val="nil"/>
              <w:bottom w:val="nil"/>
              <w:right w:val="nil"/>
            </w:tcBorders>
            <w:shd w:val="clear" w:color="auto" w:fill="auto"/>
            <w:noWrap/>
            <w:vAlign w:val="center"/>
            <w:hideMark/>
          </w:tcPr>
          <w:p w14:paraId="3BA2D07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70241AE0"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342805A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7.2</w:t>
            </w:r>
          </w:p>
        </w:tc>
        <w:tc>
          <w:tcPr>
            <w:tcW w:w="157" w:type="pct"/>
            <w:tcBorders>
              <w:top w:val="nil"/>
              <w:left w:val="nil"/>
              <w:bottom w:val="nil"/>
              <w:right w:val="nil"/>
            </w:tcBorders>
            <w:shd w:val="clear" w:color="auto" w:fill="auto"/>
            <w:noWrap/>
            <w:vAlign w:val="center"/>
            <w:hideMark/>
          </w:tcPr>
          <w:p w14:paraId="7E6E92E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269" w:type="pct"/>
            <w:tcBorders>
              <w:top w:val="nil"/>
              <w:left w:val="nil"/>
              <w:bottom w:val="nil"/>
              <w:right w:val="nil"/>
            </w:tcBorders>
            <w:shd w:val="clear" w:color="auto" w:fill="auto"/>
            <w:noWrap/>
            <w:vAlign w:val="center"/>
            <w:hideMark/>
          </w:tcPr>
          <w:p w14:paraId="730614E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7.5</w:t>
            </w:r>
          </w:p>
        </w:tc>
        <w:tc>
          <w:tcPr>
            <w:tcW w:w="157" w:type="pct"/>
            <w:tcBorders>
              <w:top w:val="nil"/>
              <w:left w:val="nil"/>
              <w:bottom w:val="nil"/>
              <w:right w:val="nil"/>
            </w:tcBorders>
            <w:shd w:val="clear" w:color="auto" w:fill="auto"/>
            <w:noWrap/>
            <w:vAlign w:val="center"/>
            <w:hideMark/>
          </w:tcPr>
          <w:p w14:paraId="4B5C1D3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27D964E1"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59FFD16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7.8</w:t>
            </w:r>
          </w:p>
        </w:tc>
        <w:tc>
          <w:tcPr>
            <w:tcW w:w="152" w:type="pct"/>
            <w:tcBorders>
              <w:top w:val="nil"/>
              <w:left w:val="nil"/>
              <w:bottom w:val="nil"/>
              <w:right w:val="nil"/>
            </w:tcBorders>
            <w:shd w:val="clear" w:color="auto" w:fill="auto"/>
            <w:noWrap/>
            <w:vAlign w:val="center"/>
            <w:hideMark/>
          </w:tcPr>
          <w:p w14:paraId="4611F3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258" w:type="pct"/>
            <w:tcBorders>
              <w:top w:val="nil"/>
              <w:left w:val="nil"/>
              <w:bottom w:val="nil"/>
              <w:right w:val="nil"/>
            </w:tcBorders>
            <w:shd w:val="clear" w:color="auto" w:fill="auto"/>
            <w:noWrap/>
            <w:vAlign w:val="center"/>
            <w:hideMark/>
          </w:tcPr>
          <w:p w14:paraId="39ACCD7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7.7</w:t>
            </w:r>
          </w:p>
        </w:tc>
        <w:tc>
          <w:tcPr>
            <w:tcW w:w="152" w:type="pct"/>
            <w:tcBorders>
              <w:top w:val="nil"/>
              <w:left w:val="nil"/>
              <w:bottom w:val="nil"/>
              <w:right w:val="nil"/>
            </w:tcBorders>
            <w:shd w:val="clear" w:color="auto" w:fill="auto"/>
            <w:noWrap/>
            <w:vAlign w:val="center"/>
            <w:hideMark/>
          </w:tcPr>
          <w:p w14:paraId="355410F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751AFA43"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26FFE13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6.4</w:t>
            </w:r>
          </w:p>
        </w:tc>
        <w:tc>
          <w:tcPr>
            <w:tcW w:w="143" w:type="pct"/>
            <w:tcBorders>
              <w:top w:val="nil"/>
              <w:left w:val="nil"/>
              <w:bottom w:val="nil"/>
              <w:right w:val="nil"/>
            </w:tcBorders>
            <w:shd w:val="clear" w:color="auto" w:fill="auto"/>
            <w:noWrap/>
            <w:vAlign w:val="center"/>
            <w:hideMark/>
          </w:tcPr>
          <w:p w14:paraId="416ECA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5250DA1A"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02CBF8C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7.8</w:t>
            </w:r>
          </w:p>
        </w:tc>
        <w:tc>
          <w:tcPr>
            <w:tcW w:w="143" w:type="pct"/>
            <w:tcBorders>
              <w:top w:val="nil"/>
              <w:left w:val="nil"/>
              <w:bottom w:val="nil"/>
              <w:right w:val="nil"/>
            </w:tcBorders>
            <w:shd w:val="clear" w:color="auto" w:fill="auto"/>
            <w:noWrap/>
            <w:vAlign w:val="center"/>
            <w:hideMark/>
          </w:tcPr>
          <w:p w14:paraId="6613C24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1F104143"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4DA4654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7.1</w:t>
            </w:r>
          </w:p>
        </w:tc>
        <w:tc>
          <w:tcPr>
            <w:tcW w:w="161" w:type="pct"/>
            <w:tcBorders>
              <w:top w:val="nil"/>
              <w:left w:val="nil"/>
              <w:bottom w:val="nil"/>
              <w:right w:val="nil"/>
            </w:tcBorders>
            <w:shd w:val="clear" w:color="auto" w:fill="auto"/>
            <w:noWrap/>
            <w:vAlign w:val="center"/>
            <w:hideMark/>
          </w:tcPr>
          <w:p w14:paraId="36CF437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485D10AA"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3555261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6.5</w:t>
            </w:r>
          </w:p>
        </w:tc>
        <w:tc>
          <w:tcPr>
            <w:tcW w:w="161" w:type="pct"/>
            <w:tcBorders>
              <w:top w:val="nil"/>
              <w:left w:val="nil"/>
              <w:bottom w:val="nil"/>
              <w:right w:val="nil"/>
            </w:tcBorders>
            <w:shd w:val="clear" w:color="auto" w:fill="auto"/>
            <w:noWrap/>
            <w:vAlign w:val="center"/>
            <w:hideMark/>
          </w:tcPr>
          <w:p w14:paraId="1EA251F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r>
      <w:tr w:rsidR="006D6761" w:rsidRPr="006D6761" w14:paraId="6C0F2F87" w14:textId="77777777" w:rsidTr="006D6761">
        <w:trPr>
          <w:trHeight w:val="240"/>
        </w:trPr>
        <w:tc>
          <w:tcPr>
            <w:tcW w:w="255" w:type="pct"/>
            <w:tcBorders>
              <w:top w:val="nil"/>
              <w:left w:val="nil"/>
              <w:bottom w:val="nil"/>
              <w:right w:val="nil"/>
            </w:tcBorders>
            <w:shd w:val="clear" w:color="auto" w:fill="auto"/>
            <w:noWrap/>
            <w:vAlign w:val="center"/>
            <w:hideMark/>
          </w:tcPr>
          <w:p w14:paraId="5497CC4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MnO</w:t>
            </w:r>
          </w:p>
        </w:tc>
        <w:tc>
          <w:tcPr>
            <w:tcW w:w="299" w:type="pct"/>
            <w:tcBorders>
              <w:top w:val="nil"/>
              <w:left w:val="nil"/>
              <w:bottom w:val="nil"/>
              <w:right w:val="nil"/>
            </w:tcBorders>
            <w:shd w:val="clear" w:color="auto" w:fill="auto"/>
            <w:noWrap/>
            <w:vAlign w:val="center"/>
            <w:hideMark/>
          </w:tcPr>
          <w:p w14:paraId="5E84B0C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5" w:type="pct"/>
            <w:tcBorders>
              <w:top w:val="nil"/>
              <w:left w:val="nil"/>
              <w:bottom w:val="nil"/>
              <w:right w:val="nil"/>
            </w:tcBorders>
            <w:shd w:val="clear" w:color="auto" w:fill="auto"/>
            <w:noWrap/>
            <w:vAlign w:val="center"/>
            <w:hideMark/>
          </w:tcPr>
          <w:p w14:paraId="237EE59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5" w:type="pct"/>
            <w:tcBorders>
              <w:top w:val="nil"/>
              <w:left w:val="nil"/>
              <w:bottom w:val="nil"/>
              <w:right w:val="nil"/>
            </w:tcBorders>
            <w:shd w:val="clear" w:color="auto" w:fill="auto"/>
            <w:noWrap/>
            <w:vAlign w:val="center"/>
            <w:hideMark/>
          </w:tcPr>
          <w:p w14:paraId="5639974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9" w:type="pct"/>
            <w:tcBorders>
              <w:top w:val="nil"/>
              <w:left w:val="nil"/>
              <w:bottom w:val="nil"/>
              <w:right w:val="nil"/>
            </w:tcBorders>
            <w:shd w:val="clear" w:color="auto" w:fill="auto"/>
            <w:noWrap/>
            <w:vAlign w:val="center"/>
            <w:hideMark/>
          </w:tcPr>
          <w:p w14:paraId="7A6D9A6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9C9DEF9"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307BEA1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7" w:type="pct"/>
            <w:tcBorders>
              <w:top w:val="nil"/>
              <w:left w:val="nil"/>
              <w:bottom w:val="nil"/>
              <w:right w:val="nil"/>
            </w:tcBorders>
            <w:shd w:val="clear" w:color="auto" w:fill="auto"/>
            <w:noWrap/>
            <w:vAlign w:val="center"/>
            <w:hideMark/>
          </w:tcPr>
          <w:p w14:paraId="1CCF98C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63257EE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57" w:type="pct"/>
            <w:tcBorders>
              <w:top w:val="nil"/>
              <w:left w:val="nil"/>
              <w:bottom w:val="nil"/>
              <w:right w:val="nil"/>
            </w:tcBorders>
            <w:shd w:val="clear" w:color="auto" w:fill="auto"/>
            <w:noWrap/>
            <w:vAlign w:val="center"/>
            <w:hideMark/>
          </w:tcPr>
          <w:p w14:paraId="308372D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3DD957AE"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5605832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52" w:type="pct"/>
            <w:tcBorders>
              <w:top w:val="nil"/>
              <w:left w:val="nil"/>
              <w:bottom w:val="nil"/>
              <w:right w:val="nil"/>
            </w:tcBorders>
            <w:shd w:val="clear" w:color="auto" w:fill="auto"/>
            <w:noWrap/>
            <w:vAlign w:val="center"/>
            <w:hideMark/>
          </w:tcPr>
          <w:p w14:paraId="2C8654C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8" w:type="pct"/>
            <w:tcBorders>
              <w:top w:val="nil"/>
              <w:left w:val="nil"/>
              <w:bottom w:val="nil"/>
              <w:right w:val="nil"/>
            </w:tcBorders>
            <w:shd w:val="clear" w:color="auto" w:fill="auto"/>
            <w:noWrap/>
            <w:vAlign w:val="center"/>
            <w:hideMark/>
          </w:tcPr>
          <w:p w14:paraId="3870153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152" w:type="pct"/>
            <w:tcBorders>
              <w:top w:val="nil"/>
              <w:left w:val="nil"/>
              <w:bottom w:val="nil"/>
              <w:right w:val="nil"/>
            </w:tcBorders>
            <w:shd w:val="clear" w:color="auto" w:fill="auto"/>
            <w:noWrap/>
            <w:vAlign w:val="center"/>
            <w:hideMark/>
          </w:tcPr>
          <w:p w14:paraId="3EE9AEA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25DEED54"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7443781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3" w:type="pct"/>
            <w:tcBorders>
              <w:top w:val="nil"/>
              <w:left w:val="nil"/>
              <w:bottom w:val="nil"/>
              <w:right w:val="nil"/>
            </w:tcBorders>
            <w:shd w:val="clear" w:color="auto" w:fill="auto"/>
            <w:noWrap/>
            <w:vAlign w:val="center"/>
            <w:hideMark/>
          </w:tcPr>
          <w:p w14:paraId="5B64177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9E57179"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623EF3B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3" w:type="pct"/>
            <w:tcBorders>
              <w:top w:val="nil"/>
              <w:left w:val="nil"/>
              <w:bottom w:val="nil"/>
              <w:right w:val="nil"/>
            </w:tcBorders>
            <w:shd w:val="clear" w:color="auto" w:fill="auto"/>
            <w:noWrap/>
            <w:vAlign w:val="center"/>
            <w:hideMark/>
          </w:tcPr>
          <w:p w14:paraId="2419902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3BAD5C6"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31A7BE9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61" w:type="pct"/>
            <w:tcBorders>
              <w:top w:val="nil"/>
              <w:left w:val="nil"/>
              <w:bottom w:val="nil"/>
              <w:right w:val="nil"/>
            </w:tcBorders>
            <w:shd w:val="clear" w:color="auto" w:fill="auto"/>
            <w:noWrap/>
            <w:vAlign w:val="center"/>
            <w:hideMark/>
          </w:tcPr>
          <w:p w14:paraId="0B482A8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A957927"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0355B8C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61" w:type="pct"/>
            <w:tcBorders>
              <w:top w:val="nil"/>
              <w:left w:val="nil"/>
              <w:bottom w:val="nil"/>
              <w:right w:val="nil"/>
            </w:tcBorders>
            <w:shd w:val="clear" w:color="auto" w:fill="auto"/>
            <w:noWrap/>
            <w:vAlign w:val="center"/>
            <w:hideMark/>
          </w:tcPr>
          <w:p w14:paraId="0A9E0AC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247BEF48" w14:textId="77777777" w:rsidTr="006D6761">
        <w:trPr>
          <w:trHeight w:val="240"/>
        </w:trPr>
        <w:tc>
          <w:tcPr>
            <w:tcW w:w="255" w:type="pct"/>
            <w:tcBorders>
              <w:top w:val="nil"/>
              <w:left w:val="nil"/>
              <w:bottom w:val="nil"/>
              <w:right w:val="nil"/>
            </w:tcBorders>
            <w:shd w:val="clear" w:color="auto" w:fill="auto"/>
            <w:noWrap/>
            <w:vAlign w:val="center"/>
            <w:hideMark/>
          </w:tcPr>
          <w:p w14:paraId="1D9F4EB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MgO</w:t>
            </w:r>
          </w:p>
        </w:tc>
        <w:tc>
          <w:tcPr>
            <w:tcW w:w="299" w:type="pct"/>
            <w:tcBorders>
              <w:top w:val="nil"/>
              <w:left w:val="nil"/>
              <w:bottom w:val="nil"/>
              <w:right w:val="nil"/>
            </w:tcBorders>
            <w:shd w:val="clear" w:color="auto" w:fill="auto"/>
            <w:noWrap/>
            <w:vAlign w:val="center"/>
            <w:hideMark/>
          </w:tcPr>
          <w:p w14:paraId="039AD7D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32.1</w:t>
            </w:r>
          </w:p>
        </w:tc>
        <w:tc>
          <w:tcPr>
            <w:tcW w:w="145" w:type="pct"/>
            <w:tcBorders>
              <w:top w:val="nil"/>
              <w:left w:val="nil"/>
              <w:bottom w:val="nil"/>
              <w:right w:val="nil"/>
            </w:tcBorders>
            <w:shd w:val="clear" w:color="auto" w:fill="auto"/>
            <w:noWrap/>
            <w:vAlign w:val="center"/>
            <w:hideMark/>
          </w:tcPr>
          <w:p w14:paraId="6657DA8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255" w:type="pct"/>
            <w:tcBorders>
              <w:top w:val="nil"/>
              <w:left w:val="nil"/>
              <w:bottom w:val="nil"/>
              <w:right w:val="nil"/>
            </w:tcBorders>
            <w:shd w:val="clear" w:color="auto" w:fill="auto"/>
            <w:noWrap/>
            <w:vAlign w:val="center"/>
            <w:hideMark/>
          </w:tcPr>
          <w:p w14:paraId="536845F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34.1</w:t>
            </w:r>
          </w:p>
        </w:tc>
        <w:tc>
          <w:tcPr>
            <w:tcW w:w="149" w:type="pct"/>
            <w:tcBorders>
              <w:top w:val="nil"/>
              <w:left w:val="nil"/>
              <w:bottom w:val="nil"/>
              <w:right w:val="nil"/>
            </w:tcBorders>
            <w:shd w:val="clear" w:color="auto" w:fill="auto"/>
            <w:noWrap/>
            <w:vAlign w:val="center"/>
            <w:hideMark/>
          </w:tcPr>
          <w:p w14:paraId="624FE58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2E261223"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0592A03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32.3</w:t>
            </w:r>
          </w:p>
        </w:tc>
        <w:tc>
          <w:tcPr>
            <w:tcW w:w="157" w:type="pct"/>
            <w:tcBorders>
              <w:top w:val="nil"/>
              <w:left w:val="nil"/>
              <w:bottom w:val="nil"/>
              <w:right w:val="nil"/>
            </w:tcBorders>
            <w:shd w:val="clear" w:color="auto" w:fill="auto"/>
            <w:noWrap/>
            <w:vAlign w:val="center"/>
            <w:hideMark/>
          </w:tcPr>
          <w:p w14:paraId="6519D74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w:t>
            </w:r>
          </w:p>
        </w:tc>
        <w:tc>
          <w:tcPr>
            <w:tcW w:w="269" w:type="pct"/>
            <w:tcBorders>
              <w:top w:val="nil"/>
              <w:left w:val="nil"/>
              <w:bottom w:val="nil"/>
              <w:right w:val="nil"/>
            </w:tcBorders>
            <w:shd w:val="clear" w:color="auto" w:fill="auto"/>
            <w:noWrap/>
            <w:vAlign w:val="center"/>
            <w:hideMark/>
          </w:tcPr>
          <w:p w14:paraId="2B6431C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34.5</w:t>
            </w:r>
          </w:p>
        </w:tc>
        <w:tc>
          <w:tcPr>
            <w:tcW w:w="157" w:type="pct"/>
            <w:tcBorders>
              <w:top w:val="nil"/>
              <w:left w:val="nil"/>
              <w:bottom w:val="nil"/>
              <w:right w:val="nil"/>
            </w:tcBorders>
            <w:shd w:val="clear" w:color="auto" w:fill="auto"/>
            <w:noWrap/>
            <w:vAlign w:val="center"/>
            <w:hideMark/>
          </w:tcPr>
          <w:p w14:paraId="3DD5A21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47B81230"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7B9EA05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32.0</w:t>
            </w:r>
          </w:p>
        </w:tc>
        <w:tc>
          <w:tcPr>
            <w:tcW w:w="152" w:type="pct"/>
            <w:tcBorders>
              <w:top w:val="nil"/>
              <w:left w:val="nil"/>
              <w:bottom w:val="nil"/>
              <w:right w:val="nil"/>
            </w:tcBorders>
            <w:shd w:val="clear" w:color="auto" w:fill="auto"/>
            <w:noWrap/>
            <w:vAlign w:val="center"/>
            <w:hideMark/>
          </w:tcPr>
          <w:p w14:paraId="0F7B035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258" w:type="pct"/>
            <w:tcBorders>
              <w:top w:val="nil"/>
              <w:left w:val="nil"/>
              <w:bottom w:val="nil"/>
              <w:right w:val="nil"/>
            </w:tcBorders>
            <w:shd w:val="clear" w:color="auto" w:fill="auto"/>
            <w:noWrap/>
            <w:vAlign w:val="center"/>
            <w:hideMark/>
          </w:tcPr>
          <w:p w14:paraId="7D3B649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32.8</w:t>
            </w:r>
          </w:p>
        </w:tc>
        <w:tc>
          <w:tcPr>
            <w:tcW w:w="152" w:type="pct"/>
            <w:tcBorders>
              <w:top w:val="nil"/>
              <w:left w:val="nil"/>
              <w:bottom w:val="nil"/>
              <w:right w:val="nil"/>
            </w:tcBorders>
            <w:shd w:val="clear" w:color="auto" w:fill="auto"/>
            <w:noWrap/>
            <w:vAlign w:val="center"/>
            <w:hideMark/>
          </w:tcPr>
          <w:p w14:paraId="6A8EBBB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00C51536"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23CB5A0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32.6</w:t>
            </w:r>
          </w:p>
        </w:tc>
        <w:tc>
          <w:tcPr>
            <w:tcW w:w="143" w:type="pct"/>
            <w:tcBorders>
              <w:top w:val="nil"/>
              <w:left w:val="nil"/>
              <w:bottom w:val="nil"/>
              <w:right w:val="nil"/>
            </w:tcBorders>
            <w:shd w:val="clear" w:color="auto" w:fill="auto"/>
            <w:noWrap/>
            <w:vAlign w:val="center"/>
            <w:hideMark/>
          </w:tcPr>
          <w:p w14:paraId="4B49E58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6CF87F91"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1442D35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31.7</w:t>
            </w:r>
          </w:p>
        </w:tc>
        <w:tc>
          <w:tcPr>
            <w:tcW w:w="143" w:type="pct"/>
            <w:tcBorders>
              <w:top w:val="nil"/>
              <w:left w:val="nil"/>
              <w:bottom w:val="nil"/>
              <w:right w:val="nil"/>
            </w:tcBorders>
            <w:shd w:val="clear" w:color="auto" w:fill="auto"/>
            <w:noWrap/>
            <w:vAlign w:val="center"/>
            <w:hideMark/>
          </w:tcPr>
          <w:p w14:paraId="62B184C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4F404CB1"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70CB002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30.2</w:t>
            </w:r>
          </w:p>
        </w:tc>
        <w:tc>
          <w:tcPr>
            <w:tcW w:w="161" w:type="pct"/>
            <w:tcBorders>
              <w:top w:val="nil"/>
              <w:left w:val="nil"/>
              <w:bottom w:val="nil"/>
              <w:right w:val="nil"/>
            </w:tcBorders>
            <w:shd w:val="clear" w:color="auto" w:fill="auto"/>
            <w:noWrap/>
            <w:vAlign w:val="center"/>
            <w:hideMark/>
          </w:tcPr>
          <w:p w14:paraId="36D2FBC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1.7</w:t>
            </w:r>
          </w:p>
        </w:tc>
        <w:tc>
          <w:tcPr>
            <w:tcW w:w="62" w:type="pct"/>
            <w:tcBorders>
              <w:top w:val="nil"/>
              <w:left w:val="nil"/>
              <w:bottom w:val="nil"/>
              <w:right w:val="nil"/>
            </w:tcBorders>
            <w:shd w:val="clear" w:color="auto" w:fill="auto"/>
            <w:noWrap/>
            <w:vAlign w:val="center"/>
            <w:hideMark/>
          </w:tcPr>
          <w:p w14:paraId="57116F3C"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2E5334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33.4</w:t>
            </w:r>
          </w:p>
        </w:tc>
        <w:tc>
          <w:tcPr>
            <w:tcW w:w="161" w:type="pct"/>
            <w:tcBorders>
              <w:top w:val="nil"/>
              <w:left w:val="nil"/>
              <w:bottom w:val="nil"/>
              <w:right w:val="nil"/>
            </w:tcBorders>
            <w:shd w:val="clear" w:color="auto" w:fill="auto"/>
            <w:noWrap/>
            <w:vAlign w:val="center"/>
            <w:hideMark/>
          </w:tcPr>
          <w:p w14:paraId="3DEC120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r>
      <w:tr w:rsidR="006D6761" w:rsidRPr="006D6761" w14:paraId="507CA377" w14:textId="77777777" w:rsidTr="006D6761">
        <w:trPr>
          <w:trHeight w:val="240"/>
        </w:trPr>
        <w:tc>
          <w:tcPr>
            <w:tcW w:w="255" w:type="pct"/>
            <w:tcBorders>
              <w:top w:val="nil"/>
              <w:left w:val="nil"/>
              <w:bottom w:val="nil"/>
              <w:right w:val="nil"/>
            </w:tcBorders>
            <w:shd w:val="clear" w:color="auto" w:fill="auto"/>
            <w:noWrap/>
            <w:vAlign w:val="center"/>
            <w:hideMark/>
          </w:tcPr>
          <w:p w14:paraId="4197701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CaO</w:t>
            </w:r>
          </w:p>
        </w:tc>
        <w:tc>
          <w:tcPr>
            <w:tcW w:w="299" w:type="pct"/>
            <w:tcBorders>
              <w:top w:val="nil"/>
              <w:left w:val="nil"/>
              <w:bottom w:val="nil"/>
              <w:right w:val="nil"/>
            </w:tcBorders>
            <w:shd w:val="clear" w:color="auto" w:fill="auto"/>
            <w:noWrap/>
            <w:vAlign w:val="center"/>
            <w:hideMark/>
          </w:tcPr>
          <w:p w14:paraId="69B4723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145" w:type="pct"/>
            <w:tcBorders>
              <w:top w:val="nil"/>
              <w:left w:val="nil"/>
              <w:bottom w:val="nil"/>
              <w:right w:val="nil"/>
            </w:tcBorders>
            <w:shd w:val="clear" w:color="auto" w:fill="auto"/>
            <w:noWrap/>
            <w:vAlign w:val="center"/>
            <w:hideMark/>
          </w:tcPr>
          <w:p w14:paraId="4A8E302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255" w:type="pct"/>
            <w:tcBorders>
              <w:top w:val="nil"/>
              <w:left w:val="nil"/>
              <w:bottom w:val="nil"/>
              <w:right w:val="nil"/>
            </w:tcBorders>
            <w:shd w:val="clear" w:color="auto" w:fill="auto"/>
            <w:noWrap/>
            <w:vAlign w:val="center"/>
            <w:hideMark/>
          </w:tcPr>
          <w:p w14:paraId="4BD9F3E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9" w:type="pct"/>
            <w:tcBorders>
              <w:top w:val="nil"/>
              <w:left w:val="nil"/>
              <w:bottom w:val="nil"/>
              <w:right w:val="nil"/>
            </w:tcBorders>
            <w:shd w:val="clear" w:color="auto" w:fill="auto"/>
            <w:noWrap/>
            <w:vAlign w:val="center"/>
            <w:hideMark/>
          </w:tcPr>
          <w:p w14:paraId="036FA7F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D8A57AF"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6F52C8E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w:t>
            </w:r>
          </w:p>
        </w:tc>
        <w:tc>
          <w:tcPr>
            <w:tcW w:w="157" w:type="pct"/>
            <w:tcBorders>
              <w:top w:val="nil"/>
              <w:left w:val="nil"/>
              <w:bottom w:val="nil"/>
              <w:right w:val="nil"/>
            </w:tcBorders>
            <w:shd w:val="clear" w:color="auto" w:fill="auto"/>
            <w:noWrap/>
            <w:vAlign w:val="center"/>
            <w:hideMark/>
          </w:tcPr>
          <w:p w14:paraId="55F37C7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269" w:type="pct"/>
            <w:tcBorders>
              <w:top w:val="nil"/>
              <w:left w:val="nil"/>
              <w:bottom w:val="nil"/>
              <w:right w:val="nil"/>
            </w:tcBorders>
            <w:shd w:val="clear" w:color="auto" w:fill="auto"/>
            <w:noWrap/>
            <w:vAlign w:val="center"/>
            <w:hideMark/>
          </w:tcPr>
          <w:p w14:paraId="78FB0D5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157" w:type="pct"/>
            <w:tcBorders>
              <w:top w:val="nil"/>
              <w:left w:val="nil"/>
              <w:bottom w:val="nil"/>
              <w:right w:val="nil"/>
            </w:tcBorders>
            <w:shd w:val="clear" w:color="auto" w:fill="auto"/>
            <w:noWrap/>
            <w:vAlign w:val="center"/>
            <w:hideMark/>
          </w:tcPr>
          <w:p w14:paraId="523BA53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53DE3F4"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425EF19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w:t>
            </w:r>
          </w:p>
        </w:tc>
        <w:tc>
          <w:tcPr>
            <w:tcW w:w="152" w:type="pct"/>
            <w:tcBorders>
              <w:top w:val="nil"/>
              <w:left w:val="nil"/>
              <w:bottom w:val="nil"/>
              <w:right w:val="nil"/>
            </w:tcBorders>
            <w:shd w:val="clear" w:color="auto" w:fill="auto"/>
            <w:noWrap/>
            <w:vAlign w:val="center"/>
            <w:hideMark/>
          </w:tcPr>
          <w:p w14:paraId="4F67018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258" w:type="pct"/>
            <w:tcBorders>
              <w:top w:val="nil"/>
              <w:left w:val="nil"/>
              <w:bottom w:val="nil"/>
              <w:right w:val="nil"/>
            </w:tcBorders>
            <w:shd w:val="clear" w:color="auto" w:fill="auto"/>
            <w:noWrap/>
            <w:vAlign w:val="center"/>
            <w:hideMark/>
          </w:tcPr>
          <w:p w14:paraId="3DB353F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152" w:type="pct"/>
            <w:tcBorders>
              <w:top w:val="nil"/>
              <w:left w:val="nil"/>
              <w:bottom w:val="nil"/>
              <w:right w:val="nil"/>
            </w:tcBorders>
            <w:shd w:val="clear" w:color="auto" w:fill="auto"/>
            <w:noWrap/>
            <w:vAlign w:val="center"/>
            <w:hideMark/>
          </w:tcPr>
          <w:p w14:paraId="23A8169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0277C174"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474538C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w:t>
            </w:r>
          </w:p>
        </w:tc>
        <w:tc>
          <w:tcPr>
            <w:tcW w:w="143" w:type="pct"/>
            <w:tcBorders>
              <w:top w:val="nil"/>
              <w:left w:val="nil"/>
              <w:bottom w:val="nil"/>
              <w:right w:val="nil"/>
            </w:tcBorders>
            <w:shd w:val="clear" w:color="auto" w:fill="auto"/>
            <w:noWrap/>
            <w:vAlign w:val="center"/>
            <w:hideMark/>
          </w:tcPr>
          <w:p w14:paraId="459F5E7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0DF7F2F8"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7C30D19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0.9</w:t>
            </w:r>
          </w:p>
        </w:tc>
        <w:tc>
          <w:tcPr>
            <w:tcW w:w="143" w:type="pct"/>
            <w:tcBorders>
              <w:top w:val="nil"/>
              <w:left w:val="nil"/>
              <w:bottom w:val="nil"/>
              <w:right w:val="nil"/>
            </w:tcBorders>
            <w:shd w:val="clear" w:color="auto" w:fill="auto"/>
            <w:noWrap/>
            <w:vAlign w:val="center"/>
            <w:hideMark/>
          </w:tcPr>
          <w:p w14:paraId="77E62C6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544175DB"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6E532CB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2.3</w:t>
            </w:r>
          </w:p>
        </w:tc>
        <w:tc>
          <w:tcPr>
            <w:tcW w:w="161" w:type="pct"/>
            <w:tcBorders>
              <w:top w:val="nil"/>
              <w:left w:val="nil"/>
              <w:bottom w:val="nil"/>
              <w:right w:val="nil"/>
            </w:tcBorders>
            <w:shd w:val="clear" w:color="auto" w:fill="auto"/>
            <w:noWrap/>
            <w:vAlign w:val="center"/>
            <w:hideMark/>
          </w:tcPr>
          <w:p w14:paraId="07E6963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2.6</w:t>
            </w:r>
          </w:p>
        </w:tc>
        <w:tc>
          <w:tcPr>
            <w:tcW w:w="62" w:type="pct"/>
            <w:tcBorders>
              <w:top w:val="nil"/>
              <w:left w:val="nil"/>
              <w:bottom w:val="nil"/>
              <w:right w:val="nil"/>
            </w:tcBorders>
            <w:shd w:val="clear" w:color="auto" w:fill="auto"/>
            <w:noWrap/>
            <w:vAlign w:val="center"/>
            <w:hideMark/>
          </w:tcPr>
          <w:p w14:paraId="341D5EAC"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65C5CA2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0.9</w:t>
            </w:r>
          </w:p>
        </w:tc>
        <w:tc>
          <w:tcPr>
            <w:tcW w:w="161" w:type="pct"/>
            <w:tcBorders>
              <w:top w:val="nil"/>
              <w:left w:val="nil"/>
              <w:bottom w:val="nil"/>
              <w:right w:val="nil"/>
            </w:tcBorders>
            <w:shd w:val="clear" w:color="auto" w:fill="auto"/>
            <w:noWrap/>
            <w:vAlign w:val="center"/>
            <w:hideMark/>
          </w:tcPr>
          <w:p w14:paraId="6FE8C9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r>
      <w:tr w:rsidR="006D6761" w:rsidRPr="006D6761" w14:paraId="0F27D551" w14:textId="77777777" w:rsidTr="006D6761">
        <w:trPr>
          <w:trHeight w:val="240"/>
        </w:trPr>
        <w:tc>
          <w:tcPr>
            <w:tcW w:w="255" w:type="pct"/>
            <w:tcBorders>
              <w:top w:val="nil"/>
              <w:left w:val="nil"/>
              <w:bottom w:val="nil"/>
              <w:right w:val="nil"/>
            </w:tcBorders>
            <w:shd w:val="clear" w:color="auto" w:fill="auto"/>
            <w:noWrap/>
            <w:vAlign w:val="center"/>
            <w:hideMark/>
          </w:tcPr>
          <w:p w14:paraId="5897ED9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Na</w:t>
            </w:r>
            <w:r w:rsidRPr="006D6761">
              <w:rPr>
                <w:rFonts w:eastAsia="Times New Roman"/>
                <w:sz w:val="18"/>
                <w:szCs w:val="18"/>
                <w:vertAlign w:val="subscript"/>
                <w:lang w:val="fr-FR" w:eastAsia="fr-FR"/>
              </w:rPr>
              <w:t>2</w:t>
            </w:r>
            <w:r w:rsidRPr="006D6761">
              <w:rPr>
                <w:rFonts w:eastAsia="Times New Roman"/>
                <w:sz w:val="18"/>
                <w:szCs w:val="18"/>
                <w:lang w:val="fr-FR" w:eastAsia="fr-FR"/>
              </w:rPr>
              <w:t>O</w:t>
            </w:r>
          </w:p>
        </w:tc>
        <w:tc>
          <w:tcPr>
            <w:tcW w:w="299" w:type="pct"/>
            <w:tcBorders>
              <w:top w:val="nil"/>
              <w:left w:val="nil"/>
              <w:bottom w:val="nil"/>
              <w:right w:val="nil"/>
            </w:tcBorders>
            <w:shd w:val="clear" w:color="auto" w:fill="auto"/>
            <w:noWrap/>
            <w:vAlign w:val="center"/>
            <w:hideMark/>
          </w:tcPr>
          <w:p w14:paraId="5781854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5" w:type="pct"/>
            <w:tcBorders>
              <w:top w:val="nil"/>
              <w:left w:val="nil"/>
              <w:bottom w:val="nil"/>
              <w:right w:val="nil"/>
            </w:tcBorders>
            <w:shd w:val="clear" w:color="auto" w:fill="auto"/>
            <w:noWrap/>
            <w:vAlign w:val="center"/>
            <w:hideMark/>
          </w:tcPr>
          <w:p w14:paraId="1EE2D81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5" w:type="pct"/>
            <w:tcBorders>
              <w:top w:val="nil"/>
              <w:left w:val="nil"/>
              <w:bottom w:val="nil"/>
              <w:right w:val="nil"/>
            </w:tcBorders>
            <w:shd w:val="clear" w:color="auto" w:fill="auto"/>
            <w:noWrap/>
            <w:vAlign w:val="center"/>
            <w:hideMark/>
          </w:tcPr>
          <w:p w14:paraId="7F881E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9" w:type="pct"/>
            <w:tcBorders>
              <w:top w:val="nil"/>
              <w:left w:val="nil"/>
              <w:bottom w:val="nil"/>
              <w:right w:val="nil"/>
            </w:tcBorders>
            <w:shd w:val="clear" w:color="auto" w:fill="auto"/>
            <w:noWrap/>
            <w:vAlign w:val="center"/>
            <w:hideMark/>
          </w:tcPr>
          <w:p w14:paraId="23FC824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91F4E64"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310F0F5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29CB911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0189B9B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1BA7126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378C5BD"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7B46D95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680C893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8" w:type="pct"/>
            <w:tcBorders>
              <w:top w:val="nil"/>
              <w:left w:val="nil"/>
              <w:bottom w:val="nil"/>
              <w:right w:val="nil"/>
            </w:tcBorders>
            <w:shd w:val="clear" w:color="auto" w:fill="auto"/>
            <w:noWrap/>
            <w:vAlign w:val="center"/>
            <w:hideMark/>
          </w:tcPr>
          <w:p w14:paraId="43F9D0A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61C5D12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CF4EFF9"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5BA70F8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330A9F0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3982CCB8"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69F4832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6457BCD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4F3755F"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AEA700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6ED80D4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181ABF0"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16AE05E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2D25688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764953F7" w14:textId="77777777" w:rsidTr="006D6761">
        <w:trPr>
          <w:trHeight w:val="240"/>
        </w:trPr>
        <w:tc>
          <w:tcPr>
            <w:tcW w:w="255" w:type="pct"/>
            <w:tcBorders>
              <w:top w:val="nil"/>
              <w:left w:val="nil"/>
              <w:bottom w:val="nil"/>
              <w:right w:val="nil"/>
            </w:tcBorders>
            <w:shd w:val="clear" w:color="auto" w:fill="auto"/>
            <w:noWrap/>
            <w:vAlign w:val="center"/>
            <w:hideMark/>
          </w:tcPr>
          <w:p w14:paraId="062F48D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K</w:t>
            </w:r>
            <w:r w:rsidRPr="006D6761">
              <w:rPr>
                <w:rFonts w:eastAsia="Times New Roman"/>
                <w:sz w:val="18"/>
                <w:szCs w:val="18"/>
                <w:vertAlign w:val="subscript"/>
                <w:lang w:val="fr-FR" w:eastAsia="fr-FR"/>
              </w:rPr>
              <w:t>2</w:t>
            </w:r>
            <w:r w:rsidRPr="006D6761">
              <w:rPr>
                <w:rFonts w:eastAsia="Times New Roman"/>
                <w:sz w:val="18"/>
                <w:szCs w:val="18"/>
                <w:lang w:val="fr-FR" w:eastAsia="fr-FR"/>
              </w:rPr>
              <w:t>O</w:t>
            </w:r>
          </w:p>
        </w:tc>
        <w:tc>
          <w:tcPr>
            <w:tcW w:w="299" w:type="pct"/>
            <w:tcBorders>
              <w:top w:val="nil"/>
              <w:left w:val="nil"/>
              <w:bottom w:val="nil"/>
              <w:right w:val="nil"/>
            </w:tcBorders>
            <w:shd w:val="clear" w:color="auto" w:fill="auto"/>
            <w:noWrap/>
            <w:vAlign w:val="center"/>
            <w:hideMark/>
          </w:tcPr>
          <w:p w14:paraId="5F0A0D5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5" w:type="pct"/>
            <w:tcBorders>
              <w:top w:val="nil"/>
              <w:left w:val="nil"/>
              <w:bottom w:val="nil"/>
              <w:right w:val="nil"/>
            </w:tcBorders>
            <w:shd w:val="clear" w:color="auto" w:fill="auto"/>
            <w:noWrap/>
            <w:vAlign w:val="center"/>
            <w:hideMark/>
          </w:tcPr>
          <w:p w14:paraId="1FAF778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5" w:type="pct"/>
            <w:tcBorders>
              <w:top w:val="nil"/>
              <w:left w:val="nil"/>
              <w:bottom w:val="nil"/>
              <w:right w:val="nil"/>
            </w:tcBorders>
            <w:shd w:val="clear" w:color="auto" w:fill="auto"/>
            <w:noWrap/>
            <w:vAlign w:val="center"/>
            <w:hideMark/>
          </w:tcPr>
          <w:p w14:paraId="298998F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9" w:type="pct"/>
            <w:tcBorders>
              <w:top w:val="nil"/>
              <w:left w:val="nil"/>
              <w:bottom w:val="nil"/>
              <w:right w:val="nil"/>
            </w:tcBorders>
            <w:shd w:val="clear" w:color="auto" w:fill="auto"/>
            <w:noWrap/>
            <w:vAlign w:val="center"/>
            <w:hideMark/>
          </w:tcPr>
          <w:p w14:paraId="1EBD04A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4696AB7"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6B2FD0B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2466B4F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1339B32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279B0BA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21AE4C2"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5CC686D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472FF84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8" w:type="pct"/>
            <w:tcBorders>
              <w:top w:val="nil"/>
              <w:left w:val="nil"/>
              <w:bottom w:val="nil"/>
              <w:right w:val="nil"/>
            </w:tcBorders>
            <w:shd w:val="clear" w:color="auto" w:fill="auto"/>
            <w:noWrap/>
            <w:vAlign w:val="center"/>
            <w:hideMark/>
          </w:tcPr>
          <w:p w14:paraId="16552E5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5CDF71F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323A03F"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08C7350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5D492FF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BC22E4D"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43771C2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4B7F2E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91D33CB"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2058F2F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0F6D25F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955B4AA"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1800D25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72926C1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59FAA67B" w14:textId="77777777" w:rsidTr="006D6761">
        <w:trPr>
          <w:trHeight w:val="240"/>
        </w:trPr>
        <w:tc>
          <w:tcPr>
            <w:tcW w:w="255" w:type="pct"/>
            <w:tcBorders>
              <w:top w:val="nil"/>
              <w:left w:val="nil"/>
              <w:bottom w:val="nil"/>
              <w:right w:val="nil"/>
            </w:tcBorders>
            <w:shd w:val="clear" w:color="auto" w:fill="auto"/>
            <w:noWrap/>
            <w:vAlign w:val="center"/>
            <w:hideMark/>
          </w:tcPr>
          <w:p w14:paraId="7627321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Cr</w:t>
            </w:r>
            <w:r w:rsidRPr="006D6761">
              <w:rPr>
                <w:rFonts w:eastAsia="Times New Roman"/>
                <w:sz w:val="18"/>
                <w:szCs w:val="18"/>
                <w:vertAlign w:val="subscript"/>
                <w:lang w:val="fr-FR" w:eastAsia="fr-FR"/>
              </w:rPr>
              <w:t>2</w:t>
            </w:r>
            <w:r w:rsidRPr="006D6761">
              <w:rPr>
                <w:rFonts w:eastAsia="Times New Roman"/>
                <w:sz w:val="18"/>
                <w:szCs w:val="18"/>
                <w:lang w:val="fr-FR" w:eastAsia="fr-FR"/>
              </w:rPr>
              <w:t>O</w:t>
            </w:r>
            <w:r w:rsidRPr="006D6761">
              <w:rPr>
                <w:rFonts w:eastAsia="Times New Roman"/>
                <w:sz w:val="18"/>
                <w:szCs w:val="18"/>
                <w:vertAlign w:val="subscript"/>
                <w:lang w:val="fr-FR" w:eastAsia="fr-FR"/>
              </w:rPr>
              <w:t>3</w:t>
            </w:r>
          </w:p>
        </w:tc>
        <w:tc>
          <w:tcPr>
            <w:tcW w:w="299" w:type="pct"/>
            <w:tcBorders>
              <w:top w:val="nil"/>
              <w:left w:val="nil"/>
              <w:bottom w:val="nil"/>
              <w:right w:val="nil"/>
            </w:tcBorders>
            <w:shd w:val="clear" w:color="auto" w:fill="auto"/>
            <w:noWrap/>
            <w:vAlign w:val="center"/>
            <w:hideMark/>
          </w:tcPr>
          <w:p w14:paraId="58BAD82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45" w:type="pct"/>
            <w:tcBorders>
              <w:top w:val="nil"/>
              <w:left w:val="nil"/>
              <w:bottom w:val="nil"/>
              <w:right w:val="nil"/>
            </w:tcBorders>
            <w:shd w:val="clear" w:color="auto" w:fill="auto"/>
            <w:noWrap/>
            <w:vAlign w:val="center"/>
            <w:hideMark/>
          </w:tcPr>
          <w:p w14:paraId="13034AF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255" w:type="pct"/>
            <w:tcBorders>
              <w:top w:val="nil"/>
              <w:left w:val="nil"/>
              <w:bottom w:val="nil"/>
              <w:right w:val="nil"/>
            </w:tcBorders>
            <w:shd w:val="clear" w:color="auto" w:fill="auto"/>
            <w:noWrap/>
            <w:vAlign w:val="center"/>
            <w:hideMark/>
          </w:tcPr>
          <w:p w14:paraId="0060278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9" w:type="pct"/>
            <w:tcBorders>
              <w:top w:val="nil"/>
              <w:left w:val="nil"/>
              <w:bottom w:val="nil"/>
              <w:right w:val="nil"/>
            </w:tcBorders>
            <w:shd w:val="clear" w:color="auto" w:fill="auto"/>
            <w:noWrap/>
            <w:vAlign w:val="center"/>
            <w:hideMark/>
          </w:tcPr>
          <w:p w14:paraId="03D8025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10DE76DC"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4182A11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c>
          <w:tcPr>
            <w:tcW w:w="157" w:type="pct"/>
            <w:tcBorders>
              <w:top w:val="nil"/>
              <w:left w:val="nil"/>
              <w:bottom w:val="nil"/>
              <w:right w:val="nil"/>
            </w:tcBorders>
            <w:shd w:val="clear" w:color="auto" w:fill="auto"/>
            <w:noWrap/>
            <w:vAlign w:val="center"/>
            <w:hideMark/>
          </w:tcPr>
          <w:p w14:paraId="4B69ACE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269" w:type="pct"/>
            <w:tcBorders>
              <w:top w:val="nil"/>
              <w:left w:val="nil"/>
              <w:bottom w:val="nil"/>
              <w:right w:val="nil"/>
            </w:tcBorders>
            <w:shd w:val="clear" w:color="auto" w:fill="auto"/>
            <w:noWrap/>
            <w:vAlign w:val="center"/>
            <w:hideMark/>
          </w:tcPr>
          <w:p w14:paraId="301A0F9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72D554F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D28A51F"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1B5394F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c>
          <w:tcPr>
            <w:tcW w:w="152" w:type="pct"/>
            <w:tcBorders>
              <w:top w:val="nil"/>
              <w:left w:val="nil"/>
              <w:bottom w:val="nil"/>
              <w:right w:val="nil"/>
            </w:tcBorders>
            <w:shd w:val="clear" w:color="auto" w:fill="auto"/>
            <w:noWrap/>
            <w:vAlign w:val="center"/>
            <w:hideMark/>
          </w:tcPr>
          <w:p w14:paraId="7086A79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258" w:type="pct"/>
            <w:tcBorders>
              <w:top w:val="nil"/>
              <w:left w:val="nil"/>
              <w:bottom w:val="nil"/>
              <w:right w:val="nil"/>
            </w:tcBorders>
            <w:shd w:val="clear" w:color="auto" w:fill="auto"/>
            <w:noWrap/>
            <w:vAlign w:val="center"/>
            <w:hideMark/>
          </w:tcPr>
          <w:p w14:paraId="78D7255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52" w:type="pct"/>
            <w:tcBorders>
              <w:top w:val="nil"/>
              <w:left w:val="nil"/>
              <w:bottom w:val="nil"/>
              <w:right w:val="nil"/>
            </w:tcBorders>
            <w:shd w:val="clear" w:color="auto" w:fill="auto"/>
            <w:noWrap/>
            <w:vAlign w:val="center"/>
            <w:hideMark/>
          </w:tcPr>
          <w:p w14:paraId="70C149E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423D437D"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4352F62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143" w:type="pct"/>
            <w:tcBorders>
              <w:top w:val="nil"/>
              <w:left w:val="nil"/>
              <w:bottom w:val="nil"/>
              <w:right w:val="nil"/>
            </w:tcBorders>
            <w:shd w:val="clear" w:color="auto" w:fill="auto"/>
            <w:noWrap/>
            <w:vAlign w:val="center"/>
            <w:hideMark/>
          </w:tcPr>
          <w:p w14:paraId="60B993D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4A69E4B1"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5B77339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0.9</w:t>
            </w:r>
          </w:p>
        </w:tc>
        <w:tc>
          <w:tcPr>
            <w:tcW w:w="143" w:type="pct"/>
            <w:tcBorders>
              <w:top w:val="nil"/>
              <w:left w:val="nil"/>
              <w:bottom w:val="nil"/>
              <w:right w:val="nil"/>
            </w:tcBorders>
            <w:shd w:val="clear" w:color="auto" w:fill="auto"/>
            <w:noWrap/>
            <w:vAlign w:val="center"/>
            <w:hideMark/>
          </w:tcPr>
          <w:p w14:paraId="0703FBA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3EDA2BE8"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2D32EE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161" w:type="pct"/>
            <w:tcBorders>
              <w:top w:val="nil"/>
              <w:left w:val="nil"/>
              <w:bottom w:val="nil"/>
              <w:right w:val="nil"/>
            </w:tcBorders>
            <w:shd w:val="clear" w:color="auto" w:fill="auto"/>
            <w:noWrap/>
            <w:vAlign w:val="center"/>
            <w:hideMark/>
          </w:tcPr>
          <w:p w14:paraId="0ABA788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2EADD5FD"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DF71EA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161" w:type="pct"/>
            <w:tcBorders>
              <w:top w:val="nil"/>
              <w:left w:val="nil"/>
              <w:bottom w:val="nil"/>
              <w:right w:val="nil"/>
            </w:tcBorders>
            <w:shd w:val="clear" w:color="auto" w:fill="auto"/>
            <w:noWrap/>
            <w:vAlign w:val="center"/>
            <w:hideMark/>
          </w:tcPr>
          <w:p w14:paraId="6C60D5E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r>
      <w:tr w:rsidR="006D6761" w:rsidRPr="006D6761" w14:paraId="40EC322C" w14:textId="77777777" w:rsidTr="006D6761">
        <w:trPr>
          <w:trHeight w:val="240"/>
        </w:trPr>
        <w:tc>
          <w:tcPr>
            <w:tcW w:w="255" w:type="pct"/>
            <w:tcBorders>
              <w:top w:val="nil"/>
              <w:left w:val="nil"/>
              <w:bottom w:val="nil"/>
              <w:right w:val="nil"/>
            </w:tcBorders>
            <w:shd w:val="clear" w:color="auto" w:fill="auto"/>
            <w:noWrap/>
            <w:vAlign w:val="center"/>
            <w:hideMark/>
          </w:tcPr>
          <w:p w14:paraId="7FD192E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NiO</w:t>
            </w:r>
          </w:p>
        </w:tc>
        <w:tc>
          <w:tcPr>
            <w:tcW w:w="299" w:type="pct"/>
            <w:tcBorders>
              <w:top w:val="nil"/>
              <w:left w:val="nil"/>
              <w:bottom w:val="nil"/>
              <w:right w:val="nil"/>
            </w:tcBorders>
            <w:shd w:val="clear" w:color="auto" w:fill="auto"/>
            <w:noWrap/>
            <w:vAlign w:val="center"/>
            <w:hideMark/>
          </w:tcPr>
          <w:p w14:paraId="25FE6A9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5" w:type="pct"/>
            <w:tcBorders>
              <w:top w:val="nil"/>
              <w:left w:val="nil"/>
              <w:bottom w:val="nil"/>
              <w:right w:val="nil"/>
            </w:tcBorders>
            <w:shd w:val="clear" w:color="auto" w:fill="auto"/>
            <w:noWrap/>
            <w:vAlign w:val="center"/>
            <w:hideMark/>
          </w:tcPr>
          <w:p w14:paraId="2C4ACF7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5" w:type="pct"/>
            <w:tcBorders>
              <w:top w:val="nil"/>
              <w:left w:val="nil"/>
              <w:bottom w:val="nil"/>
              <w:right w:val="nil"/>
            </w:tcBorders>
            <w:shd w:val="clear" w:color="auto" w:fill="auto"/>
            <w:noWrap/>
            <w:vAlign w:val="center"/>
            <w:hideMark/>
          </w:tcPr>
          <w:p w14:paraId="4D0692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9" w:type="pct"/>
            <w:tcBorders>
              <w:top w:val="nil"/>
              <w:left w:val="nil"/>
              <w:bottom w:val="nil"/>
              <w:right w:val="nil"/>
            </w:tcBorders>
            <w:shd w:val="clear" w:color="auto" w:fill="auto"/>
            <w:noWrap/>
            <w:vAlign w:val="center"/>
            <w:hideMark/>
          </w:tcPr>
          <w:p w14:paraId="10248E2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56ECBF4"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669342A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7" w:type="pct"/>
            <w:tcBorders>
              <w:top w:val="nil"/>
              <w:left w:val="nil"/>
              <w:bottom w:val="nil"/>
              <w:right w:val="nil"/>
            </w:tcBorders>
            <w:shd w:val="clear" w:color="auto" w:fill="auto"/>
            <w:noWrap/>
            <w:vAlign w:val="center"/>
            <w:hideMark/>
          </w:tcPr>
          <w:p w14:paraId="3A70F9E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1B2FE8B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7" w:type="pct"/>
            <w:tcBorders>
              <w:top w:val="nil"/>
              <w:left w:val="nil"/>
              <w:bottom w:val="nil"/>
              <w:right w:val="nil"/>
            </w:tcBorders>
            <w:shd w:val="clear" w:color="auto" w:fill="auto"/>
            <w:noWrap/>
            <w:vAlign w:val="center"/>
            <w:hideMark/>
          </w:tcPr>
          <w:p w14:paraId="17FF672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3C245519"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58E1807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2" w:type="pct"/>
            <w:tcBorders>
              <w:top w:val="nil"/>
              <w:left w:val="nil"/>
              <w:bottom w:val="nil"/>
              <w:right w:val="nil"/>
            </w:tcBorders>
            <w:shd w:val="clear" w:color="auto" w:fill="auto"/>
            <w:noWrap/>
            <w:vAlign w:val="center"/>
            <w:hideMark/>
          </w:tcPr>
          <w:p w14:paraId="5E09392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8" w:type="pct"/>
            <w:tcBorders>
              <w:top w:val="nil"/>
              <w:left w:val="nil"/>
              <w:bottom w:val="nil"/>
              <w:right w:val="nil"/>
            </w:tcBorders>
            <w:shd w:val="clear" w:color="auto" w:fill="auto"/>
            <w:noWrap/>
            <w:vAlign w:val="center"/>
            <w:hideMark/>
          </w:tcPr>
          <w:p w14:paraId="22E27FA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2" w:type="pct"/>
            <w:tcBorders>
              <w:top w:val="nil"/>
              <w:left w:val="nil"/>
              <w:bottom w:val="nil"/>
              <w:right w:val="nil"/>
            </w:tcBorders>
            <w:shd w:val="clear" w:color="auto" w:fill="auto"/>
            <w:noWrap/>
            <w:vAlign w:val="center"/>
            <w:hideMark/>
          </w:tcPr>
          <w:p w14:paraId="66483ED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C9FFD78"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20CBE15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3" w:type="pct"/>
            <w:tcBorders>
              <w:top w:val="nil"/>
              <w:left w:val="nil"/>
              <w:bottom w:val="nil"/>
              <w:right w:val="nil"/>
            </w:tcBorders>
            <w:shd w:val="clear" w:color="auto" w:fill="auto"/>
            <w:noWrap/>
            <w:vAlign w:val="center"/>
            <w:hideMark/>
          </w:tcPr>
          <w:p w14:paraId="4890FDC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D65A5F1"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3F9C142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3" w:type="pct"/>
            <w:tcBorders>
              <w:top w:val="nil"/>
              <w:left w:val="nil"/>
              <w:bottom w:val="nil"/>
              <w:right w:val="nil"/>
            </w:tcBorders>
            <w:shd w:val="clear" w:color="auto" w:fill="auto"/>
            <w:noWrap/>
            <w:vAlign w:val="center"/>
            <w:hideMark/>
          </w:tcPr>
          <w:p w14:paraId="61BDCA8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9104768"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109045D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61" w:type="pct"/>
            <w:tcBorders>
              <w:top w:val="nil"/>
              <w:left w:val="nil"/>
              <w:bottom w:val="nil"/>
              <w:right w:val="nil"/>
            </w:tcBorders>
            <w:shd w:val="clear" w:color="auto" w:fill="auto"/>
            <w:noWrap/>
            <w:vAlign w:val="center"/>
            <w:hideMark/>
          </w:tcPr>
          <w:p w14:paraId="09D4E40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73D0250"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0A8E972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61" w:type="pct"/>
            <w:tcBorders>
              <w:top w:val="nil"/>
              <w:left w:val="nil"/>
              <w:bottom w:val="nil"/>
              <w:right w:val="nil"/>
            </w:tcBorders>
            <w:shd w:val="clear" w:color="auto" w:fill="auto"/>
            <w:noWrap/>
            <w:vAlign w:val="center"/>
            <w:hideMark/>
          </w:tcPr>
          <w:p w14:paraId="1B4854D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4EF570ED" w14:textId="77777777" w:rsidTr="006D6761">
        <w:trPr>
          <w:trHeight w:val="240"/>
        </w:trPr>
        <w:tc>
          <w:tcPr>
            <w:tcW w:w="255" w:type="pct"/>
            <w:tcBorders>
              <w:top w:val="nil"/>
              <w:left w:val="nil"/>
              <w:bottom w:val="nil"/>
              <w:right w:val="nil"/>
            </w:tcBorders>
            <w:shd w:val="clear" w:color="auto" w:fill="auto"/>
            <w:noWrap/>
            <w:vAlign w:val="center"/>
            <w:hideMark/>
          </w:tcPr>
          <w:p w14:paraId="404D88F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Cl</w:t>
            </w:r>
          </w:p>
        </w:tc>
        <w:tc>
          <w:tcPr>
            <w:tcW w:w="299" w:type="pct"/>
            <w:tcBorders>
              <w:top w:val="nil"/>
              <w:left w:val="nil"/>
              <w:bottom w:val="nil"/>
              <w:right w:val="nil"/>
            </w:tcBorders>
            <w:shd w:val="clear" w:color="auto" w:fill="auto"/>
            <w:noWrap/>
            <w:vAlign w:val="center"/>
            <w:hideMark/>
          </w:tcPr>
          <w:p w14:paraId="798B5FE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5" w:type="pct"/>
            <w:tcBorders>
              <w:top w:val="nil"/>
              <w:left w:val="nil"/>
              <w:bottom w:val="nil"/>
              <w:right w:val="nil"/>
            </w:tcBorders>
            <w:shd w:val="clear" w:color="auto" w:fill="auto"/>
            <w:noWrap/>
            <w:vAlign w:val="center"/>
            <w:hideMark/>
          </w:tcPr>
          <w:p w14:paraId="72EB701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5" w:type="pct"/>
            <w:tcBorders>
              <w:top w:val="nil"/>
              <w:left w:val="nil"/>
              <w:bottom w:val="nil"/>
              <w:right w:val="nil"/>
            </w:tcBorders>
            <w:shd w:val="clear" w:color="auto" w:fill="auto"/>
            <w:noWrap/>
            <w:vAlign w:val="center"/>
            <w:hideMark/>
          </w:tcPr>
          <w:p w14:paraId="4D382BB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9" w:type="pct"/>
            <w:tcBorders>
              <w:top w:val="nil"/>
              <w:left w:val="nil"/>
              <w:bottom w:val="nil"/>
              <w:right w:val="nil"/>
            </w:tcBorders>
            <w:shd w:val="clear" w:color="auto" w:fill="auto"/>
            <w:noWrap/>
            <w:vAlign w:val="center"/>
            <w:hideMark/>
          </w:tcPr>
          <w:p w14:paraId="7EF149E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9AD98B0"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63C7430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6E6301A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6743B15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2AF76E0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1452CC7"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05D3C28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27D9C49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8" w:type="pct"/>
            <w:tcBorders>
              <w:top w:val="nil"/>
              <w:left w:val="nil"/>
              <w:bottom w:val="nil"/>
              <w:right w:val="nil"/>
            </w:tcBorders>
            <w:shd w:val="clear" w:color="auto" w:fill="auto"/>
            <w:noWrap/>
            <w:vAlign w:val="center"/>
            <w:hideMark/>
          </w:tcPr>
          <w:p w14:paraId="685722F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71E4C58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07AB28B"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2E206AE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2CB28CE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8D4DB27"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78E8417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0123FAA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C528CC9"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65EFF1D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411E470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196F982"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7EECBA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7F071D2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2B03E371" w14:textId="77777777" w:rsidTr="006D6761">
        <w:trPr>
          <w:trHeight w:val="240"/>
        </w:trPr>
        <w:tc>
          <w:tcPr>
            <w:tcW w:w="255" w:type="pct"/>
            <w:tcBorders>
              <w:top w:val="nil"/>
              <w:left w:val="nil"/>
              <w:bottom w:val="nil"/>
              <w:right w:val="nil"/>
            </w:tcBorders>
            <w:shd w:val="clear" w:color="auto" w:fill="auto"/>
            <w:noWrap/>
            <w:vAlign w:val="center"/>
            <w:hideMark/>
          </w:tcPr>
          <w:p w14:paraId="38FA0A5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F</w:t>
            </w:r>
          </w:p>
        </w:tc>
        <w:tc>
          <w:tcPr>
            <w:tcW w:w="299" w:type="pct"/>
            <w:tcBorders>
              <w:top w:val="nil"/>
              <w:left w:val="nil"/>
              <w:bottom w:val="nil"/>
              <w:right w:val="nil"/>
            </w:tcBorders>
            <w:shd w:val="clear" w:color="auto" w:fill="auto"/>
            <w:noWrap/>
            <w:vAlign w:val="center"/>
            <w:hideMark/>
          </w:tcPr>
          <w:p w14:paraId="6B6B881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5" w:type="pct"/>
            <w:tcBorders>
              <w:top w:val="nil"/>
              <w:left w:val="nil"/>
              <w:bottom w:val="nil"/>
              <w:right w:val="nil"/>
            </w:tcBorders>
            <w:shd w:val="clear" w:color="auto" w:fill="auto"/>
            <w:noWrap/>
            <w:vAlign w:val="center"/>
            <w:hideMark/>
          </w:tcPr>
          <w:p w14:paraId="174FD39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5" w:type="pct"/>
            <w:tcBorders>
              <w:top w:val="nil"/>
              <w:left w:val="nil"/>
              <w:bottom w:val="nil"/>
              <w:right w:val="nil"/>
            </w:tcBorders>
            <w:shd w:val="clear" w:color="auto" w:fill="auto"/>
            <w:noWrap/>
            <w:vAlign w:val="center"/>
            <w:hideMark/>
          </w:tcPr>
          <w:p w14:paraId="6C73F7A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9" w:type="pct"/>
            <w:tcBorders>
              <w:top w:val="nil"/>
              <w:left w:val="nil"/>
              <w:bottom w:val="nil"/>
              <w:right w:val="nil"/>
            </w:tcBorders>
            <w:shd w:val="clear" w:color="auto" w:fill="auto"/>
            <w:noWrap/>
            <w:vAlign w:val="center"/>
            <w:hideMark/>
          </w:tcPr>
          <w:p w14:paraId="37EFBDC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0350FA94"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54A9AD7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0C70CD2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5E7B4BF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157" w:type="pct"/>
            <w:tcBorders>
              <w:top w:val="nil"/>
              <w:left w:val="nil"/>
              <w:bottom w:val="nil"/>
              <w:right w:val="nil"/>
            </w:tcBorders>
            <w:shd w:val="clear" w:color="auto" w:fill="auto"/>
            <w:noWrap/>
            <w:vAlign w:val="center"/>
            <w:hideMark/>
          </w:tcPr>
          <w:p w14:paraId="3B1E847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1CCDCB57"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1DFE7BD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46E263B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258" w:type="pct"/>
            <w:tcBorders>
              <w:top w:val="nil"/>
              <w:left w:val="nil"/>
              <w:bottom w:val="nil"/>
              <w:right w:val="nil"/>
            </w:tcBorders>
            <w:shd w:val="clear" w:color="auto" w:fill="auto"/>
            <w:noWrap/>
            <w:vAlign w:val="center"/>
            <w:hideMark/>
          </w:tcPr>
          <w:p w14:paraId="76173CB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2" w:type="pct"/>
            <w:tcBorders>
              <w:top w:val="nil"/>
              <w:left w:val="nil"/>
              <w:bottom w:val="nil"/>
              <w:right w:val="nil"/>
            </w:tcBorders>
            <w:shd w:val="clear" w:color="auto" w:fill="auto"/>
            <w:noWrap/>
            <w:vAlign w:val="center"/>
            <w:hideMark/>
          </w:tcPr>
          <w:p w14:paraId="74801F6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24188CF"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572A57A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0E723FA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0016953"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613265B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3" w:type="pct"/>
            <w:tcBorders>
              <w:top w:val="nil"/>
              <w:left w:val="nil"/>
              <w:bottom w:val="nil"/>
              <w:right w:val="nil"/>
            </w:tcBorders>
            <w:shd w:val="clear" w:color="auto" w:fill="auto"/>
            <w:noWrap/>
            <w:vAlign w:val="center"/>
            <w:hideMark/>
          </w:tcPr>
          <w:p w14:paraId="657467F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3DC5EDDD"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6D42FD6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3E00CC4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3FAAD5D4"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17DA0BC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230251A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3D697A9E" w14:textId="77777777" w:rsidTr="006D6761">
        <w:trPr>
          <w:trHeight w:val="240"/>
        </w:trPr>
        <w:tc>
          <w:tcPr>
            <w:tcW w:w="255" w:type="pct"/>
            <w:tcBorders>
              <w:top w:val="nil"/>
              <w:left w:val="nil"/>
              <w:bottom w:val="nil"/>
              <w:right w:val="nil"/>
            </w:tcBorders>
            <w:shd w:val="clear" w:color="auto" w:fill="auto"/>
            <w:noWrap/>
            <w:vAlign w:val="center"/>
            <w:hideMark/>
          </w:tcPr>
          <w:p w14:paraId="4F39231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Total</w:t>
            </w:r>
          </w:p>
        </w:tc>
        <w:tc>
          <w:tcPr>
            <w:tcW w:w="299" w:type="pct"/>
            <w:tcBorders>
              <w:top w:val="nil"/>
              <w:left w:val="nil"/>
              <w:bottom w:val="nil"/>
              <w:right w:val="nil"/>
            </w:tcBorders>
            <w:shd w:val="clear" w:color="auto" w:fill="auto"/>
            <w:noWrap/>
            <w:vAlign w:val="center"/>
            <w:hideMark/>
          </w:tcPr>
          <w:p w14:paraId="5E05112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100.6</w:t>
            </w:r>
          </w:p>
        </w:tc>
        <w:tc>
          <w:tcPr>
            <w:tcW w:w="145" w:type="pct"/>
            <w:tcBorders>
              <w:top w:val="nil"/>
              <w:left w:val="nil"/>
              <w:bottom w:val="nil"/>
              <w:right w:val="nil"/>
            </w:tcBorders>
            <w:shd w:val="clear" w:color="auto" w:fill="auto"/>
            <w:noWrap/>
            <w:vAlign w:val="center"/>
            <w:hideMark/>
          </w:tcPr>
          <w:p w14:paraId="037034E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255" w:type="pct"/>
            <w:tcBorders>
              <w:top w:val="nil"/>
              <w:left w:val="nil"/>
              <w:bottom w:val="nil"/>
              <w:right w:val="nil"/>
            </w:tcBorders>
            <w:shd w:val="clear" w:color="auto" w:fill="auto"/>
            <w:noWrap/>
            <w:vAlign w:val="center"/>
            <w:hideMark/>
          </w:tcPr>
          <w:p w14:paraId="02A94D3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100.5</w:t>
            </w:r>
          </w:p>
        </w:tc>
        <w:tc>
          <w:tcPr>
            <w:tcW w:w="149" w:type="pct"/>
            <w:tcBorders>
              <w:top w:val="nil"/>
              <w:left w:val="nil"/>
              <w:bottom w:val="nil"/>
              <w:right w:val="nil"/>
            </w:tcBorders>
            <w:shd w:val="clear" w:color="auto" w:fill="auto"/>
            <w:noWrap/>
            <w:vAlign w:val="center"/>
            <w:hideMark/>
          </w:tcPr>
          <w:p w14:paraId="3403262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77DB2F02"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2EA7613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100.8</w:t>
            </w:r>
          </w:p>
        </w:tc>
        <w:tc>
          <w:tcPr>
            <w:tcW w:w="157" w:type="pct"/>
            <w:tcBorders>
              <w:top w:val="nil"/>
              <w:left w:val="nil"/>
              <w:bottom w:val="nil"/>
              <w:right w:val="nil"/>
            </w:tcBorders>
            <w:shd w:val="clear" w:color="auto" w:fill="auto"/>
            <w:noWrap/>
            <w:vAlign w:val="center"/>
            <w:hideMark/>
          </w:tcPr>
          <w:p w14:paraId="6648DCE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269" w:type="pct"/>
            <w:tcBorders>
              <w:top w:val="nil"/>
              <w:left w:val="nil"/>
              <w:bottom w:val="nil"/>
              <w:right w:val="nil"/>
            </w:tcBorders>
            <w:shd w:val="clear" w:color="auto" w:fill="auto"/>
            <w:noWrap/>
            <w:vAlign w:val="center"/>
            <w:hideMark/>
          </w:tcPr>
          <w:p w14:paraId="14509CE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101.4</w:t>
            </w:r>
          </w:p>
        </w:tc>
        <w:tc>
          <w:tcPr>
            <w:tcW w:w="157" w:type="pct"/>
            <w:tcBorders>
              <w:top w:val="nil"/>
              <w:left w:val="nil"/>
              <w:bottom w:val="nil"/>
              <w:right w:val="nil"/>
            </w:tcBorders>
            <w:shd w:val="clear" w:color="auto" w:fill="auto"/>
            <w:noWrap/>
            <w:vAlign w:val="center"/>
            <w:hideMark/>
          </w:tcPr>
          <w:p w14:paraId="739F5EB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62" w:type="pct"/>
            <w:tcBorders>
              <w:top w:val="nil"/>
              <w:left w:val="nil"/>
              <w:bottom w:val="nil"/>
              <w:right w:val="nil"/>
            </w:tcBorders>
            <w:shd w:val="clear" w:color="auto" w:fill="auto"/>
            <w:noWrap/>
            <w:vAlign w:val="center"/>
            <w:hideMark/>
          </w:tcPr>
          <w:p w14:paraId="4400AF47"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6950FDB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100.0</w:t>
            </w:r>
          </w:p>
        </w:tc>
        <w:tc>
          <w:tcPr>
            <w:tcW w:w="152" w:type="pct"/>
            <w:tcBorders>
              <w:top w:val="nil"/>
              <w:left w:val="nil"/>
              <w:bottom w:val="nil"/>
              <w:right w:val="nil"/>
            </w:tcBorders>
            <w:shd w:val="clear" w:color="auto" w:fill="auto"/>
            <w:noWrap/>
            <w:vAlign w:val="center"/>
            <w:hideMark/>
          </w:tcPr>
          <w:p w14:paraId="6323891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258" w:type="pct"/>
            <w:tcBorders>
              <w:top w:val="nil"/>
              <w:left w:val="nil"/>
              <w:bottom w:val="nil"/>
              <w:right w:val="nil"/>
            </w:tcBorders>
            <w:shd w:val="clear" w:color="auto" w:fill="auto"/>
            <w:noWrap/>
            <w:vAlign w:val="center"/>
            <w:hideMark/>
          </w:tcPr>
          <w:p w14:paraId="654FF99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98.9</w:t>
            </w:r>
          </w:p>
        </w:tc>
        <w:tc>
          <w:tcPr>
            <w:tcW w:w="152" w:type="pct"/>
            <w:tcBorders>
              <w:top w:val="nil"/>
              <w:left w:val="nil"/>
              <w:bottom w:val="nil"/>
              <w:right w:val="nil"/>
            </w:tcBorders>
            <w:shd w:val="clear" w:color="auto" w:fill="auto"/>
            <w:noWrap/>
            <w:vAlign w:val="center"/>
            <w:hideMark/>
          </w:tcPr>
          <w:p w14:paraId="48282BA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48200FF8"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1111769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99.7</w:t>
            </w:r>
          </w:p>
        </w:tc>
        <w:tc>
          <w:tcPr>
            <w:tcW w:w="143" w:type="pct"/>
            <w:tcBorders>
              <w:top w:val="nil"/>
              <w:left w:val="nil"/>
              <w:bottom w:val="nil"/>
              <w:right w:val="nil"/>
            </w:tcBorders>
            <w:shd w:val="clear" w:color="auto" w:fill="auto"/>
            <w:noWrap/>
            <w:vAlign w:val="center"/>
            <w:hideMark/>
          </w:tcPr>
          <w:p w14:paraId="65FE212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614A5012"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7AEEB54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100.4</w:t>
            </w:r>
          </w:p>
        </w:tc>
        <w:tc>
          <w:tcPr>
            <w:tcW w:w="143" w:type="pct"/>
            <w:tcBorders>
              <w:top w:val="nil"/>
              <w:left w:val="nil"/>
              <w:bottom w:val="nil"/>
              <w:right w:val="nil"/>
            </w:tcBorders>
            <w:shd w:val="clear" w:color="auto" w:fill="auto"/>
            <w:noWrap/>
            <w:vAlign w:val="center"/>
            <w:hideMark/>
          </w:tcPr>
          <w:p w14:paraId="32AC5BF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195145E3"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5DF2D48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100.2</w:t>
            </w:r>
          </w:p>
        </w:tc>
        <w:tc>
          <w:tcPr>
            <w:tcW w:w="161" w:type="pct"/>
            <w:tcBorders>
              <w:top w:val="nil"/>
              <w:left w:val="nil"/>
              <w:bottom w:val="nil"/>
              <w:right w:val="nil"/>
            </w:tcBorders>
            <w:shd w:val="clear" w:color="auto" w:fill="auto"/>
            <w:noWrap/>
            <w:vAlign w:val="center"/>
            <w:hideMark/>
          </w:tcPr>
          <w:p w14:paraId="47D1232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0.8</w:t>
            </w:r>
          </w:p>
        </w:tc>
        <w:tc>
          <w:tcPr>
            <w:tcW w:w="62" w:type="pct"/>
            <w:tcBorders>
              <w:top w:val="nil"/>
              <w:left w:val="nil"/>
              <w:bottom w:val="nil"/>
              <w:right w:val="nil"/>
            </w:tcBorders>
            <w:shd w:val="clear" w:color="auto" w:fill="auto"/>
            <w:noWrap/>
            <w:vAlign w:val="center"/>
            <w:hideMark/>
          </w:tcPr>
          <w:p w14:paraId="3D3F5C26"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42BEFFB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101.1</w:t>
            </w:r>
          </w:p>
        </w:tc>
        <w:tc>
          <w:tcPr>
            <w:tcW w:w="161" w:type="pct"/>
            <w:tcBorders>
              <w:top w:val="nil"/>
              <w:left w:val="nil"/>
              <w:bottom w:val="nil"/>
              <w:right w:val="nil"/>
            </w:tcBorders>
            <w:shd w:val="clear" w:color="auto" w:fill="auto"/>
            <w:noWrap/>
            <w:vAlign w:val="center"/>
            <w:hideMark/>
          </w:tcPr>
          <w:p w14:paraId="3465B8A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r>
      <w:tr w:rsidR="006D6761" w:rsidRPr="006D6761" w14:paraId="3600ED81" w14:textId="77777777" w:rsidTr="006D6761">
        <w:trPr>
          <w:trHeight w:val="240"/>
        </w:trPr>
        <w:tc>
          <w:tcPr>
            <w:tcW w:w="255" w:type="pct"/>
            <w:tcBorders>
              <w:top w:val="nil"/>
              <w:left w:val="nil"/>
              <w:bottom w:val="nil"/>
              <w:right w:val="nil"/>
            </w:tcBorders>
            <w:shd w:val="clear" w:color="auto" w:fill="auto"/>
            <w:noWrap/>
            <w:vAlign w:val="center"/>
            <w:hideMark/>
          </w:tcPr>
          <w:p w14:paraId="1291CFB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X</w:t>
            </w:r>
            <w:r w:rsidRPr="006D6761">
              <w:rPr>
                <w:rFonts w:eastAsia="Times New Roman"/>
                <w:sz w:val="18"/>
                <w:szCs w:val="18"/>
                <w:vertAlign w:val="subscript"/>
                <w:lang w:val="fr-FR" w:eastAsia="fr-FR"/>
              </w:rPr>
              <w:t>Mg</w:t>
            </w:r>
          </w:p>
        </w:tc>
        <w:tc>
          <w:tcPr>
            <w:tcW w:w="299" w:type="pct"/>
            <w:tcBorders>
              <w:top w:val="nil"/>
              <w:left w:val="nil"/>
              <w:bottom w:val="nil"/>
              <w:right w:val="nil"/>
            </w:tcBorders>
            <w:shd w:val="clear" w:color="auto" w:fill="auto"/>
            <w:noWrap/>
            <w:vAlign w:val="center"/>
            <w:hideMark/>
          </w:tcPr>
          <w:p w14:paraId="7EDABB4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86.1</w:t>
            </w:r>
          </w:p>
        </w:tc>
        <w:tc>
          <w:tcPr>
            <w:tcW w:w="145" w:type="pct"/>
            <w:tcBorders>
              <w:top w:val="nil"/>
              <w:left w:val="nil"/>
              <w:bottom w:val="nil"/>
              <w:right w:val="nil"/>
            </w:tcBorders>
            <w:shd w:val="clear" w:color="auto" w:fill="auto"/>
            <w:noWrap/>
            <w:vAlign w:val="center"/>
            <w:hideMark/>
          </w:tcPr>
          <w:p w14:paraId="284E9EA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w:t>
            </w:r>
          </w:p>
        </w:tc>
        <w:tc>
          <w:tcPr>
            <w:tcW w:w="255" w:type="pct"/>
            <w:tcBorders>
              <w:top w:val="nil"/>
              <w:left w:val="nil"/>
              <w:bottom w:val="nil"/>
              <w:right w:val="nil"/>
            </w:tcBorders>
            <w:shd w:val="clear" w:color="auto" w:fill="auto"/>
            <w:noWrap/>
            <w:vAlign w:val="center"/>
            <w:hideMark/>
          </w:tcPr>
          <w:p w14:paraId="6B29583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88.2</w:t>
            </w:r>
          </w:p>
        </w:tc>
        <w:tc>
          <w:tcPr>
            <w:tcW w:w="149" w:type="pct"/>
            <w:tcBorders>
              <w:top w:val="nil"/>
              <w:left w:val="nil"/>
              <w:bottom w:val="nil"/>
              <w:right w:val="nil"/>
            </w:tcBorders>
            <w:shd w:val="clear" w:color="auto" w:fill="auto"/>
            <w:noWrap/>
            <w:vAlign w:val="center"/>
            <w:hideMark/>
          </w:tcPr>
          <w:p w14:paraId="2C291C6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4032814A"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6C96DBB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88.6</w:t>
            </w:r>
          </w:p>
        </w:tc>
        <w:tc>
          <w:tcPr>
            <w:tcW w:w="157" w:type="pct"/>
            <w:tcBorders>
              <w:top w:val="nil"/>
              <w:left w:val="nil"/>
              <w:bottom w:val="nil"/>
              <w:right w:val="nil"/>
            </w:tcBorders>
            <w:shd w:val="clear" w:color="auto" w:fill="auto"/>
            <w:noWrap/>
            <w:vAlign w:val="center"/>
            <w:hideMark/>
          </w:tcPr>
          <w:p w14:paraId="72788BB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269" w:type="pct"/>
            <w:tcBorders>
              <w:top w:val="nil"/>
              <w:left w:val="nil"/>
              <w:bottom w:val="nil"/>
              <w:right w:val="nil"/>
            </w:tcBorders>
            <w:shd w:val="clear" w:color="auto" w:fill="auto"/>
            <w:noWrap/>
            <w:vAlign w:val="center"/>
            <w:hideMark/>
          </w:tcPr>
          <w:p w14:paraId="159401C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88.9</w:t>
            </w:r>
          </w:p>
        </w:tc>
        <w:tc>
          <w:tcPr>
            <w:tcW w:w="157" w:type="pct"/>
            <w:tcBorders>
              <w:top w:val="nil"/>
              <w:left w:val="nil"/>
              <w:bottom w:val="nil"/>
              <w:right w:val="nil"/>
            </w:tcBorders>
            <w:shd w:val="clear" w:color="auto" w:fill="auto"/>
            <w:noWrap/>
            <w:vAlign w:val="center"/>
            <w:hideMark/>
          </w:tcPr>
          <w:p w14:paraId="6A143E1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259E4D80"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450FDED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87.7</w:t>
            </w:r>
          </w:p>
        </w:tc>
        <w:tc>
          <w:tcPr>
            <w:tcW w:w="152" w:type="pct"/>
            <w:tcBorders>
              <w:top w:val="nil"/>
              <w:left w:val="nil"/>
              <w:bottom w:val="nil"/>
              <w:right w:val="nil"/>
            </w:tcBorders>
            <w:shd w:val="clear" w:color="auto" w:fill="auto"/>
            <w:noWrap/>
            <w:vAlign w:val="center"/>
            <w:hideMark/>
          </w:tcPr>
          <w:p w14:paraId="0CE5F3C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0.7</w:t>
            </w:r>
          </w:p>
        </w:tc>
        <w:tc>
          <w:tcPr>
            <w:tcW w:w="258" w:type="pct"/>
            <w:tcBorders>
              <w:top w:val="nil"/>
              <w:left w:val="nil"/>
              <w:bottom w:val="nil"/>
              <w:right w:val="nil"/>
            </w:tcBorders>
            <w:shd w:val="clear" w:color="auto" w:fill="auto"/>
            <w:noWrap/>
            <w:vAlign w:val="center"/>
            <w:hideMark/>
          </w:tcPr>
          <w:p w14:paraId="6CC58F7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88.0</w:t>
            </w:r>
          </w:p>
        </w:tc>
        <w:tc>
          <w:tcPr>
            <w:tcW w:w="152" w:type="pct"/>
            <w:tcBorders>
              <w:top w:val="nil"/>
              <w:left w:val="nil"/>
              <w:bottom w:val="nil"/>
              <w:right w:val="nil"/>
            </w:tcBorders>
            <w:shd w:val="clear" w:color="auto" w:fill="auto"/>
            <w:noWrap/>
            <w:vAlign w:val="center"/>
            <w:hideMark/>
          </w:tcPr>
          <w:p w14:paraId="721E1D0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0.6</w:t>
            </w:r>
          </w:p>
        </w:tc>
        <w:tc>
          <w:tcPr>
            <w:tcW w:w="62" w:type="pct"/>
            <w:tcBorders>
              <w:top w:val="nil"/>
              <w:left w:val="nil"/>
              <w:bottom w:val="nil"/>
              <w:right w:val="nil"/>
            </w:tcBorders>
            <w:shd w:val="clear" w:color="auto" w:fill="auto"/>
            <w:noWrap/>
            <w:vAlign w:val="center"/>
            <w:hideMark/>
          </w:tcPr>
          <w:p w14:paraId="084C69FE"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768ADDA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89.9</w:t>
            </w:r>
          </w:p>
        </w:tc>
        <w:tc>
          <w:tcPr>
            <w:tcW w:w="143" w:type="pct"/>
            <w:tcBorders>
              <w:top w:val="nil"/>
              <w:left w:val="nil"/>
              <w:bottom w:val="nil"/>
              <w:right w:val="nil"/>
            </w:tcBorders>
            <w:shd w:val="clear" w:color="auto" w:fill="auto"/>
            <w:noWrap/>
            <w:vAlign w:val="center"/>
            <w:hideMark/>
          </w:tcPr>
          <w:p w14:paraId="4866729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1D45D3F5"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1AE1291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87.6</w:t>
            </w:r>
          </w:p>
        </w:tc>
        <w:tc>
          <w:tcPr>
            <w:tcW w:w="143" w:type="pct"/>
            <w:tcBorders>
              <w:top w:val="nil"/>
              <w:left w:val="nil"/>
              <w:bottom w:val="nil"/>
              <w:right w:val="nil"/>
            </w:tcBorders>
            <w:shd w:val="clear" w:color="auto" w:fill="auto"/>
            <w:noWrap/>
            <w:vAlign w:val="center"/>
            <w:hideMark/>
          </w:tcPr>
          <w:p w14:paraId="4AF1E49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3CDC6102"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6D825AD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88.2</w:t>
            </w:r>
          </w:p>
        </w:tc>
        <w:tc>
          <w:tcPr>
            <w:tcW w:w="161" w:type="pct"/>
            <w:tcBorders>
              <w:top w:val="nil"/>
              <w:left w:val="nil"/>
              <w:bottom w:val="nil"/>
              <w:right w:val="nil"/>
            </w:tcBorders>
            <w:shd w:val="clear" w:color="auto" w:fill="auto"/>
            <w:noWrap/>
            <w:vAlign w:val="center"/>
            <w:hideMark/>
          </w:tcPr>
          <w:p w14:paraId="3CE5125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3AFDCB8E"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3576DDA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90.0</w:t>
            </w:r>
          </w:p>
        </w:tc>
        <w:tc>
          <w:tcPr>
            <w:tcW w:w="161" w:type="pct"/>
            <w:tcBorders>
              <w:top w:val="nil"/>
              <w:left w:val="nil"/>
              <w:bottom w:val="nil"/>
              <w:right w:val="nil"/>
            </w:tcBorders>
            <w:shd w:val="clear" w:color="auto" w:fill="auto"/>
            <w:noWrap/>
            <w:vAlign w:val="center"/>
            <w:hideMark/>
          </w:tcPr>
          <w:p w14:paraId="2C222C0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r>
      <w:tr w:rsidR="006D6761" w:rsidRPr="006D6761" w14:paraId="653007FC" w14:textId="77777777" w:rsidTr="006D6761">
        <w:trPr>
          <w:trHeight w:val="240"/>
        </w:trPr>
        <w:tc>
          <w:tcPr>
            <w:tcW w:w="255" w:type="pct"/>
            <w:tcBorders>
              <w:top w:val="nil"/>
              <w:left w:val="nil"/>
              <w:bottom w:val="nil"/>
              <w:right w:val="nil"/>
            </w:tcBorders>
            <w:shd w:val="clear" w:color="auto" w:fill="auto"/>
            <w:noWrap/>
            <w:vAlign w:val="center"/>
            <w:hideMark/>
          </w:tcPr>
          <w:p w14:paraId="5CA42E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X</w:t>
            </w:r>
            <w:r w:rsidRPr="006D6761">
              <w:rPr>
                <w:rFonts w:eastAsia="Times New Roman"/>
                <w:sz w:val="18"/>
                <w:szCs w:val="18"/>
                <w:vertAlign w:val="subscript"/>
                <w:lang w:val="fr-FR" w:eastAsia="fr-FR"/>
              </w:rPr>
              <w:t>Fe</w:t>
            </w:r>
          </w:p>
        </w:tc>
        <w:tc>
          <w:tcPr>
            <w:tcW w:w="299" w:type="pct"/>
            <w:tcBorders>
              <w:top w:val="nil"/>
              <w:left w:val="nil"/>
              <w:bottom w:val="nil"/>
              <w:right w:val="nil"/>
            </w:tcBorders>
            <w:shd w:val="clear" w:color="auto" w:fill="auto"/>
            <w:noWrap/>
            <w:vAlign w:val="center"/>
            <w:hideMark/>
          </w:tcPr>
          <w:p w14:paraId="218E420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13.6</w:t>
            </w:r>
          </w:p>
        </w:tc>
        <w:tc>
          <w:tcPr>
            <w:tcW w:w="145" w:type="pct"/>
            <w:tcBorders>
              <w:top w:val="nil"/>
              <w:left w:val="nil"/>
              <w:bottom w:val="nil"/>
              <w:right w:val="nil"/>
            </w:tcBorders>
            <w:shd w:val="clear" w:color="auto" w:fill="auto"/>
            <w:noWrap/>
            <w:vAlign w:val="center"/>
            <w:hideMark/>
          </w:tcPr>
          <w:p w14:paraId="69881A6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w:t>
            </w:r>
          </w:p>
        </w:tc>
        <w:tc>
          <w:tcPr>
            <w:tcW w:w="255" w:type="pct"/>
            <w:tcBorders>
              <w:top w:val="nil"/>
              <w:left w:val="nil"/>
              <w:bottom w:val="nil"/>
              <w:right w:val="nil"/>
            </w:tcBorders>
            <w:shd w:val="clear" w:color="auto" w:fill="auto"/>
            <w:noWrap/>
            <w:vAlign w:val="center"/>
            <w:hideMark/>
          </w:tcPr>
          <w:p w14:paraId="2568BD2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11.5</w:t>
            </w:r>
          </w:p>
        </w:tc>
        <w:tc>
          <w:tcPr>
            <w:tcW w:w="149" w:type="pct"/>
            <w:tcBorders>
              <w:top w:val="nil"/>
              <w:left w:val="nil"/>
              <w:bottom w:val="nil"/>
              <w:right w:val="nil"/>
            </w:tcBorders>
            <w:shd w:val="clear" w:color="auto" w:fill="auto"/>
            <w:noWrap/>
            <w:vAlign w:val="center"/>
            <w:hideMark/>
          </w:tcPr>
          <w:p w14:paraId="3E2E3B31"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0EA1AA75"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6B15144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11.2</w:t>
            </w:r>
          </w:p>
        </w:tc>
        <w:tc>
          <w:tcPr>
            <w:tcW w:w="157" w:type="pct"/>
            <w:tcBorders>
              <w:top w:val="nil"/>
              <w:left w:val="nil"/>
              <w:bottom w:val="nil"/>
              <w:right w:val="nil"/>
            </w:tcBorders>
            <w:shd w:val="clear" w:color="auto" w:fill="auto"/>
            <w:noWrap/>
            <w:vAlign w:val="center"/>
            <w:hideMark/>
          </w:tcPr>
          <w:p w14:paraId="22B8F15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269" w:type="pct"/>
            <w:tcBorders>
              <w:top w:val="nil"/>
              <w:left w:val="nil"/>
              <w:bottom w:val="nil"/>
              <w:right w:val="nil"/>
            </w:tcBorders>
            <w:shd w:val="clear" w:color="auto" w:fill="auto"/>
            <w:noWrap/>
            <w:vAlign w:val="center"/>
            <w:hideMark/>
          </w:tcPr>
          <w:p w14:paraId="2C0E895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10.9</w:t>
            </w:r>
          </w:p>
        </w:tc>
        <w:tc>
          <w:tcPr>
            <w:tcW w:w="157" w:type="pct"/>
            <w:tcBorders>
              <w:top w:val="nil"/>
              <w:left w:val="nil"/>
              <w:bottom w:val="nil"/>
              <w:right w:val="nil"/>
            </w:tcBorders>
            <w:shd w:val="clear" w:color="auto" w:fill="auto"/>
            <w:noWrap/>
            <w:vAlign w:val="center"/>
            <w:hideMark/>
          </w:tcPr>
          <w:p w14:paraId="44B8A5E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c>
          <w:tcPr>
            <w:tcW w:w="62" w:type="pct"/>
            <w:tcBorders>
              <w:top w:val="nil"/>
              <w:left w:val="nil"/>
              <w:bottom w:val="nil"/>
              <w:right w:val="nil"/>
            </w:tcBorders>
            <w:shd w:val="clear" w:color="auto" w:fill="auto"/>
            <w:noWrap/>
            <w:vAlign w:val="center"/>
            <w:hideMark/>
          </w:tcPr>
          <w:p w14:paraId="7AC25993"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0CF34C8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12.0</w:t>
            </w:r>
          </w:p>
        </w:tc>
        <w:tc>
          <w:tcPr>
            <w:tcW w:w="152" w:type="pct"/>
            <w:tcBorders>
              <w:top w:val="nil"/>
              <w:left w:val="nil"/>
              <w:bottom w:val="nil"/>
              <w:right w:val="nil"/>
            </w:tcBorders>
            <w:shd w:val="clear" w:color="auto" w:fill="auto"/>
            <w:noWrap/>
            <w:vAlign w:val="center"/>
            <w:hideMark/>
          </w:tcPr>
          <w:p w14:paraId="6CCA73C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0.7</w:t>
            </w:r>
          </w:p>
        </w:tc>
        <w:tc>
          <w:tcPr>
            <w:tcW w:w="258" w:type="pct"/>
            <w:tcBorders>
              <w:top w:val="nil"/>
              <w:left w:val="nil"/>
              <w:bottom w:val="nil"/>
              <w:right w:val="nil"/>
            </w:tcBorders>
            <w:shd w:val="clear" w:color="auto" w:fill="auto"/>
            <w:noWrap/>
            <w:vAlign w:val="center"/>
            <w:hideMark/>
          </w:tcPr>
          <w:p w14:paraId="2DC8C31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11.6</w:t>
            </w:r>
          </w:p>
        </w:tc>
        <w:tc>
          <w:tcPr>
            <w:tcW w:w="152" w:type="pct"/>
            <w:tcBorders>
              <w:top w:val="nil"/>
              <w:left w:val="nil"/>
              <w:bottom w:val="nil"/>
              <w:right w:val="nil"/>
            </w:tcBorders>
            <w:shd w:val="clear" w:color="auto" w:fill="auto"/>
            <w:noWrap/>
            <w:vAlign w:val="center"/>
            <w:hideMark/>
          </w:tcPr>
          <w:p w14:paraId="09F0C73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0.5</w:t>
            </w:r>
          </w:p>
        </w:tc>
        <w:tc>
          <w:tcPr>
            <w:tcW w:w="62" w:type="pct"/>
            <w:tcBorders>
              <w:top w:val="nil"/>
              <w:left w:val="nil"/>
              <w:bottom w:val="nil"/>
              <w:right w:val="nil"/>
            </w:tcBorders>
            <w:shd w:val="clear" w:color="auto" w:fill="auto"/>
            <w:noWrap/>
            <w:vAlign w:val="center"/>
            <w:hideMark/>
          </w:tcPr>
          <w:p w14:paraId="751625A5"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6DAF276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9.8</w:t>
            </w:r>
          </w:p>
        </w:tc>
        <w:tc>
          <w:tcPr>
            <w:tcW w:w="143" w:type="pct"/>
            <w:tcBorders>
              <w:top w:val="nil"/>
              <w:left w:val="nil"/>
              <w:bottom w:val="nil"/>
              <w:right w:val="nil"/>
            </w:tcBorders>
            <w:shd w:val="clear" w:color="auto" w:fill="auto"/>
            <w:noWrap/>
            <w:vAlign w:val="center"/>
            <w:hideMark/>
          </w:tcPr>
          <w:p w14:paraId="738742A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2714EF57"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692E9B0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12.1</w:t>
            </w:r>
          </w:p>
        </w:tc>
        <w:tc>
          <w:tcPr>
            <w:tcW w:w="143" w:type="pct"/>
            <w:tcBorders>
              <w:top w:val="nil"/>
              <w:left w:val="nil"/>
              <w:bottom w:val="nil"/>
              <w:right w:val="nil"/>
            </w:tcBorders>
            <w:shd w:val="clear" w:color="auto" w:fill="auto"/>
            <w:noWrap/>
            <w:vAlign w:val="center"/>
            <w:hideMark/>
          </w:tcPr>
          <w:p w14:paraId="3BFDF46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0.4</w:t>
            </w:r>
          </w:p>
        </w:tc>
        <w:tc>
          <w:tcPr>
            <w:tcW w:w="62" w:type="pct"/>
            <w:tcBorders>
              <w:top w:val="nil"/>
              <w:left w:val="nil"/>
              <w:bottom w:val="nil"/>
              <w:right w:val="nil"/>
            </w:tcBorders>
            <w:shd w:val="clear" w:color="auto" w:fill="auto"/>
            <w:noWrap/>
            <w:vAlign w:val="center"/>
            <w:hideMark/>
          </w:tcPr>
          <w:p w14:paraId="18969267"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637B319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11.5</w:t>
            </w:r>
          </w:p>
        </w:tc>
        <w:tc>
          <w:tcPr>
            <w:tcW w:w="161" w:type="pct"/>
            <w:tcBorders>
              <w:top w:val="nil"/>
              <w:left w:val="nil"/>
              <w:bottom w:val="nil"/>
              <w:right w:val="nil"/>
            </w:tcBorders>
            <w:shd w:val="clear" w:color="auto" w:fill="auto"/>
            <w:noWrap/>
            <w:vAlign w:val="center"/>
            <w:hideMark/>
          </w:tcPr>
          <w:p w14:paraId="082B36B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0.2</w:t>
            </w:r>
          </w:p>
        </w:tc>
        <w:tc>
          <w:tcPr>
            <w:tcW w:w="62" w:type="pct"/>
            <w:tcBorders>
              <w:top w:val="nil"/>
              <w:left w:val="nil"/>
              <w:bottom w:val="nil"/>
              <w:right w:val="nil"/>
            </w:tcBorders>
            <w:shd w:val="clear" w:color="auto" w:fill="auto"/>
            <w:noWrap/>
            <w:vAlign w:val="center"/>
            <w:hideMark/>
          </w:tcPr>
          <w:p w14:paraId="7CDEECC8"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0F2EC0D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9.8</w:t>
            </w:r>
          </w:p>
        </w:tc>
        <w:tc>
          <w:tcPr>
            <w:tcW w:w="161" w:type="pct"/>
            <w:tcBorders>
              <w:top w:val="nil"/>
              <w:left w:val="nil"/>
              <w:bottom w:val="nil"/>
              <w:right w:val="nil"/>
            </w:tcBorders>
            <w:shd w:val="clear" w:color="auto" w:fill="auto"/>
            <w:noWrap/>
            <w:vAlign w:val="center"/>
            <w:hideMark/>
          </w:tcPr>
          <w:p w14:paraId="0FA918F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0.3</w:t>
            </w:r>
          </w:p>
        </w:tc>
      </w:tr>
      <w:tr w:rsidR="006D6761" w:rsidRPr="006D6761" w14:paraId="2A84AF31" w14:textId="77777777" w:rsidTr="006D6761">
        <w:trPr>
          <w:trHeight w:val="240"/>
        </w:trPr>
        <w:tc>
          <w:tcPr>
            <w:tcW w:w="255" w:type="pct"/>
            <w:tcBorders>
              <w:top w:val="nil"/>
              <w:left w:val="nil"/>
              <w:bottom w:val="nil"/>
              <w:right w:val="nil"/>
            </w:tcBorders>
            <w:shd w:val="clear" w:color="auto" w:fill="auto"/>
            <w:noWrap/>
            <w:vAlign w:val="center"/>
            <w:hideMark/>
          </w:tcPr>
          <w:p w14:paraId="7EAF2E3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X</w:t>
            </w:r>
            <w:r w:rsidRPr="006D6761">
              <w:rPr>
                <w:rFonts w:eastAsia="Times New Roman"/>
                <w:sz w:val="18"/>
                <w:szCs w:val="18"/>
                <w:vertAlign w:val="subscript"/>
                <w:lang w:val="fr-FR" w:eastAsia="fr-FR"/>
              </w:rPr>
              <w:t>Cr</w:t>
            </w:r>
          </w:p>
        </w:tc>
        <w:tc>
          <w:tcPr>
            <w:tcW w:w="299" w:type="pct"/>
            <w:tcBorders>
              <w:top w:val="nil"/>
              <w:left w:val="nil"/>
              <w:bottom w:val="nil"/>
              <w:right w:val="nil"/>
            </w:tcBorders>
            <w:shd w:val="clear" w:color="auto" w:fill="auto"/>
            <w:noWrap/>
            <w:vAlign w:val="center"/>
            <w:hideMark/>
          </w:tcPr>
          <w:p w14:paraId="218D658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5" w:type="pct"/>
            <w:tcBorders>
              <w:top w:val="nil"/>
              <w:left w:val="nil"/>
              <w:bottom w:val="nil"/>
              <w:right w:val="nil"/>
            </w:tcBorders>
            <w:shd w:val="clear" w:color="auto" w:fill="auto"/>
            <w:noWrap/>
            <w:vAlign w:val="center"/>
            <w:hideMark/>
          </w:tcPr>
          <w:p w14:paraId="487D9D1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5" w:type="pct"/>
            <w:tcBorders>
              <w:top w:val="nil"/>
              <w:left w:val="nil"/>
              <w:bottom w:val="nil"/>
              <w:right w:val="nil"/>
            </w:tcBorders>
            <w:shd w:val="clear" w:color="auto" w:fill="auto"/>
            <w:noWrap/>
            <w:vAlign w:val="center"/>
            <w:hideMark/>
          </w:tcPr>
          <w:p w14:paraId="15FFCD5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49" w:type="pct"/>
            <w:tcBorders>
              <w:top w:val="nil"/>
              <w:left w:val="nil"/>
              <w:bottom w:val="nil"/>
              <w:right w:val="nil"/>
            </w:tcBorders>
            <w:shd w:val="clear" w:color="auto" w:fill="auto"/>
            <w:noWrap/>
            <w:vAlign w:val="center"/>
            <w:hideMark/>
          </w:tcPr>
          <w:p w14:paraId="1175BB4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C9F6F5B" w14:textId="77777777" w:rsidR="006D6761" w:rsidRPr="006D6761" w:rsidRDefault="006D6761" w:rsidP="006D6761">
            <w:pPr>
              <w:jc w:val="center"/>
              <w:rPr>
                <w:rFonts w:eastAsia="Times New Roman"/>
                <w:sz w:val="18"/>
                <w:szCs w:val="18"/>
                <w:lang w:val="fr-FR" w:eastAsia="fr-FR"/>
              </w:rPr>
            </w:pPr>
          </w:p>
        </w:tc>
        <w:tc>
          <w:tcPr>
            <w:tcW w:w="323" w:type="pct"/>
            <w:tcBorders>
              <w:top w:val="nil"/>
              <w:left w:val="nil"/>
              <w:bottom w:val="nil"/>
              <w:right w:val="nil"/>
            </w:tcBorders>
            <w:shd w:val="clear" w:color="auto" w:fill="auto"/>
            <w:noWrap/>
            <w:vAlign w:val="center"/>
            <w:hideMark/>
          </w:tcPr>
          <w:p w14:paraId="3B7FF5F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7" w:type="pct"/>
            <w:tcBorders>
              <w:top w:val="nil"/>
              <w:left w:val="nil"/>
              <w:bottom w:val="nil"/>
              <w:right w:val="nil"/>
            </w:tcBorders>
            <w:shd w:val="clear" w:color="auto" w:fill="auto"/>
            <w:noWrap/>
            <w:vAlign w:val="center"/>
            <w:hideMark/>
          </w:tcPr>
          <w:p w14:paraId="370BBA9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69" w:type="pct"/>
            <w:tcBorders>
              <w:top w:val="nil"/>
              <w:left w:val="nil"/>
              <w:bottom w:val="nil"/>
              <w:right w:val="nil"/>
            </w:tcBorders>
            <w:shd w:val="clear" w:color="auto" w:fill="auto"/>
            <w:noWrap/>
            <w:vAlign w:val="center"/>
            <w:hideMark/>
          </w:tcPr>
          <w:p w14:paraId="580296C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57" w:type="pct"/>
            <w:tcBorders>
              <w:top w:val="nil"/>
              <w:left w:val="nil"/>
              <w:bottom w:val="nil"/>
              <w:right w:val="nil"/>
            </w:tcBorders>
            <w:shd w:val="clear" w:color="auto" w:fill="auto"/>
            <w:noWrap/>
            <w:vAlign w:val="center"/>
            <w:hideMark/>
          </w:tcPr>
          <w:p w14:paraId="765F8BF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A8A4320" w14:textId="77777777" w:rsidR="006D6761" w:rsidRPr="006D6761" w:rsidRDefault="006D6761" w:rsidP="006D6761">
            <w:pPr>
              <w:jc w:val="center"/>
              <w:rPr>
                <w:rFonts w:eastAsia="Times New Roman"/>
                <w:sz w:val="18"/>
                <w:szCs w:val="18"/>
                <w:lang w:val="fr-FR" w:eastAsia="fr-FR"/>
              </w:rPr>
            </w:pPr>
          </w:p>
        </w:tc>
        <w:tc>
          <w:tcPr>
            <w:tcW w:w="312" w:type="pct"/>
            <w:tcBorders>
              <w:top w:val="nil"/>
              <w:left w:val="nil"/>
              <w:bottom w:val="nil"/>
              <w:right w:val="nil"/>
            </w:tcBorders>
            <w:shd w:val="clear" w:color="auto" w:fill="auto"/>
            <w:noWrap/>
            <w:vAlign w:val="center"/>
            <w:hideMark/>
          </w:tcPr>
          <w:p w14:paraId="353DF0C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2" w:type="pct"/>
            <w:tcBorders>
              <w:top w:val="nil"/>
              <w:left w:val="nil"/>
              <w:bottom w:val="nil"/>
              <w:right w:val="nil"/>
            </w:tcBorders>
            <w:shd w:val="clear" w:color="auto" w:fill="auto"/>
            <w:noWrap/>
            <w:vAlign w:val="center"/>
            <w:hideMark/>
          </w:tcPr>
          <w:p w14:paraId="244AC71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258" w:type="pct"/>
            <w:tcBorders>
              <w:top w:val="nil"/>
              <w:left w:val="nil"/>
              <w:bottom w:val="nil"/>
              <w:right w:val="nil"/>
            </w:tcBorders>
            <w:shd w:val="clear" w:color="auto" w:fill="auto"/>
            <w:noWrap/>
            <w:vAlign w:val="center"/>
            <w:hideMark/>
          </w:tcPr>
          <w:p w14:paraId="63C41A5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52" w:type="pct"/>
            <w:tcBorders>
              <w:top w:val="nil"/>
              <w:left w:val="nil"/>
              <w:bottom w:val="nil"/>
              <w:right w:val="nil"/>
            </w:tcBorders>
            <w:shd w:val="clear" w:color="auto" w:fill="auto"/>
            <w:noWrap/>
            <w:vAlign w:val="center"/>
            <w:hideMark/>
          </w:tcPr>
          <w:p w14:paraId="7534424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70E00F49"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5EB74DD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3" w:type="pct"/>
            <w:tcBorders>
              <w:top w:val="nil"/>
              <w:left w:val="nil"/>
              <w:bottom w:val="nil"/>
              <w:right w:val="nil"/>
            </w:tcBorders>
            <w:shd w:val="clear" w:color="auto" w:fill="auto"/>
            <w:noWrap/>
            <w:vAlign w:val="center"/>
            <w:hideMark/>
          </w:tcPr>
          <w:p w14:paraId="393227B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542A85ED" w14:textId="77777777" w:rsidR="006D6761" w:rsidRPr="006D6761" w:rsidRDefault="006D6761" w:rsidP="006D6761">
            <w:pPr>
              <w:jc w:val="center"/>
              <w:rPr>
                <w:rFonts w:eastAsia="Times New Roman"/>
                <w:sz w:val="18"/>
                <w:szCs w:val="18"/>
                <w:lang w:val="fr-FR" w:eastAsia="fr-FR"/>
              </w:rPr>
            </w:pPr>
          </w:p>
        </w:tc>
        <w:tc>
          <w:tcPr>
            <w:tcW w:w="294" w:type="pct"/>
            <w:tcBorders>
              <w:top w:val="nil"/>
              <w:left w:val="nil"/>
              <w:bottom w:val="nil"/>
              <w:right w:val="nil"/>
            </w:tcBorders>
            <w:shd w:val="clear" w:color="auto" w:fill="auto"/>
            <w:noWrap/>
            <w:vAlign w:val="center"/>
            <w:hideMark/>
          </w:tcPr>
          <w:p w14:paraId="7E60A4E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43" w:type="pct"/>
            <w:tcBorders>
              <w:top w:val="nil"/>
              <w:left w:val="nil"/>
              <w:bottom w:val="nil"/>
              <w:right w:val="nil"/>
            </w:tcBorders>
            <w:shd w:val="clear" w:color="auto" w:fill="auto"/>
            <w:noWrap/>
            <w:vAlign w:val="center"/>
            <w:hideMark/>
          </w:tcPr>
          <w:p w14:paraId="5CA2D03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6D19A9F6"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0C9A2B1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161" w:type="pct"/>
            <w:tcBorders>
              <w:top w:val="nil"/>
              <w:left w:val="nil"/>
              <w:bottom w:val="nil"/>
              <w:right w:val="nil"/>
            </w:tcBorders>
            <w:shd w:val="clear" w:color="auto" w:fill="auto"/>
            <w:noWrap/>
            <w:vAlign w:val="center"/>
            <w:hideMark/>
          </w:tcPr>
          <w:p w14:paraId="1174F55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c>
          <w:tcPr>
            <w:tcW w:w="62" w:type="pct"/>
            <w:tcBorders>
              <w:top w:val="nil"/>
              <w:left w:val="nil"/>
              <w:bottom w:val="nil"/>
              <w:right w:val="nil"/>
            </w:tcBorders>
            <w:shd w:val="clear" w:color="auto" w:fill="auto"/>
            <w:noWrap/>
            <w:vAlign w:val="center"/>
            <w:hideMark/>
          </w:tcPr>
          <w:p w14:paraId="4EF4E378" w14:textId="77777777" w:rsidR="006D6761" w:rsidRPr="006D6761" w:rsidRDefault="006D6761" w:rsidP="006D6761">
            <w:pPr>
              <w:jc w:val="center"/>
              <w:rPr>
                <w:rFonts w:eastAsia="Times New Roman"/>
                <w:sz w:val="18"/>
                <w:szCs w:val="18"/>
                <w:lang w:val="fr-FR" w:eastAsia="fr-FR"/>
              </w:rPr>
            </w:pPr>
          </w:p>
        </w:tc>
        <w:tc>
          <w:tcPr>
            <w:tcW w:w="276" w:type="pct"/>
            <w:tcBorders>
              <w:top w:val="nil"/>
              <w:left w:val="nil"/>
              <w:bottom w:val="nil"/>
              <w:right w:val="nil"/>
            </w:tcBorders>
            <w:shd w:val="clear" w:color="auto" w:fill="auto"/>
            <w:noWrap/>
            <w:vAlign w:val="center"/>
            <w:hideMark/>
          </w:tcPr>
          <w:p w14:paraId="23C75CC5"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0.1</w:t>
            </w:r>
          </w:p>
        </w:tc>
        <w:tc>
          <w:tcPr>
            <w:tcW w:w="161" w:type="pct"/>
            <w:tcBorders>
              <w:top w:val="nil"/>
              <w:left w:val="nil"/>
              <w:bottom w:val="nil"/>
              <w:right w:val="nil"/>
            </w:tcBorders>
            <w:shd w:val="clear" w:color="auto" w:fill="auto"/>
            <w:noWrap/>
            <w:vAlign w:val="center"/>
            <w:hideMark/>
          </w:tcPr>
          <w:p w14:paraId="323EB3C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0.0</w:t>
            </w:r>
          </w:p>
        </w:tc>
      </w:tr>
      <w:tr w:rsidR="006D6761" w:rsidRPr="006D6761" w14:paraId="0F0DBAF7" w14:textId="77777777" w:rsidTr="006D6761">
        <w:trPr>
          <w:trHeight w:val="240"/>
        </w:trPr>
        <w:tc>
          <w:tcPr>
            <w:tcW w:w="255" w:type="pct"/>
            <w:tcBorders>
              <w:top w:val="nil"/>
              <w:left w:val="nil"/>
              <w:bottom w:val="single" w:sz="4" w:space="0" w:color="auto"/>
              <w:right w:val="nil"/>
            </w:tcBorders>
            <w:shd w:val="clear" w:color="auto" w:fill="auto"/>
            <w:noWrap/>
            <w:vAlign w:val="center"/>
            <w:hideMark/>
          </w:tcPr>
          <w:p w14:paraId="3F41BDF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Cr#</w:t>
            </w:r>
          </w:p>
        </w:tc>
        <w:tc>
          <w:tcPr>
            <w:tcW w:w="299" w:type="pct"/>
            <w:tcBorders>
              <w:top w:val="nil"/>
              <w:left w:val="nil"/>
              <w:bottom w:val="single" w:sz="4" w:space="0" w:color="auto"/>
              <w:right w:val="nil"/>
            </w:tcBorders>
            <w:shd w:val="clear" w:color="auto" w:fill="auto"/>
            <w:noWrap/>
            <w:vAlign w:val="center"/>
            <w:hideMark/>
          </w:tcPr>
          <w:p w14:paraId="5821C4C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10.9</w:t>
            </w:r>
          </w:p>
        </w:tc>
        <w:tc>
          <w:tcPr>
            <w:tcW w:w="145" w:type="pct"/>
            <w:tcBorders>
              <w:top w:val="nil"/>
              <w:left w:val="nil"/>
              <w:bottom w:val="single" w:sz="4" w:space="0" w:color="auto"/>
              <w:right w:val="nil"/>
            </w:tcBorders>
            <w:shd w:val="clear" w:color="auto" w:fill="auto"/>
            <w:noWrap/>
            <w:vAlign w:val="center"/>
            <w:hideMark/>
          </w:tcPr>
          <w:p w14:paraId="2286355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55" w:type="pct"/>
            <w:tcBorders>
              <w:top w:val="nil"/>
              <w:left w:val="nil"/>
              <w:bottom w:val="single" w:sz="4" w:space="0" w:color="auto"/>
              <w:right w:val="nil"/>
            </w:tcBorders>
            <w:shd w:val="clear" w:color="auto" w:fill="auto"/>
            <w:noWrap/>
            <w:vAlign w:val="center"/>
            <w:hideMark/>
          </w:tcPr>
          <w:p w14:paraId="11BA50C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2.2</w:t>
            </w:r>
          </w:p>
        </w:tc>
        <w:tc>
          <w:tcPr>
            <w:tcW w:w="149" w:type="pct"/>
            <w:tcBorders>
              <w:top w:val="nil"/>
              <w:left w:val="nil"/>
              <w:bottom w:val="single" w:sz="4" w:space="0" w:color="auto"/>
              <w:right w:val="nil"/>
            </w:tcBorders>
            <w:shd w:val="clear" w:color="auto" w:fill="auto"/>
            <w:noWrap/>
            <w:vAlign w:val="center"/>
            <w:hideMark/>
          </w:tcPr>
          <w:p w14:paraId="33B8F4C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62" w:type="pct"/>
            <w:tcBorders>
              <w:top w:val="nil"/>
              <w:left w:val="nil"/>
              <w:bottom w:val="single" w:sz="4" w:space="0" w:color="auto"/>
              <w:right w:val="nil"/>
            </w:tcBorders>
            <w:shd w:val="clear" w:color="auto" w:fill="auto"/>
            <w:noWrap/>
            <w:vAlign w:val="center"/>
            <w:hideMark/>
          </w:tcPr>
          <w:p w14:paraId="59922E2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323" w:type="pct"/>
            <w:tcBorders>
              <w:top w:val="nil"/>
              <w:left w:val="nil"/>
              <w:bottom w:val="single" w:sz="4" w:space="0" w:color="auto"/>
              <w:right w:val="nil"/>
            </w:tcBorders>
            <w:shd w:val="clear" w:color="auto" w:fill="auto"/>
            <w:noWrap/>
            <w:vAlign w:val="center"/>
            <w:hideMark/>
          </w:tcPr>
          <w:p w14:paraId="5801AE83"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16.4</w:t>
            </w:r>
          </w:p>
        </w:tc>
        <w:tc>
          <w:tcPr>
            <w:tcW w:w="157" w:type="pct"/>
            <w:tcBorders>
              <w:top w:val="nil"/>
              <w:left w:val="nil"/>
              <w:bottom w:val="single" w:sz="4" w:space="0" w:color="auto"/>
              <w:right w:val="nil"/>
            </w:tcBorders>
            <w:shd w:val="clear" w:color="auto" w:fill="auto"/>
            <w:noWrap/>
            <w:vAlign w:val="center"/>
            <w:hideMark/>
          </w:tcPr>
          <w:p w14:paraId="5390CCB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69" w:type="pct"/>
            <w:tcBorders>
              <w:top w:val="nil"/>
              <w:left w:val="nil"/>
              <w:bottom w:val="single" w:sz="4" w:space="0" w:color="auto"/>
              <w:right w:val="nil"/>
            </w:tcBorders>
            <w:shd w:val="clear" w:color="auto" w:fill="auto"/>
            <w:noWrap/>
            <w:vAlign w:val="bottom"/>
            <w:hideMark/>
          </w:tcPr>
          <w:p w14:paraId="7509EB8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4.8</w:t>
            </w:r>
          </w:p>
        </w:tc>
        <w:tc>
          <w:tcPr>
            <w:tcW w:w="157" w:type="pct"/>
            <w:tcBorders>
              <w:top w:val="nil"/>
              <w:left w:val="nil"/>
              <w:bottom w:val="single" w:sz="4" w:space="0" w:color="auto"/>
              <w:right w:val="nil"/>
            </w:tcBorders>
            <w:shd w:val="clear" w:color="auto" w:fill="auto"/>
            <w:noWrap/>
            <w:vAlign w:val="bottom"/>
            <w:hideMark/>
          </w:tcPr>
          <w:p w14:paraId="189EA272" w14:textId="77777777" w:rsidR="006D6761" w:rsidRPr="006D6761" w:rsidRDefault="006D6761" w:rsidP="006D6761">
            <w:pPr>
              <w:rPr>
                <w:rFonts w:eastAsia="Times New Roman"/>
                <w:sz w:val="18"/>
                <w:szCs w:val="18"/>
                <w:lang w:val="fr-FR" w:eastAsia="fr-FR"/>
              </w:rPr>
            </w:pPr>
            <w:r w:rsidRPr="006D6761">
              <w:rPr>
                <w:rFonts w:eastAsia="Times New Roman"/>
                <w:sz w:val="18"/>
                <w:szCs w:val="18"/>
                <w:lang w:val="fr-FR" w:eastAsia="fr-FR"/>
              </w:rPr>
              <w:t> </w:t>
            </w:r>
          </w:p>
        </w:tc>
        <w:tc>
          <w:tcPr>
            <w:tcW w:w="62" w:type="pct"/>
            <w:tcBorders>
              <w:top w:val="nil"/>
              <w:left w:val="nil"/>
              <w:bottom w:val="single" w:sz="4" w:space="0" w:color="auto"/>
              <w:right w:val="nil"/>
            </w:tcBorders>
            <w:shd w:val="clear" w:color="auto" w:fill="auto"/>
            <w:noWrap/>
            <w:vAlign w:val="center"/>
            <w:hideMark/>
          </w:tcPr>
          <w:p w14:paraId="18CAACA2"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312" w:type="pct"/>
            <w:tcBorders>
              <w:top w:val="nil"/>
              <w:left w:val="nil"/>
              <w:bottom w:val="single" w:sz="4" w:space="0" w:color="auto"/>
              <w:right w:val="nil"/>
            </w:tcBorders>
            <w:shd w:val="clear" w:color="auto" w:fill="auto"/>
            <w:noWrap/>
            <w:vAlign w:val="center"/>
            <w:hideMark/>
          </w:tcPr>
          <w:p w14:paraId="324D85B0"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21.4</w:t>
            </w:r>
          </w:p>
        </w:tc>
        <w:tc>
          <w:tcPr>
            <w:tcW w:w="152" w:type="pct"/>
            <w:tcBorders>
              <w:top w:val="nil"/>
              <w:left w:val="nil"/>
              <w:bottom w:val="single" w:sz="4" w:space="0" w:color="auto"/>
              <w:right w:val="nil"/>
            </w:tcBorders>
            <w:shd w:val="clear" w:color="auto" w:fill="auto"/>
            <w:noWrap/>
            <w:vAlign w:val="center"/>
            <w:hideMark/>
          </w:tcPr>
          <w:p w14:paraId="630E8BAD"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58" w:type="pct"/>
            <w:tcBorders>
              <w:top w:val="nil"/>
              <w:left w:val="nil"/>
              <w:bottom w:val="single" w:sz="4" w:space="0" w:color="auto"/>
              <w:right w:val="nil"/>
            </w:tcBorders>
            <w:shd w:val="clear" w:color="auto" w:fill="auto"/>
            <w:noWrap/>
            <w:vAlign w:val="center"/>
            <w:hideMark/>
          </w:tcPr>
          <w:p w14:paraId="4011446A"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14.6</w:t>
            </w:r>
          </w:p>
        </w:tc>
        <w:tc>
          <w:tcPr>
            <w:tcW w:w="152" w:type="pct"/>
            <w:tcBorders>
              <w:top w:val="nil"/>
              <w:left w:val="nil"/>
              <w:bottom w:val="single" w:sz="4" w:space="0" w:color="auto"/>
              <w:right w:val="nil"/>
            </w:tcBorders>
            <w:shd w:val="clear" w:color="auto" w:fill="auto"/>
            <w:noWrap/>
            <w:vAlign w:val="center"/>
            <w:hideMark/>
          </w:tcPr>
          <w:p w14:paraId="717A64CE"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62" w:type="pct"/>
            <w:tcBorders>
              <w:top w:val="nil"/>
              <w:left w:val="nil"/>
              <w:bottom w:val="single" w:sz="4" w:space="0" w:color="auto"/>
              <w:right w:val="nil"/>
            </w:tcBorders>
            <w:shd w:val="clear" w:color="auto" w:fill="auto"/>
            <w:noWrap/>
            <w:vAlign w:val="center"/>
            <w:hideMark/>
          </w:tcPr>
          <w:p w14:paraId="7F7A2BE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94" w:type="pct"/>
            <w:tcBorders>
              <w:top w:val="nil"/>
              <w:left w:val="nil"/>
              <w:bottom w:val="single" w:sz="4" w:space="0" w:color="auto"/>
              <w:right w:val="nil"/>
            </w:tcBorders>
            <w:shd w:val="clear" w:color="auto" w:fill="auto"/>
            <w:noWrap/>
            <w:vAlign w:val="center"/>
            <w:hideMark/>
          </w:tcPr>
          <w:p w14:paraId="0CF3C49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10.0</w:t>
            </w:r>
          </w:p>
        </w:tc>
        <w:tc>
          <w:tcPr>
            <w:tcW w:w="143" w:type="pct"/>
            <w:tcBorders>
              <w:top w:val="nil"/>
              <w:left w:val="nil"/>
              <w:bottom w:val="single" w:sz="4" w:space="0" w:color="auto"/>
              <w:right w:val="nil"/>
            </w:tcBorders>
            <w:shd w:val="clear" w:color="auto" w:fill="auto"/>
            <w:noWrap/>
            <w:vAlign w:val="center"/>
            <w:hideMark/>
          </w:tcPr>
          <w:p w14:paraId="7EC9B62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62" w:type="pct"/>
            <w:tcBorders>
              <w:top w:val="nil"/>
              <w:left w:val="nil"/>
              <w:bottom w:val="single" w:sz="4" w:space="0" w:color="auto"/>
              <w:right w:val="nil"/>
            </w:tcBorders>
            <w:shd w:val="clear" w:color="auto" w:fill="auto"/>
            <w:noWrap/>
            <w:vAlign w:val="center"/>
            <w:hideMark/>
          </w:tcPr>
          <w:p w14:paraId="1B5F2768"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94" w:type="pct"/>
            <w:tcBorders>
              <w:top w:val="nil"/>
              <w:left w:val="nil"/>
              <w:bottom w:val="single" w:sz="4" w:space="0" w:color="auto"/>
              <w:right w:val="nil"/>
            </w:tcBorders>
            <w:shd w:val="clear" w:color="auto" w:fill="auto"/>
            <w:noWrap/>
            <w:vAlign w:val="center"/>
            <w:hideMark/>
          </w:tcPr>
          <w:p w14:paraId="2C777DD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21.8</w:t>
            </w:r>
          </w:p>
        </w:tc>
        <w:tc>
          <w:tcPr>
            <w:tcW w:w="143" w:type="pct"/>
            <w:tcBorders>
              <w:top w:val="nil"/>
              <w:left w:val="nil"/>
              <w:bottom w:val="single" w:sz="4" w:space="0" w:color="auto"/>
              <w:right w:val="nil"/>
            </w:tcBorders>
            <w:shd w:val="clear" w:color="auto" w:fill="auto"/>
            <w:noWrap/>
            <w:vAlign w:val="center"/>
            <w:hideMark/>
          </w:tcPr>
          <w:p w14:paraId="7F23C917"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62" w:type="pct"/>
            <w:tcBorders>
              <w:top w:val="nil"/>
              <w:left w:val="nil"/>
              <w:bottom w:val="single" w:sz="4" w:space="0" w:color="auto"/>
              <w:right w:val="nil"/>
            </w:tcBorders>
            <w:shd w:val="clear" w:color="auto" w:fill="auto"/>
            <w:noWrap/>
            <w:vAlign w:val="center"/>
            <w:hideMark/>
          </w:tcPr>
          <w:p w14:paraId="1AE680B4"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76" w:type="pct"/>
            <w:tcBorders>
              <w:top w:val="nil"/>
              <w:left w:val="nil"/>
              <w:bottom w:val="single" w:sz="4" w:space="0" w:color="auto"/>
              <w:right w:val="nil"/>
            </w:tcBorders>
            <w:shd w:val="clear" w:color="auto" w:fill="auto"/>
            <w:noWrap/>
            <w:vAlign w:val="center"/>
            <w:hideMark/>
          </w:tcPr>
          <w:p w14:paraId="17E42AEC"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5.5</w:t>
            </w:r>
          </w:p>
        </w:tc>
        <w:tc>
          <w:tcPr>
            <w:tcW w:w="161" w:type="pct"/>
            <w:tcBorders>
              <w:top w:val="nil"/>
              <w:left w:val="nil"/>
              <w:bottom w:val="single" w:sz="4" w:space="0" w:color="auto"/>
              <w:right w:val="nil"/>
            </w:tcBorders>
            <w:shd w:val="clear" w:color="auto" w:fill="auto"/>
            <w:noWrap/>
            <w:vAlign w:val="center"/>
            <w:hideMark/>
          </w:tcPr>
          <w:p w14:paraId="274F55AF"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62" w:type="pct"/>
            <w:tcBorders>
              <w:top w:val="nil"/>
              <w:left w:val="nil"/>
              <w:bottom w:val="single" w:sz="4" w:space="0" w:color="auto"/>
              <w:right w:val="nil"/>
            </w:tcBorders>
            <w:shd w:val="clear" w:color="auto" w:fill="auto"/>
            <w:noWrap/>
            <w:vAlign w:val="center"/>
            <w:hideMark/>
          </w:tcPr>
          <w:p w14:paraId="2996EC06"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c>
          <w:tcPr>
            <w:tcW w:w="276" w:type="pct"/>
            <w:tcBorders>
              <w:top w:val="nil"/>
              <w:left w:val="nil"/>
              <w:bottom w:val="single" w:sz="4" w:space="0" w:color="auto"/>
              <w:right w:val="nil"/>
            </w:tcBorders>
            <w:shd w:val="clear" w:color="auto" w:fill="auto"/>
            <w:noWrap/>
            <w:vAlign w:val="center"/>
            <w:hideMark/>
          </w:tcPr>
          <w:p w14:paraId="1DE966AB"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22.2</w:t>
            </w:r>
          </w:p>
        </w:tc>
        <w:tc>
          <w:tcPr>
            <w:tcW w:w="161" w:type="pct"/>
            <w:tcBorders>
              <w:top w:val="nil"/>
              <w:left w:val="nil"/>
              <w:bottom w:val="single" w:sz="4" w:space="0" w:color="auto"/>
              <w:right w:val="nil"/>
            </w:tcBorders>
            <w:shd w:val="clear" w:color="auto" w:fill="auto"/>
            <w:noWrap/>
            <w:vAlign w:val="center"/>
            <w:hideMark/>
          </w:tcPr>
          <w:p w14:paraId="1E146259" w14:textId="77777777" w:rsidR="006D6761" w:rsidRPr="006D6761" w:rsidRDefault="006D6761" w:rsidP="006D6761">
            <w:pPr>
              <w:jc w:val="center"/>
              <w:rPr>
                <w:rFonts w:eastAsia="Times New Roman"/>
                <w:sz w:val="18"/>
                <w:szCs w:val="18"/>
                <w:lang w:val="fr-FR" w:eastAsia="fr-FR"/>
              </w:rPr>
            </w:pPr>
            <w:r w:rsidRPr="006D6761">
              <w:rPr>
                <w:rFonts w:eastAsia="Times New Roman"/>
                <w:sz w:val="18"/>
                <w:szCs w:val="18"/>
                <w:lang w:val="fr-FR" w:eastAsia="fr-FR"/>
              </w:rPr>
              <w:t> </w:t>
            </w:r>
          </w:p>
        </w:tc>
      </w:tr>
    </w:tbl>
    <w:p w14:paraId="562A7CD5" w14:textId="77777777" w:rsidR="00566AB1" w:rsidRPr="006D6761" w:rsidRDefault="00566AB1" w:rsidP="00F33F0C">
      <w:pPr>
        <w:rPr>
          <w:rStyle w:val="Strong"/>
          <w:b w:val="0"/>
          <w:sz w:val="18"/>
          <w:szCs w:val="18"/>
        </w:rPr>
      </w:pPr>
    </w:p>
    <w:p w14:paraId="4B6CD92D" w14:textId="77777777" w:rsidR="00E84C0F" w:rsidRDefault="00E84C0F" w:rsidP="008E3798">
      <w:pPr>
        <w:tabs>
          <w:tab w:val="left" w:pos="912"/>
        </w:tabs>
        <w:spacing w:after="120"/>
        <w:jc w:val="both"/>
        <w:rPr>
          <w:rStyle w:val="Strong"/>
          <w:b w:val="0"/>
          <w:sz w:val="18"/>
          <w:szCs w:val="18"/>
        </w:rPr>
      </w:pPr>
    </w:p>
    <w:p w14:paraId="6F21C15A" w14:textId="77777777" w:rsidR="006D6761" w:rsidRDefault="006D6761" w:rsidP="008E3798">
      <w:pPr>
        <w:tabs>
          <w:tab w:val="left" w:pos="912"/>
        </w:tabs>
        <w:spacing w:after="120"/>
        <w:jc w:val="both"/>
        <w:rPr>
          <w:rStyle w:val="Strong"/>
          <w:b w:val="0"/>
          <w:sz w:val="18"/>
          <w:szCs w:val="18"/>
        </w:rPr>
      </w:pPr>
    </w:p>
    <w:p w14:paraId="7D039459" w14:textId="77777777" w:rsidR="006D6761" w:rsidRDefault="006D6761" w:rsidP="008E3798">
      <w:pPr>
        <w:tabs>
          <w:tab w:val="left" w:pos="912"/>
        </w:tabs>
        <w:spacing w:after="120"/>
        <w:jc w:val="both"/>
        <w:rPr>
          <w:rStyle w:val="Strong"/>
          <w:b w:val="0"/>
          <w:sz w:val="18"/>
          <w:szCs w:val="18"/>
        </w:rPr>
      </w:pPr>
    </w:p>
    <w:p w14:paraId="0D5F27E0" w14:textId="77777777" w:rsidR="006D6761" w:rsidRDefault="006D6761" w:rsidP="008E3798">
      <w:pPr>
        <w:tabs>
          <w:tab w:val="left" w:pos="912"/>
        </w:tabs>
        <w:spacing w:after="120"/>
        <w:jc w:val="both"/>
        <w:rPr>
          <w:rStyle w:val="Strong"/>
          <w:b w:val="0"/>
          <w:sz w:val="18"/>
          <w:szCs w:val="18"/>
        </w:rPr>
      </w:pPr>
    </w:p>
    <w:p w14:paraId="16897480" w14:textId="77777777" w:rsidR="006D6761" w:rsidRDefault="006D6761" w:rsidP="008E3798">
      <w:pPr>
        <w:tabs>
          <w:tab w:val="left" w:pos="912"/>
        </w:tabs>
        <w:spacing w:after="120"/>
        <w:jc w:val="both"/>
        <w:rPr>
          <w:rStyle w:val="Strong"/>
          <w:b w:val="0"/>
          <w:sz w:val="18"/>
          <w:szCs w:val="18"/>
        </w:rPr>
      </w:pPr>
    </w:p>
    <w:p w14:paraId="324707DA" w14:textId="77777777" w:rsidR="006D6761" w:rsidRDefault="006D6761" w:rsidP="008E3798">
      <w:pPr>
        <w:tabs>
          <w:tab w:val="left" w:pos="912"/>
        </w:tabs>
        <w:spacing w:after="120"/>
        <w:jc w:val="both"/>
        <w:rPr>
          <w:rStyle w:val="Strong"/>
          <w:b w:val="0"/>
          <w:sz w:val="18"/>
          <w:szCs w:val="18"/>
        </w:rPr>
      </w:pPr>
    </w:p>
    <w:p w14:paraId="6A04F642" w14:textId="77777777" w:rsidR="006D6761" w:rsidRPr="006D6761" w:rsidRDefault="006D6761" w:rsidP="008E3798">
      <w:pPr>
        <w:tabs>
          <w:tab w:val="left" w:pos="912"/>
        </w:tabs>
        <w:spacing w:after="120"/>
        <w:jc w:val="both"/>
        <w:rPr>
          <w:rStyle w:val="Strong"/>
          <w:b w:val="0"/>
          <w:sz w:val="18"/>
          <w:szCs w:val="18"/>
        </w:rPr>
      </w:pPr>
    </w:p>
    <w:p w14:paraId="51C76688" w14:textId="37FACE66" w:rsidR="00120E5F" w:rsidRDefault="00120E5F" w:rsidP="00120E5F">
      <w:pPr>
        <w:pStyle w:val="FigureorTableCaption"/>
      </w:pPr>
      <w:proofErr w:type="gramStart"/>
      <w:r w:rsidRPr="00022B05">
        <w:rPr>
          <w:b/>
        </w:rPr>
        <w:lastRenderedPageBreak/>
        <w:t xml:space="preserve">Table </w:t>
      </w:r>
      <w:r>
        <w:rPr>
          <w:b/>
        </w:rPr>
        <w:t>8</w:t>
      </w:r>
      <w:r w:rsidRPr="00022B05">
        <w:rPr>
          <w:b/>
        </w:rPr>
        <w:t>.</w:t>
      </w:r>
      <w:proofErr w:type="gramEnd"/>
      <w:r w:rsidRPr="00022B05">
        <w:t xml:space="preserve"> </w:t>
      </w:r>
      <w:r w:rsidRPr="00E313B9">
        <w:rPr>
          <w:color w:val="000000"/>
        </w:rPr>
        <w:t>Major element compositions (</w:t>
      </w:r>
      <w:proofErr w:type="gramStart"/>
      <w:r w:rsidRPr="00E313B9">
        <w:rPr>
          <w:color w:val="000000"/>
        </w:rPr>
        <w:t>wt%</w:t>
      </w:r>
      <w:proofErr w:type="gramEnd"/>
      <w:r w:rsidRPr="00E313B9">
        <w:rPr>
          <w:color w:val="000000"/>
        </w:rPr>
        <w:t xml:space="preserve">) of </w:t>
      </w:r>
      <w:r>
        <w:rPr>
          <w:color w:val="000000"/>
        </w:rPr>
        <w:t>olivines</w:t>
      </w:r>
      <w:r w:rsidRPr="00E313B9">
        <w:rPr>
          <w:color w:val="000000"/>
        </w:rPr>
        <w:t xml:space="preserve"> of representative plagioclase-bearing ultramafic rocks. Average composition of several </w:t>
      </w:r>
      <w:r>
        <w:rPr>
          <w:color w:val="000000"/>
        </w:rPr>
        <w:t>olivine</w:t>
      </w:r>
      <w:r w:rsidRPr="00E313B9">
        <w:rPr>
          <w:color w:val="000000"/>
        </w:rPr>
        <w:t xml:space="preserve"> grains in each sample. Error bars: ±1 </w:t>
      </w:r>
      <w:proofErr w:type="gramStart"/>
      <w:r w:rsidRPr="00E313B9">
        <w:rPr>
          <w:color w:val="000000"/>
        </w:rPr>
        <w:t>std</w:t>
      </w:r>
      <w:proofErr w:type="gramEnd"/>
      <w:r w:rsidRPr="00E313B9">
        <w:rPr>
          <w:color w:val="000000"/>
        </w:rPr>
        <w:t>.</w:t>
      </w:r>
    </w:p>
    <w:p w14:paraId="3577D8DD" w14:textId="77777777" w:rsidR="00120E5F" w:rsidRPr="005E20CA" w:rsidRDefault="00120E5F" w:rsidP="008E3798">
      <w:pPr>
        <w:tabs>
          <w:tab w:val="left" w:pos="912"/>
        </w:tabs>
        <w:spacing w:after="120"/>
        <w:jc w:val="both"/>
        <w:rPr>
          <w:sz w:val="18"/>
          <w:szCs w:val="18"/>
        </w:rPr>
      </w:pPr>
    </w:p>
    <w:tbl>
      <w:tblPr>
        <w:tblW w:w="5000" w:type="pct"/>
        <w:tblCellMar>
          <w:left w:w="70" w:type="dxa"/>
          <w:right w:w="70" w:type="dxa"/>
        </w:tblCellMar>
        <w:tblLook w:val="04A0" w:firstRow="1" w:lastRow="0" w:firstColumn="1" w:lastColumn="0" w:noHBand="0" w:noVBand="1"/>
      </w:tblPr>
      <w:tblGrid>
        <w:gridCol w:w="753"/>
        <w:gridCol w:w="930"/>
        <w:gridCol w:w="453"/>
        <w:gridCol w:w="186"/>
        <w:gridCol w:w="930"/>
        <w:gridCol w:w="453"/>
        <w:gridCol w:w="186"/>
        <w:gridCol w:w="930"/>
        <w:gridCol w:w="453"/>
        <w:gridCol w:w="186"/>
        <w:gridCol w:w="930"/>
        <w:gridCol w:w="453"/>
        <w:gridCol w:w="186"/>
        <w:gridCol w:w="870"/>
        <w:gridCol w:w="514"/>
        <w:gridCol w:w="186"/>
        <w:gridCol w:w="872"/>
        <w:gridCol w:w="511"/>
        <w:gridCol w:w="186"/>
        <w:gridCol w:w="870"/>
        <w:gridCol w:w="514"/>
        <w:gridCol w:w="186"/>
        <w:gridCol w:w="930"/>
        <w:gridCol w:w="432"/>
      </w:tblGrid>
      <w:tr w:rsidR="005E20CA" w:rsidRPr="005E20CA" w14:paraId="26C0CF55" w14:textId="77777777" w:rsidTr="005E20CA">
        <w:trPr>
          <w:trHeight w:val="240"/>
        </w:trPr>
        <w:tc>
          <w:tcPr>
            <w:tcW w:w="287" w:type="pct"/>
            <w:tcBorders>
              <w:top w:val="single" w:sz="4" w:space="0" w:color="auto"/>
              <w:left w:val="nil"/>
              <w:bottom w:val="nil"/>
              <w:right w:val="nil"/>
            </w:tcBorders>
            <w:shd w:val="clear" w:color="auto" w:fill="auto"/>
            <w:noWrap/>
            <w:vAlign w:val="center"/>
            <w:hideMark/>
          </w:tcPr>
          <w:p w14:paraId="23131A1C" w14:textId="77777777" w:rsidR="005E20CA" w:rsidRPr="001F338C" w:rsidRDefault="005E20CA" w:rsidP="005E20CA">
            <w:pPr>
              <w:jc w:val="center"/>
              <w:rPr>
                <w:rFonts w:eastAsia="Times New Roman"/>
                <w:sz w:val="18"/>
                <w:szCs w:val="18"/>
                <w:lang w:val="en-GB" w:eastAsia="fr-FR"/>
                <w:rPrChange w:id="59" w:author="Daniele" w:date="2016-04-03T18:30:00Z">
                  <w:rPr>
                    <w:rFonts w:eastAsia="Times New Roman"/>
                    <w:sz w:val="18"/>
                    <w:szCs w:val="18"/>
                    <w:lang w:val="fr-FR" w:eastAsia="fr-FR"/>
                  </w:rPr>
                </w:rPrChange>
              </w:rPr>
            </w:pPr>
            <w:r w:rsidRPr="001F338C">
              <w:rPr>
                <w:rFonts w:eastAsia="Times New Roman"/>
                <w:sz w:val="18"/>
                <w:szCs w:val="18"/>
                <w:lang w:val="en-GB" w:eastAsia="fr-FR"/>
                <w:rPrChange w:id="60" w:author="Daniele" w:date="2016-04-03T18:30:00Z">
                  <w:rPr>
                    <w:rFonts w:eastAsia="Times New Roman"/>
                    <w:sz w:val="18"/>
                    <w:szCs w:val="18"/>
                    <w:lang w:val="fr-FR" w:eastAsia="fr-FR"/>
                  </w:rPr>
                </w:rPrChange>
              </w:rPr>
              <w:t> </w:t>
            </w:r>
          </w:p>
        </w:tc>
        <w:tc>
          <w:tcPr>
            <w:tcW w:w="528" w:type="pct"/>
            <w:gridSpan w:val="2"/>
            <w:tcBorders>
              <w:top w:val="single" w:sz="4" w:space="0" w:color="auto"/>
              <w:left w:val="nil"/>
              <w:bottom w:val="single" w:sz="4" w:space="0" w:color="auto"/>
              <w:right w:val="nil"/>
            </w:tcBorders>
            <w:shd w:val="clear" w:color="auto" w:fill="auto"/>
            <w:noWrap/>
            <w:vAlign w:val="center"/>
            <w:hideMark/>
          </w:tcPr>
          <w:p w14:paraId="2EDD6F1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SMS6-2-1</w:t>
            </w:r>
          </w:p>
        </w:tc>
        <w:tc>
          <w:tcPr>
            <w:tcW w:w="71" w:type="pct"/>
            <w:tcBorders>
              <w:top w:val="single" w:sz="4" w:space="0" w:color="auto"/>
              <w:left w:val="nil"/>
              <w:bottom w:val="nil"/>
              <w:right w:val="nil"/>
            </w:tcBorders>
            <w:shd w:val="clear" w:color="auto" w:fill="auto"/>
            <w:noWrap/>
            <w:vAlign w:val="center"/>
            <w:hideMark/>
          </w:tcPr>
          <w:p w14:paraId="7FFAA00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527" w:type="pct"/>
            <w:gridSpan w:val="2"/>
            <w:tcBorders>
              <w:top w:val="single" w:sz="4" w:space="0" w:color="auto"/>
              <w:left w:val="nil"/>
              <w:bottom w:val="single" w:sz="4" w:space="0" w:color="auto"/>
              <w:right w:val="nil"/>
            </w:tcBorders>
            <w:shd w:val="clear" w:color="auto" w:fill="auto"/>
            <w:noWrap/>
            <w:vAlign w:val="center"/>
            <w:hideMark/>
          </w:tcPr>
          <w:p w14:paraId="4CDB6B3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SMS6-5-2</w:t>
            </w:r>
          </w:p>
        </w:tc>
        <w:tc>
          <w:tcPr>
            <w:tcW w:w="71" w:type="pct"/>
            <w:tcBorders>
              <w:top w:val="single" w:sz="4" w:space="0" w:color="auto"/>
              <w:left w:val="nil"/>
              <w:bottom w:val="nil"/>
              <w:right w:val="nil"/>
            </w:tcBorders>
            <w:shd w:val="clear" w:color="auto" w:fill="auto"/>
            <w:noWrap/>
            <w:vAlign w:val="center"/>
            <w:hideMark/>
          </w:tcPr>
          <w:p w14:paraId="18AC078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527" w:type="pct"/>
            <w:gridSpan w:val="2"/>
            <w:tcBorders>
              <w:top w:val="single" w:sz="4" w:space="0" w:color="auto"/>
              <w:left w:val="nil"/>
              <w:bottom w:val="single" w:sz="4" w:space="0" w:color="auto"/>
              <w:right w:val="nil"/>
            </w:tcBorders>
            <w:shd w:val="clear" w:color="auto" w:fill="auto"/>
            <w:noWrap/>
            <w:vAlign w:val="center"/>
            <w:hideMark/>
          </w:tcPr>
          <w:p w14:paraId="1AA8850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SMS6-5-7</w:t>
            </w:r>
          </w:p>
        </w:tc>
        <w:tc>
          <w:tcPr>
            <w:tcW w:w="71" w:type="pct"/>
            <w:tcBorders>
              <w:top w:val="single" w:sz="4" w:space="0" w:color="auto"/>
              <w:left w:val="nil"/>
              <w:bottom w:val="nil"/>
              <w:right w:val="nil"/>
            </w:tcBorders>
            <w:shd w:val="clear" w:color="auto" w:fill="auto"/>
            <w:noWrap/>
            <w:vAlign w:val="center"/>
            <w:hideMark/>
          </w:tcPr>
          <w:p w14:paraId="4E043AF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527" w:type="pct"/>
            <w:gridSpan w:val="2"/>
            <w:tcBorders>
              <w:top w:val="single" w:sz="4" w:space="0" w:color="auto"/>
              <w:left w:val="nil"/>
              <w:bottom w:val="single" w:sz="4" w:space="0" w:color="auto"/>
              <w:right w:val="nil"/>
            </w:tcBorders>
            <w:shd w:val="clear" w:color="auto" w:fill="auto"/>
            <w:noWrap/>
            <w:vAlign w:val="center"/>
            <w:hideMark/>
          </w:tcPr>
          <w:p w14:paraId="1357761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SMS7-4-2</w:t>
            </w:r>
          </w:p>
        </w:tc>
        <w:tc>
          <w:tcPr>
            <w:tcW w:w="71" w:type="pct"/>
            <w:tcBorders>
              <w:top w:val="single" w:sz="4" w:space="0" w:color="auto"/>
              <w:left w:val="nil"/>
              <w:bottom w:val="nil"/>
              <w:right w:val="nil"/>
            </w:tcBorders>
            <w:shd w:val="clear" w:color="auto" w:fill="auto"/>
            <w:noWrap/>
            <w:vAlign w:val="center"/>
            <w:hideMark/>
          </w:tcPr>
          <w:p w14:paraId="1D593D9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527" w:type="pct"/>
            <w:gridSpan w:val="2"/>
            <w:tcBorders>
              <w:top w:val="single" w:sz="4" w:space="0" w:color="auto"/>
              <w:left w:val="nil"/>
              <w:bottom w:val="single" w:sz="4" w:space="0" w:color="auto"/>
              <w:right w:val="nil"/>
            </w:tcBorders>
            <w:shd w:val="clear" w:color="auto" w:fill="auto"/>
            <w:noWrap/>
            <w:vAlign w:val="center"/>
            <w:hideMark/>
          </w:tcPr>
          <w:p w14:paraId="039BEA4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SMS17-4-22</w:t>
            </w:r>
          </w:p>
        </w:tc>
        <w:tc>
          <w:tcPr>
            <w:tcW w:w="71" w:type="pct"/>
            <w:tcBorders>
              <w:top w:val="single" w:sz="4" w:space="0" w:color="auto"/>
              <w:left w:val="nil"/>
              <w:bottom w:val="nil"/>
              <w:right w:val="nil"/>
            </w:tcBorders>
            <w:shd w:val="clear" w:color="auto" w:fill="auto"/>
            <w:noWrap/>
            <w:vAlign w:val="center"/>
            <w:hideMark/>
          </w:tcPr>
          <w:p w14:paraId="0F76556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527" w:type="pct"/>
            <w:gridSpan w:val="2"/>
            <w:tcBorders>
              <w:top w:val="single" w:sz="4" w:space="0" w:color="auto"/>
              <w:left w:val="nil"/>
              <w:bottom w:val="single" w:sz="4" w:space="0" w:color="auto"/>
              <w:right w:val="nil"/>
            </w:tcBorders>
            <w:shd w:val="clear" w:color="auto" w:fill="auto"/>
            <w:noWrap/>
            <w:vAlign w:val="center"/>
            <w:hideMark/>
          </w:tcPr>
          <w:p w14:paraId="49B7BE3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SMS17-5-6</w:t>
            </w:r>
          </w:p>
        </w:tc>
        <w:tc>
          <w:tcPr>
            <w:tcW w:w="71" w:type="pct"/>
            <w:tcBorders>
              <w:top w:val="single" w:sz="4" w:space="0" w:color="auto"/>
              <w:left w:val="nil"/>
              <w:bottom w:val="nil"/>
              <w:right w:val="nil"/>
            </w:tcBorders>
            <w:shd w:val="clear" w:color="auto" w:fill="auto"/>
            <w:noWrap/>
            <w:vAlign w:val="center"/>
            <w:hideMark/>
          </w:tcPr>
          <w:p w14:paraId="290A183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527" w:type="pct"/>
            <w:gridSpan w:val="2"/>
            <w:tcBorders>
              <w:top w:val="single" w:sz="4" w:space="0" w:color="auto"/>
              <w:left w:val="nil"/>
              <w:bottom w:val="single" w:sz="4" w:space="0" w:color="auto"/>
              <w:right w:val="nil"/>
            </w:tcBorders>
            <w:shd w:val="clear" w:color="auto" w:fill="auto"/>
            <w:noWrap/>
            <w:vAlign w:val="center"/>
            <w:hideMark/>
          </w:tcPr>
          <w:p w14:paraId="035062C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ED21-10-3</w:t>
            </w:r>
          </w:p>
        </w:tc>
        <w:tc>
          <w:tcPr>
            <w:tcW w:w="71" w:type="pct"/>
            <w:tcBorders>
              <w:top w:val="single" w:sz="4" w:space="0" w:color="auto"/>
              <w:left w:val="nil"/>
              <w:bottom w:val="nil"/>
              <w:right w:val="nil"/>
            </w:tcBorders>
            <w:shd w:val="clear" w:color="auto" w:fill="auto"/>
            <w:noWrap/>
            <w:vAlign w:val="center"/>
            <w:hideMark/>
          </w:tcPr>
          <w:p w14:paraId="3DE95F5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527" w:type="pct"/>
            <w:gridSpan w:val="2"/>
            <w:tcBorders>
              <w:top w:val="single" w:sz="4" w:space="0" w:color="auto"/>
              <w:left w:val="nil"/>
              <w:bottom w:val="single" w:sz="4" w:space="0" w:color="auto"/>
              <w:right w:val="nil"/>
            </w:tcBorders>
            <w:shd w:val="clear" w:color="auto" w:fill="auto"/>
            <w:noWrap/>
            <w:vAlign w:val="center"/>
            <w:hideMark/>
          </w:tcPr>
          <w:p w14:paraId="3CFBE65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ED23-3-6</w:t>
            </w:r>
          </w:p>
        </w:tc>
      </w:tr>
      <w:tr w:rsidR="005E20CA" w:rsidRPr="005E20CA" w14:paraId="0691CECB" w14:textId="77777777" w:rsidTr="005E20CA">
        <w:trPr>
          <w:trHeight w:val="240"/>
        </w:trPr>
        <w:tc>
          <w:tcPr>
            <w:tcW w:w="287" w:type="pct"/>
            <w:tcBorders>
              <w:top w:val="nil"/>
              <w:left w:val="nil"/>
              <w:bottom w:val="nil"/>
              <w:right w:val="nil"/>
            </w:tcBorders>
            <w:shd w:val="clear" w:color="auto" w:fill="auto"/>
            <w:noWrap/>
            <w:vAlign w:val="center"/>
            <w:hideMark/>
          </w:tcPr>
          <w:p w14:paraId="4DDEB20A" w14:textId="77777777" w:rsidR="005E20CA" w:rsidRPr="005E20CA" w:rsidRDefault="005E20CA" w:rsidP="005E20CA">
            <w:pPr>
              <w:jc w:val="center"/>
              <w:rPr>
                <w:rFonts w:eastAsia="Times New Roman"/>
                <w:sz w:val="18"/>
                <w:szCs w:val="18"/>
                <w:lang w:val="fr-FR" w:eastAsia="fr-FR"/>
              </w:rPr>
            </w:pPr>
          </w:p>
        </w:tc>
        <w:tc>
          <w:tcPr>
            <w:tcW w:w="528" w:type="pct"/>
            <w:gridSpan w:val="2"/>
            <w:tcBorders>
              <w:top w:val="single" w:sz="4" w:space="0" w:color="auto"/>
              <w:left w:val="nil"/>
              <w:bottom w:val="nil"/>
              <w:right w:val="nil"/>
            </w:tcBorders>
            <w:shd w:val="clear" w:color="auto" w:fill="auto"/>
            <w:noWrap/>
            <w:vAlign w:val="center"/>
            <w:hideMark/>
          </w:tcPr>
          <w:p w14:paraId="7361126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6E0B10E4" w14:textId="77777777" w:rsidR="005E20CA" w:rsidRPr="005E20CA" w:rsidRDefault="005E20CA" w:rsidP="005E20CA">
            <w:pPr>
              <w:jc w:val="center"/>
              <w:rPr>
                <w:rFonts w:eastAsia="Times New Roman"/>
                <w:sz w:val="18"/>
                <w:szCs w:val="18"/>
                <w:lang w:val="fr-FR" w:eastAsia="fr-FR"/>
              </w:rPr>
            </w:pPr>
          </w:p>
        </w:tc>
        <w:tc>
          <w:tcPr>
            <w:tcW w:w="527" w:type="pct"/>
            <w:gridSpan w:val="2"/>
            <w:tcBorders>
              <w:top w:val="single" w:sz="4" w:space="0" w:color="auto"/>
              <w:left w:val="nil"/>
              <w:bottom w:val="nil"/>
              <w:right w:val="nil"/>
            </w:tcBorders>
            <w:shd w:val="clear" w:color="auto" w:fill="auto"/>
            <w:noWrap/>
            <w:vAlign w:val="center"/>
            <w:hideMark/>
          </w:tcPr>
          <w:p w14:paraId="3993EC3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7AD90D42" w14:textId="77777777" w:rsidR="005E20CA" w:rsidRPr="005E20CA" w:rsidRDefault="005E20CA" w:rsidP="005E20CA">
            <w:pPr>
              <w:jc w:val="center"/>
              <w:rPr>
                <w:rFonts w:eastAsia="Times New Roman"/>
                <w:sz w:val="18"/>
                <w:szCs w:val="18"/>
                <w:lang w:val="fr-FR" w:eastAsia="fr-FR"/>
              </w:rPr>
            </w:pPr>
          </w:p>
        </w:tc>
        <w:tc>
          <w:tcPr>
            <w:tcW w:w="527" w:type="pct"/>
            <w:gridSpan w:val="2"/>
            <w:tcBorders>
              <w:top w:val="single" w:sz="4" w:space="0" w:color="auto"/>
              <w:left w:val="nil"/>
              <w:bottom w:val="nil"/>
              <w:right w:val="nil"/>
            </w:tcBorders>
            <w:shd w:val="clear" w:color="auto" w:fill="auto"/>
            <w:noWrap/>
            <w:vAlign w:val="center"/>
            <w:hideMark/>
          </w:tcPr>
          <w:p w14:paraId="73DE87A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3B07C480" w14:textId="77777777" w:rsidR="005E20CA" w:rsidRPr="005E20CA" w:rsidRDefault="005E20CA" w:rsidP="005E20CA">
            <w:pPr>
              <w:jc w:val="center"/>
              <w:rPr>
                <w:rFonts w:eastAsia="Times New Roman"/>
                <w:sz w:val="18"/>
                <w:szCs w:val="18"/>
                <w:lang w:val="fr-FR" w:eastAsia="fr-FR"/>
              </w:rPr>
            </w:pPr>
          </w:p>
        </w:tc>
        <w:tc>
          <w:tcPr>
            <w:tcW w:w="527" w:type="pct"/>
            <w:gridSpan w:val="2"/>
            <w:tcBorders>
              <w:top w:val="single" w:sz="4" w:space="0" w:color="auto"/>
              <w:left w:val="nil"/>
              <w:bottom w:val="nil"/>
              <w:right w:val="nil"/>
            </w:tcBorders>
            <w:shd w:val="clear" w:color="auto" w:fill="auto"/>
            <w:noWrap/>
            <w:vAlign w:val="center"/>
            <w:hideMark/>
          </w:tcPr>
          <w:p w14:paraId="340A357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06B1332E" w14:textId="77777777" w:rsidR="005E20CA" w:rsidRPr="005E20CA" w:rsidRDefault="005E20CA" w:rsidP="005E20CA">
            <w:pPr>
              <w:jc w:val="center"/>
              <w:rPr>
                <w:rFonts w:eastAsia="Times New Roman"/>
                <w:sz w:val="18"/>
                <w:szCs w:val="18"/>
                <w:lang w:val="fr-FR" w:eastAsia="fr-FR"/>
              </w:rPr>
            </w:pPr>
          </w:p>
        </w:tc>
        <w:tc>
          <w:tcPr>
            <w:tcW w:w="527" w:type="pct"/>
            <w:gridSpan w:val="2"/>
            <w:tcBorders>
              <w:top w:val="single" w:sz="4" w:space="0" w:color="auto"/>
              <w:left w:val="nil"/>
              <w:bottom w:val="nil"/>
              <w:right w:val="nil"/>
            </w:tcBorders>
            <w:shd w:val="clear" w:color="auto" w:fill="auto"/>
            <w:noWrap/>
            <w:vAlign w:val="center"/>
            <w:hideMark/>
          </w:tcPr>
          <w:p w14:paraId="57051A3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79CC8EA4" w14:textId="77777777" w:rsidR="005E20CA" w:rsidRPr="005E20CA" w:rsidRDefault="005E20CA" w:rsidP="005E20CA">
            <w:pPr>
              <w:jc w:val="center"/>
              <w:rPr>
                <w:rFonts w:eastAsia="Times New Roman"/>
                <w:sz w:val="18"/>
                <w:szCs w:val="18"/>
                <w:lang w:val="fr-FR" w:eastAsia="fr-FR"/>
              </w:rPr>
            </w:pPr>
          </w:p>
        </w:tc>
        <w:tc>
          <w:tcPr>
            <w:tcW w:w="527" w:type="pct"/>
            <w:gridSpan w:val="2"/>
            <w:tcBorders>
              <w:top w:val="single" w:sz="4" w:space="0" w:color="auto"/>
              <w:left w:val="nil"/>
              <w:bottom w:val="nil"/>
              <w:right w:val="nil"/>
            </w:tcBorders>
            <w:shd w:val="clear" w:color="auto" w:fill="auto"/>
            <w:noWrap/>
            <w:vAlign w:val="center"/>
            <w:hideMark/>
          </w:tcPr>
          <w:p w14:paraId="37892CC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2487AA3B" w14:textId="77777777" w:rsidR="005E20CA" w:rsidRPr="005E20CA" w:rsidRDefault="005E20CA" w:rsidP="005E20CA">
            <w:pPr>
              <w:jc w:val="center"/>
              <w:rPr>
                <w:rFonts w:eastAsia="Times New Roman"/>
                <w:sz w:val="18"/>
                <w:szCs w:val="18"/>
                <w:lang w:val="fr-FR" w:eastAsia="fr-FR"/>
              </w:rPr>
            </w:pPr>
          </w:p>
        </w:tc>
        <w:tc>
          <w:tcPr>
            <w:tcW w:w="527" w:type="pct"/>
            <w:gridSpan w:val="2"/>
            <w:tcBorders>
              <w:top w:val="single" w:sz="4" w:space="0" w:color="auto"/>
              <w:left w:val="nil"/>
              <w:bottom w:val="nil"/>
              <w:right w:val="nil"/>
            </w:tcBorders>
            <w:shd w:val="clear" w:color="auto" w:fill="auto"/>
            <w:noWrap/>
            <w:vAlign w:val="center"/>
            <w:hideMark/>
          </w:tcPr>
          <w:p w14:paraId="039A6E6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c>
          <w:tcPr>
            <w:tcW w:w="71" w:type="pct"/>
            <w:tcBorders>
              <w:top w:val="nil"/>
              <w:left w:val="nil"/>
              <w:bottom w:val="nil"/>
              <w:right w:val="nil"/>
            </w:tcBorders>
            <w:shd w:val="clear" w:color="auto" w:fill="auto"/>
            <w:noWrap/>
            <w:vAlign w:val="center"/>
            <w:hideMark/>
          </w:tcPr>
          <w:p w14:paraId="568A3E82" w14:textId="77777777" w:rsidR="005E20CA" w:rsidRPr="005E20CA" w:rsidRDefault="005E20CA" w:rsidP="005E20CA">
            <w:pPr>
              <w:jc w:val="center"/>
              <w:rPr>
                <w:rFonts w:eastAsia="Times New Roman"/>
                <w:sz w:val="18"/>
                <w:szCs w:val="18"/>
                <w:lang w:val="fr-FR" w:eastAsia="fr-FR"/>
              </w:rPr>
            </w:pPr>
          </w:p>
        </w:tc>
        <w:tc>
          <w:tcPr>
            <w:tcW w:w="527" w:type="pct"/>
            <w:gridSpan w:val="2"/>
            <w:tcBorders>
              <w:top w:val="single" w:sz="4" w:space="0" w:color="auto"/>
              <w:left w:val="nil"/>
              <w:bottom w:val="nil"/>
              <w:right w:val="nil"/>
            </w:tcBorders>
            <w:shd w:val="clear" w:color="auto" w:fill="auto"/>
            <w:noWrap/>
            <w:vAlign w:val="center"/>
            <w:hideMark/>
          </w:tcPr>
          <w:p w14:paraId="108CD9F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Core</w:t>
            </w:r>
          </w:p>
        </w:tc>
      </w:tr>
      <w:tr w:rsidR="005E20CA" w:rsidRPr="005E20CA" w14:paraId="3FA84789" w14:textId="77777777" w:rsidTr="005E20CA">
        <w:trPr>
          <w:trHeight w:val="240"/>
        </w:trPr>
        <w:tc>
          <w:tcPr>
            <w:tcW w:w="287" w:type="pct"/>
            <w:tcBorders>
              <w:top w:val="nil"/>
              <w:left w:val="nil"/>
              <w:bottom w:val="nil"/>
              <w:right w:val="nil"/>
            </w:tcBorders>
            <w:shd w:val="clear" w:color="auto" w:fill="auto"/>
            <w:noWrap/>
            <w:vAlign w:val="center"/>
            <w:hideMark/>
          </w:tcPr>
          <w:p w14:paraId="22B6E5DD"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D9D17E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(n=17)</w:t>
            </w:r>
          </w:p>
        </w:tc>
        <w:tc>
          <w:tcPr>
            <w:tcW w:w="173" w:type="pct"/>
            <w:tcBorders>
              <w:top w:val="nil"/>
              <w:left w:val="nil"/>
              <w:bottom w:val="nil"/>
              <w:right w:val="nil"/>
            </w:tcBorders>
            <w:shd w:val="clear" w:color="auto" w:fill="auto"/>
            <w:noWrap/>
            <w:vAlign w:val="center"/>
            <w:hideMark/>
          </w:tcPr>
          <w:p w14:paraId="6EAA600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c>
          <w:tcPr>
            <w:tcW w:w="71" w:type="pct"/>
            <w:tcBorders>
              <w:top w:val="nil"/>
              <w:left w:val="nil"/>
              <w:bottom w:val="nil"/>
              <w:right w:val="nil"/>
            </w:tcBorders>
            <w:shd w:val="clear" w:color="auto" w:fill="auto"/>
            <w:noWrap/>
            <w:vAlign w:val="center"/>
            <w:hideMark/>
          </w:tcPr>
          <w:p w14:paraId="19335426"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612FFAA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(n=23)</w:t>
            </w:r>
          </w:p>
        </w:tc>
        <w:tc>
          <w:tcPr>
            <w:tcW w:w="173" w:type="pct"/>
            <w:tcBorders>
              <w:top w:val="nil"/>
              <w:left w:val="nil"/>
              <w:bottom w:val="nil"/>
              <w:right w:val="nil"/>
            </w:tcBorders>
            <w:shd w:val="clear" w:color="auto" w:fill="auto"/>
            <w:noWrap/>
            <w:vAlign w:val="center"/>
            <w:hideMark/>
          </w:tcPr>
          <w:p w14:paraId="08B022D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c>
          <w:tcPr>
            <w:tcW w:w="71" w:type="pct"/>
            <w:tcBorders>
              <w:top w:val="nil"/>
              <w:left w:val="nil"/>
              <w:bottom w:val="nil"/>
              <w:right w:val="nil"/>
            </w:tcBorders>
            <w:shd w:val="clear" w:color="auto" w:fill="auto"/>
            <w:noWrap/>
            <w:vAlign w:val="center"/>
            <w:hideMark/>
          </w:tcPr>
          <w:p w14:paraId="6834D509"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DDDB90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(n=10)</w:t>
            </w:r>
          </w:p>
        </w:tc>
        <w:tc>
          <w:tcPr>
            <w:tcW w:w="173" w:type="pct"/>
            <w:tcBorders>
              <w:top w:val="nil"/>
              <w:left w:val="nil"/>
              <w:bottom w:val="nil"/>
              <w:right w:val="nil"/>
            </w:tcBorders>
            <w:shd w:val="clear" w:color="auto" w:fill="auto"/>
            <w:noWrap/>
            <w:vAlign w:val="center"/>
            <w:hideMark/>
          </w:tcPr>
          <w:p w14:paraId="4E10E81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c>
          <w:tcPr>
            <w:tcW w:w="71" w:type="pct"/>
            <w:tcBorders>
              <w:top w:val="nil"/>
              <w:left w:val="nil"/>
              <w:bottom w:val="nil"/>
              <w:right w:val="nil"/>
            </w:tcBorders>
            <w:shd w:val="clear" w:color="auto" w:fill="auto"/>
            <w:noWrap/>
            <w:vAlign w:val="center"/>
            <w:hideMark/>
          </w:tcPr>
          <w:p w14:paraId="79A46EF4"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441741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(n=10)</w:t>
            </w:r>
          </w:p>
        </w:tc>
        <w:tc>
          <w:tcPr>
            <w:tcW w:w="173" w:type="pct"/>
            <w:tcBorders>
              <w:top w:val="nil"/>
              <w:left w:val="nil"/>
              <w:bottom w:val="nil"/>
              <w:right w:val="nil"/>
            </w:tcBorders>
            <w:shd w:val="clear" w:color="auto" w:fill="auto"/>
            <w:noWrap/>
            <w:vAlign w:val="center"/>
            <w:hideMark/>
          </w:tcPr>
          <w:p w14:paraId="4E103E8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c>
          <w:tcPr>
            <w:tcW w:w="71" w:type="pct"/>
            <w:tcBorders>
              <w:top w:val="nil"/>
              <w:left w:val="nil"/>
              <w:bottom w:val="nil"/>
              <w:right w:val="nil"/>
            </w:tcBorders>
            <w:shd w:val="clear" w:color="auto" w:fill="auto"/>
            <w:noWrap/>
            <w:vAlign w:val="center"/>
            <w:hideMark/>
          </w:tcPr>
          <w:p w14:paraId="603C5BAC"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0695B50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(n=6)</w:t>
            </w:r>
          </w:p>
        </w:tc>
        <w:tc>
          <w:tcPr>
            <w:tcW w:w="196" w:type="pct"/>
            <w:tcBorders>
              <w:top w:val="nil"/>
              <w:left w:val="nil"/>
              <w:bottom w:val="nil"/>
              <w:right w:val="nil"/>
            </w:tcBorders>
            <w:shd w:val="clear" w:color="auto" w:fill="auto"/>
            <w:noWrap/>
            <w:vAlign w:val="center"/>
            <w:hideMark/>
          </w:tcPr>
          <w:p w14:paraId="384E4AF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c>
          <w:tcPr>
            <w:tcW w:w="71" w:type="pct"/>
            <w:tcBorders>
              <w:top w:val="nil"/>
              <w:left w:val="nil"/>
              <w:bottom w:val="nil"/>
              <w:right w:val="nil"/>
            </w:tcBorders>
            <w:shd w:val="clear" w:color="auto" w:fill="auto"/>
            <w:noWrap/>
            <w:vAlign w:val="center"/>
            <w:hideMark/>
          </w:tcPr>
          <w:p w14:paraId="2E9FEBBC"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48234FA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(n=4)</w:t>
            </w:r>
          </w:p>
        </w:tc>
        <w:tc>
          <w:tcPr>
            <w:tcW w:w="195" w:type="pct"/>
            <w:tcBorders>
              <w:top w:val="nil"/>
              <w:left w:val="nil"/>
              <w:bottom w:val="nil"/>
              <w:right w:val="nil"/>
            </w:tcBorders>
            <w:shd w:val="clear" w:color="auto" w:fill="auto"/>
            <w:noWrap/>
            <w:vAlign w:val="center"/>
            <w:hideMark/>
          </w:tcPr>
          <w:p w14:paraId="0DB2C68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c>
          <w:tcPr>
            <w:tcW w:w="71" w:type="pct"/>
            <w:tcBorders>
              <w:top w:val="nil"/>
              <w:left w:val="nil"/>
              <w:bottom w:val="nil"/>
              <w:right w:val="nil"/>
            </w:tcBorders>
            <w:shd w:val="clear" w:color="auto" w:fill="auto"/>
            <w:noWrap/>
            <w:vAlign w:val="center"/>
            <w:hideMark/>
          </w:tcPr>
          <w:p w14:paraId="1E7615BD"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332CA31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(n=4)</w:t>
            </w:r>
          </w:p>
        </w:tc>
        <w:tc>
          <w:tcPr>
            <w:tcW w:w="196" w:type="pct"/>
            <w:tcBorders>
              <w:top w:val="nil"/>
              <w:left w:val="nil"/>
              <w:bottom w:val="nil"/>
              <w:right w:val="nil"/>
            </w:tcBorders>
            <w:shd w:val="clear" w:color="auto" w:fill="auto"/>
            <w:noWrap/>
            <w:vAlign w:val="center"/>
            <w:hideMark/>
          </w:tcPr>
          <w:p w14:paraId="5279825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c>
          <w:tcPr>
            <w:tcW w:w="71" w:type="pct"/>
            <w:tcBorders>
              <w:top w:val="nil"/>
              <w:left w:val="nil"/>
              <w:bottom w:val="nil"/>
              <w:right w:val="nil"/>
            </w:tcBorders>
            <w:shd w:val="clear" w:color="auto" w:fill="auto"/>
            <w:noWrap/>
            <w:vAlign w:val="center"/>
            <w:hideMark/>
          </w:tcPr>
          <w:p w14:paraId="1A8B4843"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6C5FEC5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(n=15)</w:t>
            </w:r>
          </w:p>
        </w:tc>
        <w:tc>
          <w:tcPr>
            <w:tcW w:w="173" w:type="pct"/>
            <w:tcBorders>
              <w:top w:val="nil"/>
              <w:left w:val="nil"/>
              <w:bottom w:val="nil"/>
              <w:right w:val="nil"/>
            </w:tcBorders>
            <w:shd w:val="clear" w:color="auto" w:fill="auto"/>
            <w:noWrap/>
            <w:vAlign w:val="center"/>
            <w:hideMark/>
          </w:tcPr>
          <w:p w14:paraId="36FA695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w:t>
            </w:r>
          </w:p>
        </w:tc>
      </w:tr>
      <w:tr w:rsidR="005E20CA" w:rsidRPr="005E20CA" w14:paraId="5960A2CA" w14:textId="77777777" w:rsidTr="005E20CA">
        <w:trPr>
          <w:trHeight w:val="240"/>
        </w:trPr>
        <w:tc>
          <w:tcPr>
            <w:tcW w:w="287" w:type="pct"/>
            <w:tcBorders>
              <w:top w:val="single" w:sz="4" w:space="0" w:color="auto"/>
              <w:left w:val="nil"/>
              <w:bottom w:val="nil"/>
              <w:right w:val="nil"/>
            </w:tcBorders>
            <w:shd w:val="clear" w:color="auto" w:fill="auto"/>
            <w:noWrap/>
            <w:vAlign w:val="center"/>
            <w:hideMark/>
          </w:tcPr>
          <w:p w14:paraId="35CD223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SiO</w:t>
            </w:r>
            <w:r w:rsidRPr="005E20CA">
              <w:rPr>
                <w:rFonts w:eastAsia="Times New Roman"/>
                <w:sz w:val="18"/>
                <w:szCs w:val="18"/>
                <w:vertAlign w:val="subscript"/>
                <w:lang w:val="fr-FR" w:eastAsia="fr-FR"/>
              </w:rPr>
              <w:t>2</w:t>
            </w:r>
          </w:p>
        </w:tc>
        <w:tc>
          <w:tcPr>
            <w:tcW w:w="355" w:type="pct"/>
            <w:tcBorders>
              <w:top w:val="single" w:sz="4" w:space="0" w:color="auto"/>
              <w:left w:val="nil"/>
              <w:bottom w:val="nil"/>
              <w:right w:val="nil"/>
            </w:tcBorders>
            <w:shd w:val="clear" w:color="auto" w:fill="auto"/>
            <w:noWrap/>
            <w:vAlign w:val="center"/>
            <w:hideMark/>
          </w:tcPr>
          <w:p w14:paraId="19A5A05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40.6</w:t>
            </w:r>
          </w:p>
        </w:tc>
        <w:tc>
          <w:tcPr>
            <w:tcW w:w="173" w:type="pct"/>
            <w:tcBorders>
              <w:top w:val="single" w:sz="4" w:space="0" w:color="auto"/>
              <w:left w:val="nil"/>
              <w:bottom w:val="nil"/>
              <w:right w:val="nil"/>
            </w:tcBorders>
            <w:shd w:val="clear" w:color="auto" w:fill="auto"/>
            <w:noWrap/>
            <w:vAlign w:val="center"/>
            <w:hideMark/>
          </w:tcPr>
          <w:p w14:paraId="0204408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71" w:type="pct"/>
            <w:tcBorders>
              <w:top w:val="single" w:sz="4" w:space="0" w:color="auto"/>
              <w:left w:val="nil"/>
              <w:bottom w:val="nil"/>
              <w:right w:val="nil"/>
            </w:tcBorders>
            <w:shd w:val="clear" w:color="auto" w:fill="auto"/>
            <w:noWrap/>
            <w:vAlign w:val="center"/>
            <w:hideMark/>
          </w:tcPr>
          <w:p w14:paraId="782D6E7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single" w:sz="4" w:space="0" w:color="auto"/>
              <w:left w:val="nil"/>
              <w:bottom w:val="nil"/>
              <w:right w:val="nil"/>
            </w:tcBorders>
            <w:shd w:val="clear" w:color="auto" w:fill="auto"/>
            <w:noWrap/>
            <w:vAlign w:val="center"/>
            <w:hideMark/>
          </w:tcPr>
          <w:p w14:paraId="01F38DC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40.9</w:t>
            </w:r>
          </w:p>
        </w:tc>
        <w:tc>
          <w:tcPr>
            <w:tcW w:w="173" w:type="pct"/>
            <w:tcBorders>
              <w:top w:val="single" w:sz="4" w:space="0" w:color="auto"/>
              <w:left w:val="nil"/>
              <w:bottom w:val="nil"/>
              <w:right w:val="nil"/>
            </w:tcBorders>
            <w:shd w:val="clear" w:color="auto" w:fill="auto"/>
            <w:noWrap/>
            <w:vAlign w:val="center"/>
            <w:hideMark/>
          </w:tcPr>
          <w:p w14:paraId="7792948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71" w:type="pct"/>
            <w:tcBorders>
              <w:top w:val="single" w:sz="4" w:space="0" w:color="auto"/>
              <w:left w:val="nil"/>
              <w:bottom w:val="nil"/>
              <w:right w:val="nil"/>
            </w:tcBorders>
            <w:shd w:val="clear" w:color="auto" w:fill="auto"/>
            <w:noWrap/>
            <w:vAlign w:val="center"/>
            <w:hideMark/>
          </w:tcPr>
          <w:p w14:paraId="4D58262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single" w:sz="4" w:space="0" w:color="auto"/>
              <w:left w:val="nil"/>
              <w:bottom w:val="nil"/>
              <w:right w:val="nil"/>
            </w:tcBorders>
            <w:shd w:val="clear" w:color="auto" w:fill="auto"/>
            <w:noWrap/>
            <w:vAlign w:val="center"/>
            <w:hideMark/>
          </w:tcPr>
          <w:p w14:paraId="49BD934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40.3</w:t>
            </w:r>
          </w:p>
        </w:tc>
        <w:tc>
          <w:tcPr>
            <w:tcW w:w="173" w:type="pct"/>
            <w:tcBorders>
              <w:top w:val="single" w:sz="4" w:space="0" w:color="auto"/>
              <w:left w:val="nil"/>
              <w:bottom w:val="nil"/>
              <w:right w:val="nil"/>
            </w:tcBorders>
            <w:shd w:val="clear" w:color="auto" w:fill="auto"/>
            <w:noWrap/>
            <w:vAlign w:val="center"/>
            <w:hideMark/>
          </w:tcPr>
          <w:p w14:paraId="08C8834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71" w:type="pct"/>
            <w:tcBorders>
              <w:top w:val="single" w:sz="4" w:space="0" w:color="auto"/>
              <w:left w:val="nil"/>
              <w:bottom w:val="nil"/>
              <w:right w:val="nil"/>
            </w:tcBorders>
            <w:shd w:val="clear" w:color="auto" w:fill="auto"/>
            <w:noWrap/>
            <w:vAlign w:val="center"/>
            <w:hideMark/>
          </w:tcPr>
          <w:p w14:paraId="0F603AB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single" w:sz="4" w:space="0" w:color="auto"/>
              <w:left w:val="nil"/>
              <w:bottom w:val="nil"/>
              <w:right w:val="nil"/>
            </w:tcBorders>
            <w:shd w:val="clear" w:color="auto" w:fill="auto"/>
            <w:noWrap/>
            <w:vAlign w:val="center"/>
            <w:hideMark/>
          </w:tcPr>
          <w:p w14:paraId="79BA549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40.9</w:t>
            </w:r>
          </w:p>
        </w:tc>
        <w:tc>
          <w:tcPr>
            <w:tcW w:w="173" w:type="pct"/>
            <w:tcBorders>
              <w:top w:val="single" w:sz="4" w:space="0" w:color="auto"/>
              <w:left w:val="nil"/>
              <w:bottom w:val="nil"/>
              <w:right w:val="nil"/>
            </w:tcBorders>
            <w:shd w:val="clear" w:color="auto" w:fill="auto"/>
            <w:noWrap/>
            <w:vAlign w:val="center"/>
            <w:hideMark/>
          </w:tcPr>
          <w:p w14:paraId="7C4C800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single" w:sz="4" w:space="0" w:color="auto"/>
              <w:left w:val="nil"/>
              <w:bottom w:val="nil"/>
              <w:right w:val="nil"/>
            </w:tcBorders>
            <w:shd w:val="clear" w:color="auto" w:fill="auto"/>
            <w:noWrap/>
            <w:vAlign w:val="center"/>
            <w:hideMark/>
          </w:tcPr>
          <w:p w14:paraId="1DD8253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32" w:type="pct"/>
            <w:tcBorders>
              <w:top w:val="single" w:sz="4" w:space="0" w:color="auto"/>
              <w:left w:val="nil"/>
              <w:bottom w:val="nil"/>
              <w:right w:val="nil"/>
            </w:tcBorders>
            <w:shd w:val="clear" w:color="auto" w:fill="auto"/>
            <w:noWrap/>
            <w:vAlign w:val="center"/>
            <w:hideMark/>
          </w:tcPr>
          <w:p w14:paraId="0817BFD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40.8</w:t>
            </w:r>
          </w:p>
        </w:tc>
        <w:tc>
          <w:tcPr>
            <w:tcW w:w="196" w:type="pct"/>
            <w:tcBorders>
              <w:top w:val="single" w:sz="4" w:space="0" w:color="auto"/>
              <w:left w:val="nil"/>
              <w:bottom w:val="nil"/>
              <w:right w:val="nil"/>
            </w:tcBorders>
            <w:shd w:val="clear" w:color="auto" w:fill="auto"/>
            <w:noWrap/>
            <w:vAlign w:val="center"/>
            <w:hideMark/>
          </w:tcPr>
          <w:p w14:paraId="12284CD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single" w:sz="4" w:space="0" w:color="auto"/>
              <w:left w:val="nil"/>
              <w:bottom w:val="nil"/>
              <w:right w:val="nil"/>
            </w:tcBorders>
            <w:shd w:val="clear" w:color="auto" w:fill="auto"/>
            <w:noWrap/>
            <w:vAlign w:val="center"/>
            <w:hideMark/>
          </w:tcPr>
          <w:p w14:paraId="2F17A50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33" w:type="pct"/>
            <w:tcBorders>
              <w:top w:val="single" w:sz="4" w:space="0" w:color="auto"/>
              <w:left w:val="nil"/>
              <w:bottom w:val="nil"/>
              <w:right w:val="nil"/>
            </w:tcBorders>
            <w:shd w:val="clear" w:color="auto" w:fill="auto"/>
            <w:noWrap/>
            <w:vAlign w:val="center"/>
            <w:hideMark/>
          </w:tcPr>
          <w:p w14:paraId="3921B7E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41.0</w:t>
            </w:r>
          </w:p>
        </w:tc>
        <w:tc>
          <w:tcPr>
            <w:tcW w:w="195" w:type="pct"/>
            <w:tcBorders>
              <w:top w:val="single" w:sz="4" w:space="0" w:color="auto"/>
              <w:left w:val="nil"/>
              <w:bottom w:val="nil"/>
              <w:right w:val="nil"/>
            </w:tcBorders>
            <w:shd w:val="clear" w:color="auto" w:fill="auto"/>
            <w:noWrap/>
            <w:vAlign w:val="center"/>
            <w:hideMark/>
          </w:tcPr>
          <w:p w14:paraId="5D982C7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71" w:type="pct"/>
            <w:tcBorders>
              <w:top w:val="single" w:sz="4" w:space="0" w:color="auto"/>
              <w:left w:val="nil"/>
              <w:bottom w:val="nil"/>
              <w:right w:val="nil"/>
            </w:tcBorders>
            <w:shd w:val="clear" w:color="auto" w:fill="auto"/>
            <w:noWrap/>
            <w:vAlign w:val="center"/>
            <w:hideMark/>
          </w:tcPr>
          <w:p w14:paraId="31EFE45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32" w:type="pct"/>
            <w:tcBorders>
              <w:top w:val="single" w:sz="4" w:space="0" w:color="auto"/>
              <w:left w:val="nil"/>
              <w:bottom w:val="nil"/>
              <w:right w:val="nil"/>
            </w:tcBorders>
            <w:shd w:val="clear" w:color="auto" w:fill="auto"/>
            <w:noWrap/>
            <w:vAlign w:val="center"/>
            <w:hideMark/>
          </w:tcPr>
          <w:p w14:paraId="5B17E68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40.3</w:t>
            </w:r>
          </w:p>
        </w:tc>
        <w:tc>
          <w:tcPr>
            <w:tcW w:w="196" w:type="pct"/>
            <w:tcBorders>
              <w:top w:val="single" w:sz="4" w:space="0" w:color="auto"/>
              <w:left w:val="nil"/>
              <w:bottom w:val="nil"/>
              <w:right w:val="nil"/>
            </w:tcBorders>
            <w:shd w:val="clear" w:color="auto" w:fill="auto"/>
            <w:noWrap/>
            <w:vAlign w:val="center"/>
            <w:hideMark/>
          </w:tcPr>
          <w:p w14:paraId="3EF290D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71" w:type="pct"/>
            <w:tcBorders>
              <w:top w:val="single" w:sz="4" w:space="0" w:color="auto"/>
              <w:left w:val="nil"/>
              <w:bottom w:val="nil"/>
              <w:right w:val="nil"/>
            </w:tcBorders>
            <w:shd w:val="clear" w:color="auto" w:fill="auto"/>
            <w:noWrap/>
            <w:vAlign w:val="center"/>
            <w:hideMark/>
          </w:tcPr>
          <w:p w14:paraId="7AAC82B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single" w:sz="4" w:space="0" w:color="auto"/>
              <w:left w:val="nil"/>
              <w:bottom w:val="nil"/>
              <w:right w:val="nil"/>
            </w:tcBorders>
            <w:shd w:val="clear" w:color="auto" w:fill="auto"/>
            <w:noWrap/>
            <w:vAlign w:val="center"/>
            <w:hideMark/>
          </w:tcPr>
          <w:p w14:paraId="471FA02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41.1</w:t>
            </w:r>
          </w:p>
        </w:tc>
        <w:tc>
          <w:tcPr>
            <w:tcW w:w="173" w:type="pct"/>
            <w:tcBorders>
              <w:top w:val="single" w:sz="4" w:space="0" w:color="auto"/>
              <w:left w:val="nil"/>
              <w:bottom w:val="nil"/>
              <w:right w:val="nil"/>
            </w:tcBorders>
            <w:shd w:val="clear" w:color="auto" w:fill="auto"/>
            <w:noWrap/>
            <w:vAlign w:val="center"/>
            <w:hideMark/>
          </w:tcPr>
          <w:p w14:paraId="2350448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r>
      <w:tr w:rsidR="005E20CA" w:rsidRPr="005E20CA" w14:paraId="3244BEAE" w14:textId="77777777" w:rsidTr="005E20CA">
        <w:trPr>
          <w:trHeight w:val="240"/>
        </w:trPr>
        <w:tc>
          <w:tcPr>
            <w:tcW w:w="287" w:type="pct"/>
            <w:tcBorders>
              <w:top w:val="nil"/>
              <w:left w:val="nil"/>
              <w:bottom w:val="nil"/>
              <w:right w:val="nil"/>
            </w:tcBorders>
            <w:shd w:val="clear" w:color="auto" w:fill="auto"/>
            <w:noWrap/>
            <w:vAlign w:val="center"/>
            <w:hideMark/>
          </w:tcPr>
          <w:p w14:paraId="6B51F36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TiO</w:t>
            </w:r>
            <w:r w:rsidRPr="005E20CA">
              <w:rPr>
                <w:rFonts w:eastAsia="Times New Roman"/>
                <w:sz w:val="18"/>
                <w:szCs w:val="18"/>
                <w:vertAlign w:val="subscript"/>
                <w:lang w:val="fr-FR" w:eastAsia="fr-FR"/>
              </w:rPr>
              <w:t>2</w:t>
            </w:r>
          </w:p>
        </w:tc>
        <w:tc>
          <w:tcPr>
            <w:tcW w:w="355" w:type="pct"/>
            <w:tcBorders>
              <w:top w:val="nil"/>
              <w:left w:val="nil"/>
              <w:bottom w:val="nil"/>
              <w:right w:val="nil"/>
            </w:tcBorders>
            <w:shd w:val="clear" w:color="auto" w:fill="auto"/>
            <w:noWrap/>
            <w:vAlign w:val="center"/>
            <w:hideMark/>
          </w:tcPr>
          <w:p w14:paraId="41F29B7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13430C2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0E3631E7"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025167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39DB281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279D22C4"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24B861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3663950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2559906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78067FB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2C5F3CD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CADF386"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1864395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57F89A6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747DBB8"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1AC5298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18D76B2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B37613C"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369A040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4D985F9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69984420"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117A6DC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20D1F8D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4C761FD9" w14:textId="77777777" w:rsidTr="005E20CA">
        <w:trPr>
          <w:trHeight w:val="240"/>
        </w:trPr>
        <w:tc>
          <w:tcPr>
            <w:tcW w:w="287" w:type="pct"/>
            <w:tcBorders>
              <w:top w:val="nil"/>
              <w:left w:val="nil"/>
              <w:bottom w:val="nil"/>
              <w:right w:val="nil"/>
            </w:tcBorders>
            <w:shd w:val="clear" w:color="auto" w:fill="auto"/>
            <w:noWrap/>
            <w:vAlign w:val="center"/>
            <w:hideMark/>
          </w:tcPr>
          <w:p w14:paraId="1253D9E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Al</w:t>
            </w:r>
            <w:r w:rsidRPr="005E20CA">
              <w:rPr>
                <w:rFonts w:eastAsia="Times New Roman"/>
                <w:sz w:val="18"/>
                <w:szCs w:val="18"/>
                <w:vertAlign w:val="subscript"/>
                <w:lang w:val="fr-FR" w:eastAsia="fr-FR"/>
              </w:rPr>
              <w:t>2</w:t>
            </w:r>
            <w:r w:rsidRPr="005E20CA">
              <w:rPr>
                <w:rFonts w:eastAsia="Times New Roman"/>
                <w:sz w:val="18"/>
                <w:szCs w:val="18"/>
                <w:lang w:val="fr-FR" w:eastAsia="fr-FR"/>
              </w:rPr>
              <w:t>O</w:t>
            </w:r>
            <w:r w:rsidRPr="005E20CA">
              <w:rPr>
                <w:rFonts w:eastAsia="Times New Roman"/>
                <w:sz w:val="18"/>
                <w:szCs w:val="18"/>
                <w:vertAlign w:val="subscript"/>
                <w:lang w:val="fr-FR" w:eastAsia="fr-FR"/>
              </w:rPr>
              <w:t>3</w:t>
            </w:r>
          </w:p>
        </w:tc>
        <w:tc>
          <w:tcPr>
            <w:tcW w:w="355" w:type="pct"/>
            <w:tcBorders>
              <w:top w:val="nil"/>
              <w:left w:val="nil"/>
              <w:bottom w:val="nil"/>
              <w:right w:val="nil"/>
            </w:tcBorders>
            <w:shd w:val="clear" w:color="auto" w:fill="auto"/>
            <w:noWrap/>
            <w:vAlign w:val="center"/>
            <w:hideMark/>
          </w:tcPr>
          <w:p w14:paraId="35DA36D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0F76FFD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6340DEB9"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AAD4B5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752FB37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205209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9C12A6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6283DB6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784C42C"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B66D04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7252382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740CE4A"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6C36C79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0C94F75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9E11FF7"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5C94276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3AB7E6F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3C238D8F"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3AFA70E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34CA327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BFF1CA8"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14FB249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01B65F6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1B384A9E" w14:textId="77777777" w:rsidTr="005E20CA">
        <w:trPr>
          <w:trHeight w:val="240"/>
        </w:trPr>
        <w:tc>
          <w:tcPr>
            <w:tcW w:w="287" w:type="pct"/>
            <w:tcBorders>
              <w:top w:val="nil"/>
              <w:left w:val="nil"/>
              <w:bottom w:val="nil"/>
              <w:right w:val="nil"/>
            </w:tcBorders>
            <w:shd w:val="clear" w:color="auto" w:fill="auto"/>
            <w:noWrap/>
            <w:vAlign w:val="center"/>
            <w:hideMark/>
          </w:tcPr>
          <w:p w14:paraId="6AB09B3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FeO</w:t>
            </w:r>
            <w:r w:rsidRPr="005E20CA">
              <w:rPr>
                <w:rFonts w:eastAsia="Times New Roman"/>
                <w:sz w:val="18"/>
                <w:szCs w:val="18"/>
                <w:vertAlign w:val="subscript"/>
                <w:lang w:val="fr-FR" w:eastAsia="fr-FR"/>
              </w:rPr>
              <w:t>tot</w:t>
            </w:r>
          </w:p>
        </w:tc>
        <w:tc>
          <w:tcPr>
            <w:tcW w:w="355" w:type="pct"/>
            <w:tcBorders>
              <w:top w:val="nil"/>
              <w:left w:val="nil"/>
              <w:bottom w:val="nil"/>
              <w:right w:val="nil"/>
            </w:tcBorders>
            <w:shd w:val="clear" w:color="auto" w:fill="auto"/>
            <w:noWrap/>
            <w:vAlign w:val="center"/>
            <w:hideMark/>
          </w:tcPr>
          <w:p w14:paraId="143FF74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12.4</w:t>
            </w:r>
          </w:p>
        </w:tc>
        <w:tc>
          <w:tcPr>
            <w:tcW w:w="173" w:type="pct"/>
            <w:tcBorders>
              <w:top w:val="nil"/>
              <w:left w:val="nil"/>
              <w:bottom w:val="nil"/>
              <w:right w:val="nil"/>
            </w:tcBorders>
            <w:shd w:val="clear" w:color="auto" w:fill="auto"/>
            <w:noWrap/>
            <w:vAlign w:val="center"/>
            <w:hideMark/>
          </w:tcPr>
          <w:p w14:paraId="74FE5E9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w:t>
            </w:r>
          </w:p>
        </w:tc>
        <w:tc>
          <w:tcPr>
            <w:tcW w:w="71" w:type="pct"/>
            <w:tcBorders>
              <w:top w:val="nil"/>
              <w:left w:val="nil"/>
              <w:bottom w:val="nil"/>
              <w:right w:val="nil"/>
            </w:tcBorders>
            <w:shd w:val="clear" w:color="auto" w:fill="auto"/>
            <w:noWrap/>
            <w:vAlign w:val="center"/>
            <w:hideMark/>
          </w:tcPr>
          <w:p w14:paraId="5D80CEF4"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19054B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11.1</w:t>
            </w:r>
          </w:p>
        </w:tc>
        <w:tc>
          <w:tcPr>
            <w:tcW w:w="173" w:type="pct"/>
            <w:tcBorders>
              <w:top w:val="nil"/>
              <w:left w:val="nil"/>
              <w:bottom w:val="nil"/>
              <w:right w:val="nil"/>
            </w:tcBorders>
            <w:shd w:val="clear" w:color="auto" w:fill="auto"/>
            <w:noWrap/>
            <w:vAlign w:val="center"/>
            <w:hideMark/>
          </w:tcPr>
          <w:p w14:paraId="090E9D7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nil"/>
              <w:right w:val="nil"/>
            </w:tcBorders>
            <w:shd w:val="clear" w:color="auto" w:fill="auto"/>
            <w:noWrap/>
            <w:vAlign w:val="center"/>
            <w:hideMark/>
          </w:tcPr>
          <w:p w14:paraId="10BAAAE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643C2CB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11.2</w:t>
            </w:r>
          </w:p>
        </w:tc>
        <w:tc>
          <w:tcPr>
            <w:tcW w:w="173" w:type="pct"/>
            <w:tcBorders>
              <w:top w:val="nil"/>
              <w:left w:val="nil"/>
              <w:bottom w:val="nil"/>
              <w:right w:val="nil"/>
            </w:tcBorders>
            <w:shd w:val="clear" w:color="auto" w:fill="auto"/>
            <w:noWrap/>
            <w:vAlign w:val="center"/>
            <w:hideMark/>
          </w:tcPr>
          <w:p w14:paraId="738D95B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71" w:type="pct"/>
            <w:tcBorders>
              <w:top w:val="nil"/>
              <w:left w:val="nil"/>
              <w:bottom w:val="nil"/>
              <w:right w:val="nil"/>
            </w:tcBorders>
            <w:shd w:val="clear" w:color="auto" w:fill="auto"/>
            <w:noWrap/>
            <w:vAlign w:val="center"/>
            <w:hideMark/>
          </w:tcPr>
          <w:p w14:paraId="19B68B9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0B16EDF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10.9</w:t>
            </w:r>
          </w:p>
        </w:tc>
        <w:tc>
          <w:tcPr>
            <w:tcW w:w="173" w:type="pct"/>
            <w:tcBorders>
              <w:top w:val="nil"/>
              <w:left w:val="nil"/>
              <w:bottom w:val="nil"/>
              <w:right w:val="nil"/>
            </w:tcBorders>
            <w:shd w:val="clear" w:color="auto" w:fill="auto"/>
            <w:noWrap/>
            <w:vAlign w:val="center"/>
            <w:hideMark/>
          </w:tcPr>
          <w:p w14:paraId="09B3CDB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71" w:type="pct"/>
            <w:tcBorders>
              <w:top w:val="nil"/>
              <w:left w:val="nil"/>
              <w:bottom w:val="nil"/>
              <w:right w:val="nil"/>
            </w:tcBorders>
            <w:shd w:val="clear" w:color="auto" w:fill="auto"/>
            <w:noWrap/>
            <w:vAlign w:val="center"/>
            <w:hideMark/>
          </w:tcPr>
          <w:p w14:paraId="51E87731"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5E31811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9.7</w:t>
            </w:r>
          </w:p>
        </w:tc>
        <w:tc>
          <w:tcPr>
            <w:tcW w:w="196" w:type="pct"/>
            <w:tcBorders>
              <w:top w:val="nil"/>
              <w:left w:val="nil"/>
              <w:bottom w:val="nil"/>
              <w:right w:val="nil"/>
            </w:tcBorders>
            <w:shd w:val="clear" w:color="auto" w:fill="auto"/>
            <w:noWrap/>
            <w:vAlign w:val="center"/>
            <w:hideMark/>
          </w:tcPr>
          <w:p w14:paraId="2C325DF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nil"/>
              <w:right w:val="nil"/>
            </w:tcBorders>
            <w:shd w:val="clear" w:color="auto" w:fill="auto"/>
            <w:noWrap/>
            <w:vAlign w:val="center"/>
            <w:hideMark/>
          </w:tcPr>
          <w:p w14:paraId="234AD9CB"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0992022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11.4</w:t>
            </w:r>
          </w:p>
        </w:tc>
        <w:tc>
          <w:tcPr>
            <w:tcW w:w="195" w:type="pct"/>
            <w:tcBorders>
              <w:top w:val="nil"/>
              <w:left w:val="nil"/>
              <w:bottom w:val="nil"/>
              <w:right w:val="nil"/>
            </w:tcBorders>
            <w:shd w:val="clear" w:color="auto" w:fill="auto"/>
            <w:noWrap/>
            <w:vAlign w:val="center"/>
            <w:hideMark/>
          </w:tcPr>
          <w:p w14:paraId="4169A85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nil"/>
              <w:right w:val="nil"/>
            </w:tcBorders>
            <w:shd w:val="clear" w:color="auto" w:fill="auto"/>
            <w:noWrap/>
            <w:vAlign w:val="center"/>
            <w:hideMark/>
          </w:tcPr>
          <w:p w14:paraId="0D6B524B"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6940CE6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11.5</w:t>
            </w:r>
          </w:p>
        </w:tc>
        <w:tc>
          <w:tcPr>
            <w:tcW w:w="196" w:type="pct"/>
            <w:tcBorders>
              <w:top w:val="nil"/>
              <w:left w:val="nil"/>
              <w:bottom w:val="nil"/>
              <w:right w:val="nil"/>
            </w:tcBorders>
            <w:shd w:val="clear" w:color="auto" w:fill="auto"/>
            <w:noWrap/>
            <w:vAlign w:val="center"/>
            <w:hideMark/>
          </w:tcPr>
          <w:p w14:paraId="763C1AD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71" w:type="pct"/>
            <w:tcBorders>
              <w:top w:val="nil"/>
              <w:left w:val="nil"/>
              <w:bottom w:val="nil"/>
              <w:right w:val="nil"/>
            </w:tcBorders>
            <w:shd w:val="clear" w:color="auto" w:fill="auto"/>
            <w:noWrap/>
            <w:vAlign w:val="center"/>
            <w:hideMark/>
          </w:tcPr>
          <w:p w14:paraId="7ADF865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6C32CE8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9.6</w:t>
            </w:r>
          </w:p>
        </w:tc>
        <w:tc>
          <w:tcPr>
            <w:tcW w:w="173" w:type="pct"/>
            <w:tcBorders>
              <w:top w:val="nil"/>
              <w:left w:val="nil"/>
              <w:bottom w:val="nil"/>
              <w:right w:val="nil"/>
            </w:tcBorders>
            <w:shd w:val="clear" w:color="auto" w:fill="auto"/>
            <w:noWrap/>
            <w:vAlign w:val="center"/>
            <w:hideMark/>
          </w:tcPr>
          <w:p w14:paraId="742A70D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r>
      <w:tr w:rsidR="005E20CA" w:rsidRPr="005E20CA" w14:paraId="700F4F37" w14:textId="77777777" w:rsidTr="005E20CA">
        <w:trPr>
          <w:trHeight w:val="240"/>
        </w:trPr>
        <w:tc>
          <w:tcPr>
            <w:tcW w:w="287" w:type="pct"/>
            <w:tcBorders>
              <w:top w:val="nil"/>
              <w:left w:val="nil"/>
              <w:bottom w:val="nil"/>
              <w:right w:val="nil"/>
            </w:tcBorders>
            <w:shd w:val="clear" w:color="auto" w:fill="auto"/>
            <w:noWrap/>
            <w:vAlign w:val="center"/>
            <w:hideMark/>
          </w:tcPr>
          <w:p w14:paraId="599346C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MnO</w:t>
            </w:r>
          </w:p>
        </w:tc>
        <w:tc>
          <w:tcPr>
            <w:tcW w:w="355" w:type="pct"/>
            <w:tcBorders>
              <w:top w:val="nil"/>
              <w:left w:val="nil"/>
              <w:bottom w:val="nil"/>
              <w:right w:val="nil"/>
            </w:tcBorders>
            <w:shd w:val="clear" w:color="auto" w:fill="auto"/>
            <w:noWrap/>
            <w:vAlign w:val="center"/>
            <w:hideMark/>
          </w:tcPr>
          <w:p w14:paraId="020ED65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173" w:type="pct"/>
            <w:tcBorders>
              <w:top w:val="nil"/>
              <w:left w:val="nil"/>
              <w:bottom w:val="nil"/>
              <w:right w:val="nil"/>
            </w:tcBorders>
            <w:shd w:val="clear" w:color="auto" w:fill="auto"/>
            <w:noWrap/>
            <w:vAlign w:val="center"/>
            <w:hideMark/>
          </w:tcPr>
          <w:p w14:paraId="0E40F11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6C6CD485"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2621DDC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0.1</w:t>
            </w:r>
          </w:p>
        </w:tc>
        <w:tc>
          <w:tcPr>
            <w:tcW w:w="173" w:type="pct"/>
            <w:tcBorders>
              <w:top w:val="nil"/>
              <w:left w:val="nil"/>
              <w:bottom w:val="nil"/>
              <w:right w:val="nil"/>
            </w:tcBorders>
            <w:shd w:val="clear" w:color="auto" w:fill="auto"/>
            <w:noWrap/>
            <w:vAlign w:val="center"/>
            <w:hideMark/>
          </w:tcPr>
          <w:p w14:paraId="7C456DF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0E985455"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04E7EBF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173" w:type="pct"/>
            <w:tcBorders>
              <w:top w:val="nil"/>
              <w:left w:val="nil"/>
              <w:bottom w:val="nil"/>
              <w:right w:val="nil"/>
            </w:tcBorders>
            <w:shd w:val="clear" w:color="auto" w:fill="auto"/>
            <w:noWrap/>
            <w:vAlign w:val="center"/>
            <w:hideMark/>
          </w:tcPr>
          <w:p w14:paraId="5054273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7714392"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F3A02A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173" w:type="pct"/>
            <w:tcBorders>
              <w:top w:val="nil"/>
              <w:left w:val="nil"/>
              <w:bottom w:val="nil"/>
              <w:right w:val="nil"/>
            </w:tcBorders>
            <w:shd w:val="clear" w:color="auto" w:fill="auto"/>
            <w:noWrap/>
            <w:vAlign w:val="center"/>
            <w:hideMark/>
          </w:tcPr>
          <w:p w14:paraId="4F8530A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3A8BBBB"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3B36C3D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196" w:type="pct"/>
            <w:tcBorders>
              <w:top w:val="nil"/>
              <w:left w:val="nil"/>
              <w:bottom w:val="nil"/>
              <w:right w:val="nil"/>
            </w:tcBorders>
            <w:shd w:val="clear" w:color="auto" w:fill="auto"/>
            <w:noWrap/>
            <w:vAlign w:val="center"/>
            <w:hideMark/>
          </w:tcPr>
          <w:p w14:paraId="3F03A67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0A16B04D"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237637D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195" w:type="pct"/>
            <w:tcBorders>
              <w:top w:val="nil"/>
              <w:left w:val="nil"/>
              <w:bottom w:val="nil"/>
              <w:right w:val="nil"/>
            </w:tcBorders>
            <w:shd w:val="clear" w:color="auto" w:fill="auto"/>
            <w:noWrap/>
            <w:vAlign w:val="center"/>
            <w:hideMark/>
          </w:tcPr>
          <w:p w14:paraId="0949F47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534A1F7"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7F36830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196" w:type="pct"/>
            <w:tcBorders>
              <w:top w:val="nil"/>
              <w:left w:val="nil"/>
              <w:bottom w:val="nil"/>
              <w:right w:val="nil"/>
            </w:tcBorders>
            <w:shd w:val="clear" w:color="auto" w:fill="auto"/>
            <w:noWrap/>
            <w:vAlign w:val="center"/>
            <w:hideMark/>
          </w:tcPr>
          <w:p w14:paraId="694D9EF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61D7B069"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2A9787B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0.1</w:t>
            </w:r>
          </w:p>
        </w:tc>
        <w:tc>
          <w:tcPr>
            <w:tcW w:w="173" w:type="pct"/>
            <w:tcBorders>
              <w:top w:val="nil"/>
              <w:left w:val="nil"/>
              <w:bottom w:val="nil"/>
              <w:right w:val="nil"/>
            </w:tcBorders>
            <w:shd w:val="clear" w:color="auto" w:fill="auto"/>
            <w:noWrap/>
            <w:vAlign w:val="center"/>
            <w:hideMark/>
          </w:tcPr>
          <w:p w14:paraId="123E033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3A77CB24" w14:textId="77777777" w:rsidTr="005E20CA">
        <w:trPr>
          <w:trHeight w:val="240"/>
        </w:trPr>
        <w:tc>
          <w:tcPr>
            <w:tcW w:w="287" w:type="pct"/>
            <w:tcBorders>
              <w:top w:val="nil"/>
              <w:left w:val="nil"/>
              <w:bottom w:val="nil"/>
              <w:right w:val="nil"/>
            </w:tcBorders>
            <w:shd w:val="clear" w:color="auto" w:fill="auto"/>
            <w:noWrap/>
            <w:vAlign w:val="center"/>
            <w:hideMark/>
          </w:tcPr>
          <w:p w14:paraId="165EEE3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MgO</w:t>
            </w:r>
          </w:p>
        </w:tc>
        <w:tc>
          <w:tcPr>
            <w:tcW w:w="355" w:type="pct"/>
            <w:tcBorders>
              <w:top w:val="nil"/>
              <w:left w:val="nil"/>
              <w:bottom w:val="nil"/>
              <w:right w:val="nil"/>
            </w:tcBorders>
            <w:shd w:val="clear" w:color="auto" w:fill="auto"/>
            <w:noWrap/>
            <w:vAlign w:val="center"/>
            <w:hideMark/>
          </w:tcPr>
          <w:p w14:paraId="52E46EF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47.3</w:t>
            </w:r>
          </w:p>
        </w:tc>
        <w:tc>
          <w:tcPr>
            <w:tcW w:w="173" w:type="pct"/>
            <w:tcBorders>
              <w:top w:val="nil"/>
              <w:left w:val="nil"/>
              <w:bottom w:val="nil"/>
              <w:right w:val="nil"/>
            </w:tcBorders>
            <w:shd w:val="clear" w:color="auto" w:fill="auto"/>
            <w:noWrap/>
            <w:vAlign w:val="center"/>
            <w:hideMark/>
          </w:tcPr>
          <w:p w14:paraId="2082F20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0.8</w:t>
            </w:r>
          </w:p>
        </w:tc>
        <w:tc>
          <w:tcPr>
            <w:tcW w:w="71" w:type="pct"/>
            <w:tcBorders>
              <w:top w:val="nil"/>
              <w:left w:val="nil"/>
              <w:bottom w:val="nil"/>
              <w:right w:val="nil"/>
            </w:tcBorders>
            <w:shd w:val="clear" w:color="auto" w:fill="auto"/>
            <w:noWrap/>
            <w:vAlign w:val="center"/>
            <w:hideMark/>
          </w:tcPr>
          <w:p w14:paraId="5A8B8B4C"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66BC88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48.2</w:t>
            </w:r>
          </w:p>
        </w:tc>
        <w:tc>
          <w:tcPr>
            <w:tcW w:w="173" w:type="pct"/>
            <w:tcBorders>
              <w:top w:val="nil"/>
              <w:left w:val="nil"/>
              <w:bottom w:val="nil"/>
              <w:right w:val="nil"/>
            </w:tcBorders>
            <w:shd w:val="clear" w:color="auto" w:fill="auto"/>
            <w:noWrap/>
            <w:vAlign w:val="center"/>
            <w:hideMark/>
          </w:tcPr>
          <w:p w14:paraId="5FF824A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0.5</w:t>
            </w:r>
          </w:p>
        </w:tc>
        <w:tc>
          <w:tcPr>
            <w:tcW w:w="71" w:type="pct"/>
            <w:tcBorders>
              <w:top w:val="nil"/>
              <w:left w:val="nil"/>
              <w:bottom w:val="nil"/>
              <w:right w:val="nil"/>
            </w:tcBorders>
            <w:shd w:val="clear" w:color="auto" w:fill="auto"/>
            <w:noWrap/>
            <w:vAlign w:val="center"/>
            <w:hideMark/>
          </w:tcPr>
          <w:p w14:paraId="4DA20290"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B49327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47.5</w:t>
            </w:r>
          </w:p>
        </w:tc>
        <w:tc>
          <w:tcPr>
            <w:tcW w:w="173" w:type="pct"/>
            <w:tcBorders>
              <w:top w:val="nil"/>
              <w:left w:val="nil"/>
              <w:bottom w:val="nil"/>
              <w:right w:val="nil"/>
            </w:tcBorders>
            <w:shd w:val="clear" w:color="auto" w:fill="auto"/>
            <w:noWrap/>
            <w:vAlign w:val="center"/>
            <w:hideMark/>
          </w:tcPr>
          <w:p w14:paraId="2222DFF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0.8</w:t>
            </w:r>
          </w:p>
        </w:tc>
        <w:tc>
          <w:tcPr>
            <w:tcW w:w="71" w:type="pct"/>
            <w:tcBorders>
              <w:top w:val="nil"/>
              <w:left w:val="nil"/>
              <w:bottom w:val="nil"/>
              <w:right w:val="nil"/>
            </w:tcBorders>
            <w:shd w:val="clear" w:color="auto" w:fill="auto"/>
            <w:noWrap/>
            <w:vAlign w:val="center"/>
            <w:hideMark/>
          </w:tcPr>
          <w:p w14:paraId="2EF7F368"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7941B85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47.6</w:t>
            </w:r>
          </w:p>
        </w:tc>
        <w:tc>
          <w:tcPr>
            <w:tcW w:w="173" w:type="pct"/>
            <w:tcBorders>
              <w:top w:val="nil"/>
              <w:left w:val="nil"/>
              <w:bottom w:val="nil"/>
              <w:right w:val="nil"/>
            </w:tcBorders>
            <w:shd w:val="clear" w:color="auto" w:fill="auto"/>
            <w:noWrap/>
            <w:vAlign w:val="center"/>
            <w:hideMark/>
          </w:tcPr>
          <w:p w14:paraId="6949E07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71" w:type="pct"/>
            <w:tcBorders>
              <w:top w:val="nil"/>
              <w:left w:val="nil"/>
              <w:bottom w:val="nil"/>
              <w:right w:val="nil"/>
            </w:tcBorders>
            <w:shd w:val="clear" w:color="auto" w:fill="auto"/>
            <w:noWrap/>
            <w:vAlign w:val="center"/>
            <w:hideMark/>
          </w:tcPr>
          <w:p w14:paraId="5234D646"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500D193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48.4</w:t>
            </w:r>
          </w:p>
        </w:tc>
        <w:tc>
          <w:tcPr>
            <w:tcW w:w="196" w:type="pct"/>
            <w:tcBorders>
              <w:top w:val="nil"/>
              <w:left w:val="nil"/>
              <w:bottom w:val="nil"/>
              <w:right w:val="nil"/>
            </w:tcBorders>
            <w:shd w:val="clear" w:color="auto" w:fill="auto"/>
            <w:noWrap/>
            <w:vAlign w:val="center"/>
            <w:hideMark/>
          </w:tcPr>
          <w:p w14:paraId="218E22E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nil"/>
              <w:right w:val="nil"/>
            </w:tcBorders>
            <w:shd w:val="clear" w:color="auto" w:fill="auto"/>
            <w:noWrap/>
            <w:vAlign w:val="center"/>
            <w:hideMark/>
          </w:tcPr>
          <w:p w14:paraId="64DD1D41"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11B828B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47.2</w:t>
            </w:r>
          </w:p>
        </w:tc>
        <w:tc>
          <w:tcPr>
            <w:tcW w:w="195" w:type="pct"/>
            <w:tcBorders>
              <w:top w:val="nil"/>
              <w:left w:val="nil"/>
              <w:bottom w:val="nil"/>
              <w:right w:val="nil"/>
            </w:tcBorders>
            <w:shd w:val="clear" w:color="auto" w:fill="auto"/>
            <w:noWrap/>
            <w:vAlign w:val="center"/>
            <w:hideMark/>
          </w:tcPr>
          <w:p w14:paraId="60FE059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0.5</w:t>
            </w:r>
          </w:p>
        </w:tc>
        <w:tc>
          <w:tcPr>
            <w:tcW w:w="71" w:type="pct"/>
            <w:tcBorders>
              <w:top w:val="nil"/>
              <w:left w:val="nil"/>
              <w:bottom w:val="nil"/>
              <w:right w:val="nil"/>
            </w:tcBorders>
            <w:shd w:val="clear" w:color="auto" w:fill="auto"/>
            <w:noWrap/>
            <w:vAlign w:val="center"/>
            <w:hideMark/>
          </w:tcPr>
          <w:p w14:paraId="0C292BEE"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2286F42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47.5</w:t>
            </w:r>
          </w:p>
        </w:tc>
        <w:tc>
          <w:tcPr>
            <w:tcW w:w="196" w:type="pct"/>
            <w:tcBorders>
              <w:top w:val="nil"/>
              <w:left w:val="nil"/>
              <w:bottom w:val="nil"/>
              <w:right w:val="nil"/>
            </w:tcBorders>
            <w:shd w:val="clear" w:color="auto" w:fill="auto"/>
            <w:noWrap/>
            <w:vAlign w:val="center"/>
            <w:hideMark/>
          </w:tcPr>
          <w:p w14:paraId="2E5203F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nil"/>
              <w:right w:val="nil"/>
            </w:tcBorders>
            <w:shd w:val="clear" w:color="auto" w:fill="auto"/>
            <w:noWrap/>
            <w:vAlign w:val="center"/>
            <w:hideMark/>
          </w:tcPr>
          <w:p w14:paraId="1B6FF01B"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05B049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49.8</w:t>
            </w:r>
          </w:p>
        </w:tc>
        <w:tc>
          <w:tcPr>
            <w:tcW w:w="173" w:type="pct"/>
            <w:tcBorders>
              <w:top w:val="nil"/>
              <w:left w:val="nil"/>
              <w:bottom w:val="nil"/>
              <w:right w:val="nil"/>
            </w:tcBorders>
            <w:shd w:val="clear" w:color="auto" w:fill="auto"/>
            <w:noWrap/>
            <w:vAlign w:val="center"/>
            <w:hideMark/>
          </w:tcPr>
          <w:p w14:paraId="2ECAF07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r>
      <w:tr w:rsidR="005E20CA" w:rsidRPr="005E20CA" w14:paraId="6E2C2979" w14:textId="77777777" w:rsidTr="005E20CA">
        <w:trPr>
          <w:trHeight w:val="240"/>
        </w:trPr>
        <w:tc>
          <w:tcPr>
            <w:tcW w:w="287" w:type="pct"/>
            <w:tcBorders>
              <w:top w:val="nil"/>
              <w:left w:val="nil"/>
              <w:bottom w:val="nil"/>
              <w:right w:val="nil"/>
            </w:tcBorders>
            <w:shd w:val="clear" w:color="auto" w:fill="auto"/>
            <w:noWrap/>
            <w:vAlign w:val="center"/>
            <w:hideMark/>
          </w:tcPr>
          <w:p w14:paraId="20B8E99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CaO</w:t>
            </w:r>
          </w:p>
        </w:tc>
        <w:tc>
          <w:tcPr>
            <w:tcW w:w="355" w:type="pct"/>
            <w:tcBorders>
              <w:top w:val="nil"/>
              <w:left w:val="nil"/>
              <w:bottom w:val="nil"/>
              <w:right w:val="nil"/>
            </w:tcBorders>
            <w:shd w:val="clear" w:color="auto" w:fill="auto"/>
            <w:noWrap/>
            <w:vAlign w:val="center"/>
            <w:hideMark/>
          </w:tcPr>
          <w:p w14:paraId="70E6F51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6755510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F11E264"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7C26EB4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7C1D9BB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6EAFAD2"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FA5073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0912499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D9D9DF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2C2C9F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45CB583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2503C1AC"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1C29A3D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047F96C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2DC8D738"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0CF5414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37D63B0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30A252A8"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5E49C0D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4E77A85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F82AA5C"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2CE7C9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368D84C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221E9F36" w14:textId="77777777" w:rsidTr="005E20CA">
        <w:trPr>
          <w:trHeight w:val="240"/>
        </w:trPr>
        <w:tc>
          <w:tcPr>
            <w:tcW w:w="287" w:type="pct"/>
            <w:tcBorders>
              <w:top w:val="nil"/>
              <w:left w:val="nil"/>
              <w:bottom w:val="nil"/>
              <w:right w:val="nil"/>
            </w:tcBorders>
            <w:shd w:val="clear" w:color="auto" w:fill="auto"/>
            <w:noWrap/>
            <w:vAlign w:val="center"/>
            <w:hideMark/>
          </w:tcPr>
          <w:p w14:paraId="2F3FFCF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Na</w:t>
            </w:r>
            <w:r w:rsidRPr="005E20CA">
              <w:rPr>
                <w:rFonts w:eastAsia="Times New Roman"/>
                <w:sz w:val="18"/>
                <w:szCs w:val="18"/>
                <w:vertAlign w:val="subscript"/>
                <w:lang w:val="fr-FR" w:eastAsia="fr-FR"/>
              </w:rPr>
              <w:t>2</w:t>
            </w:r>
            <w:r w:rsidRPr="005E20CA">
              <w:rPr>
                <w:rFonts w:eastAsia="Times New Roman"/>
                <w:sz w:val="18"/>
                <w:szCs w:val="18"/>
                <w:lang w:val="fr-FR" w:eastAsia="fr-FR"/>
              </w:rPr>
              <w:t>O</w:t>
            </w:r>
          </w:p>
        </w:tc>
        <w:tc>
          <w:tcPr>
            <w:tcW w:w="355" w:type="pct"/>
            <w:tcBorders>
              <w:top w:val="nil"/>
              <w:left w:val="nil"/>
              <w:bottom w:val="nil"/>
              <w:right w:val="nil"/>
            </w:tcBorders>
            <w:shd w:val="clear" w:color="auto" w:fill="auto"/>
            <w:noWrap/>
            <w:vAlign w:val="center"/>
            <w:hideMark/>
          </w:tcPr>
          <w:p w14:paraId="44D8933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43950FC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88C35B7"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5F58C3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780FFE0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8923927"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CA74D8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7956355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B4A449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6B3749C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43160BD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3FD03781"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31EE1CE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16D7262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6E073E6"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7BCB197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399BEA8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2D820FA5"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719F006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7BDFA35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D895F46"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2A18DC3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16C5176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3B15FF9D" w14:textId="77777777" w:rsidTr="005E20CA">
        <w:trPr>
          <w:trHeight w:val="240"/>
        </w:trPr>
        <w:tc>
          <w:tcPr>
            <w:tcW w:w="287" w:type="pct"/>
            <w:tcBorders>
              <w:top w:val="nil"/>
              <w:left w:val="nil"/>
              <w:bottom w:val="nil"/>
              <w:right w:val="nil"/>
            </w:tcBorders>
            <w:shd w:val="clear" w:color="auto" w:fill="auto"/>
            <w:noWrap/>
            <w:vAlign w:val="center"/>
            <w:hideMark/>
          </w:tcPr>
          <w:p w14:paraId="0BCE8C3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K</w:t>
            </w:r>
            <w:r w:rsidRPr="005E20CA">
              <w:rPr>
                <w:rFonts w:eastAsia="Times New Roman"/>
                <w:sz w:val="18"/>
                <w:szCs w:val="18"/>
                <w:vertAlign w:val="subscript"/>
                <w:lang w:val="fr-FR" w:eastAsia="fr-FR"/>
              </w:rPr>
              <w:t>2</w:t>
            </w:r>
            <w:r w:rsidRPr="005E20CA">
              <w:rPr>
                <w:rFonts w:eastAsia="Times New Roman"/>
                <w:sz w:val="18"/>
                <w:szCs w:val="18"/>
                <w:lang w:val="fr-FR" w:eastAsia="fr-FR"/>
              </w:rPr>
              <w:t>O</w:t>
            </w:r>
          </w:p>
        </w:tc>
        <w:tc>
          <w:tcPr>
            <w:tcW w:w="355" w:type="pct"/>
            <w:tcBorders>
              <w:top w:val="nil"/>
              <w:left w:val="nil"/>
              <w:bottom w:val="nil"/>
              <w:right w:val="nil"/>
            </w:tcBorders>
            <w:shd w:val="clear" w:color="auto" w:fill="auto"/>
            <w:noWrap/>
            <w:vAlign w:val="center"/>
            <w:hideMark/>
          </w:tcPr>
          <w:p w14:paraId="0DE623A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50F17E7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B8CED00"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86CF01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1642989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3E3A4BB"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1F335A4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101BF09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AE8FE83"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7778A98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6B0C73E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7C6AF31"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7C3BE20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205A668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71D2AEE"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4504C20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6294710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3C0848F"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3BAA678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13533A9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AFC107D"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31196D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44D5046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09BB6C94" w14:textId="77777777" w:rsidTr="005E20CA">
        <w:trPr>
          <w:trHeight w:val="240"/>
        </w:trPr>
        <w:tc>
          <w:tcPr>
            <w:tcW w:w="287" w:type="pct"/>
            <w:tcBorders>
              <w:top w:val="nil"/>
              <w:left w:val="nil"/>
              <w:bottom w:val="nil"/>
              <w:right w:val="nil"/>
            </w:tcBorders>
            <w:shd w:val="clear" w:color="auto" w:fill="auto"/>
            <w:noWrap/>
            <w:vAlign w:val="center"/>
            <w:hideMark/>
          </w:tcPr>
          <w:p w14:paraId="55FC05F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Cr</w:t>
            </w:r>
            <w:r w:rsidRPr="005E20CA">
              <w:rPr>
                <w:rFonts w:eastAsia="Times New Roman"/>
                <w:sz w:val="18"/>
                <w:szCs w:val="18"/>
                <w:vertAlign w:val="subscript"/>
                <w:lang w:val="fr-FR" w:eastAsia="fr-FR"/>
              </w:rPr>
              <w:t>2</w:t>
            </w:r>
            <w:r w:rsidRPr="005E20CA">
              <w:rPr>
                <w:rFonts w:eastAsia="Times New Roman"/>
                <w:sz w:val="18"/>
                <w:szCs w:val="18"/>
                <w:lang w:val="fr-FR" w:eastAsia="fr-FR"/>
              </w:rPr>
              <w:t>O</w:t>
            </w:r>
            <w:r w:rsidRPr="005E20CA">
              <w:rPr>
                <w:rFonts w:eastAsia="Times New Roman"/>
                <w:sz w:val="18"/>
                <w:szCs w:val="18"/>
                <w:vertAlign w:val="subscript"/>
                <w:lang w:val="fr-FR" w:eastAsia="fr-FR"/>
              </w:rPr>
              <w:t>3</w:t>
            </w:r>
          </w:p>
        </w:tc>
        <w:tc>
          <w:tcPr>
            <w:tcW w:w="355" w:type="pct"/>
            <w:tcBorders>
              <w:top w:val="nil"/>
              <w:left w:val="nil"/>
              <w:bottom w:val="nil"/>
              <w:right w:val="nil"/>
            </w:tcBorders>
            <w:shd w:val="clear" w:color="auto" w:fill="auto"/>
            <w:noWrap/>
            <w:vAlign w:val="center"/>
            <w:hideMark/>
          </w:tcPr>
          <w:p w14:paraId="407DF66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3B638CB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51914A6"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E3A26E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77F35CD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E3D4D51"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20CBF2A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4B29669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0E514184"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E4B213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0345568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6145674"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25454D7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6EBA07A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1C56730"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3D1499A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5A57167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A06F1E2"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577A4C9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09D8D60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E97CBF1"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0077D0F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0F995E1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13189472" w14:textId="77777777" w:rsidTr="005E20CA">
        <w:trPr>
          <w:trHeight w:val="240"/>
        </w:trPr>
        <w:tc>
          <w:tcPr>
            <w:tcW w:w="287" w:type="pct"/>
            <w:tcBorders>
              <w:top w:val="nil"/>
              <w:left w:val="nil"/>
              <w:bottom w:val="nil"/>
              <w:right w:val="nil"/>
            </w:tcBorders>
            <w:shd w:val="clear" w:color="auto" w:fill="auto"/>
            <w:noWrap/>
            <w:vAlign w:val="center"/>
            <w:hideMark/>
          </w:tcPr>
          <w:p w14:paraId="76412F0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NiO</w:t>
            </w:r>
          </w:p>
        </w:tc>
        <w:tc>
          <w:tcPr>
            <w:tcW w:w="355" w:type="pct"/>
            <w:tcBorders>
              <w:top w:val="nil"/>
              <w:left w:val="nil"/>
              <w:bottom w:val="nil"/>
              <w:right w:val="nil"/>
            </w:tcBorders>
            <w:shd w:val="clear" w:color="auto" w:fill="auto"/>
            <w:noWrap/>
            <w:vAlign w:val="center"/>
            <w:hideMark/>
          </w:tcPr>
          <w:p w14:paraId="3DB6567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173" w:type="pct"/>
            <w:tcBorders>
              <w:top w:val="nil"/>
              <w:left w:val="nil"/>
              <w:bottom w:val="nil"/>
              <w:right w:val="nil"/>
            </w:tcBorders>
            <w:shd w:val="clear" w:color="auto" w:fill="auto"/>
            <w:noWrap/>
            <w:vAlign w:val="center"/>
            <w:hideMark/>
          </w:tcPr>
          <w:p w14:paraId="172085A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5B315E7"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525C236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173" w:type="pct"/>
            <w:tcBorders>
              <w:top w:val="nil"/>
              <w:left w:val="nil"/>
              <w:bottom w:val="nil"/>
              <w:right w:val="nil"/>
            </w:tcBorders>
            <w:shd w:val="clear" w:color="auto" w:fill="auto"/>
            <w:noWrap/>
            <w:vAlign w:val="center"/>
            <w:hideMark/>
          </w:tcPr>
          <w:p w14:paraId="33C6C9C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0.1</w:t>
            </w:r>
          </w:p>
        </w:tc>
        <w:tc>
          <w:tcPr>
            <w:tcW w:w="71" w:type="pct"/>
            <w:tcBorders>
              <w:top w:val="nil"/>
              <w:left w:val="nil"/>
              <w:bottom w:val="nil"/>
              <w:right w:val="nil"/>
            </w:tcBorders>
            <w:shd w:val="clear" w:color="auto" w:fill="auto"/>
            <w:noWrap/>
            <w:vAlign w:val="center"/>
            <w:hideMark/>
          </w:tcPr>
          <w:p w14:paraId="6C37F3AA"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98BC42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173" w:type="pct"/>
            <w:tcBorders>
              <w:top w:val="nil"/>
              <w:left w:val="nil"/>
              <w:bottom w:val="nil"/>
              <w:right w:val="nil"/>
            </w:tcBorders>
            <w:shd w:val="clear" w:color="auto" w:fill="auto"/>
            <w:noWrap/>
            <w:vAlign w:val="center"/>
            <w:hideMark/>
          </w:tcPr>
          <w:p w14:paraId="41F209A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0.1</w:t>
            </w:r>
          </w:p>
        </w:tc>
        <w:tc>
          <w:tcPr>
            <w:tcW w:w="71" w:type="pct"/>
            <w:tcBorders>
              <w:top w:val="nil"/>
              <w:left w:val="nil"/>
              <w:bottom w:val="nil"/>
              <w:right w:val="nil"/>
            </w:tcBorders>
            <w:shd w:val="clear" w:color="auto" w:fill="auto"/>
            <w:noWrap/>
            <w:vAlign w:val="center"/>
            <w:hideMark/>
          </w:tcPr>
          <w:p w14:paraId="7D68350F"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21C87CE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173" w:type="pct"/>
            <w:tcBorders>
              <w:top w:val="nil"/>
              <w:left w:val="nil"/>
              <w:bottom w:val="nil"/>
              <w:right w:val="nil"/>
            </w:tcBorders>
            <w:shd w:val="clear" w:color="auto" w:fill="auto"/>
            <w:noWrap/>
            <w:vAlign w:val="center"/>
            <w:hideMark/>
          </w:tcPr>
          <w:p w14:paraId="236C9EE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9180C56"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4A9DF69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196" w:type="pct"/>
            <w:tcBorders>
              <w:top w:val="nil"/>
              <w:left w:val="nil"/>
              <w:bottom w:val="nil"/>
              <w:right w:val="nil"/>
            </w:tcBorders>
            <w:shd w:val="clear" w:color="auto" w:fill="auto"/>
            <w:noWrap/>
            <w:vAlign w:val="center"/>
            <w:hideMark/>
          </w:tcPr>
          <w:p w14:paraId="290AC7C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D9F79A9"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0A0B03B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195" w:type="pct"/>
            <w:tcBorders>
              <w:top w:val="nil"/>
              <w:left w:val="nil"/>
              <w:bottom w:val="nil"/>
              <w:right w:val="nil"/>
            </w:tcBorders>
            <w:shd w:val="clear" w:color="auto" w:fill="auto"/>
            <w:noWrap/>
            <w:vAlign w:val="center"/>
            <w:hideMark/>
          </w:tcPr>
          <w:p w14:paraId="639B3E1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55AA607B"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0444444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196" w:type="pct"/>
            <w:tcBorders>
              <w:top w:val="nil"/>
              <w:left w:val="nil"/>
              <w:bottom w:val="nil"/>
              <w:right w:val="nil"/>
            </w:tcBorders>
            <w:shd w:val="clear" w:color="auto" w:fill="auto"/>
            <w:noWrap/>
            <w:vAlign w:val="center"/>
            <w:hideMark/>
          </w:tcPr>
          <w:p w14:paraId="49FAFE8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3D0257A1"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1DE8A13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173" w:type="pct"/>
            <w:tcBorders>
              <w:top w:val="nil"/>
              <w:left w:val="nil"/>
              <w:bottom w:val="nil"/>
              <w:right w:val="nil"/>
            </w:tcBorders>
            <w:shd w:val="clear" w:color="auto" w:fill="auto"/>
            <w:noWrap/>
            <w:vAlign w:val="center"/>
            <w:hideMark/>
          </w:tcPr>
          <w:p w14:paraId="007E94A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4C081432" w14:textId="77777777" w:rsidTr="005E20CA">
        <w:trPr>
          <w:trHeight w:val="240"/>
        </w:trPr>
        <w:tc>
          <w:tcPr>
            <w:tcW w:w="287" w:type="pct"/>
            <w:tcBorders>
              <w:top w:val="nil"/>
              <w:left w:val="nil"/>
              <w:bottom w:val="nil"/>
              <w:right w:val="nil"/>
            </w:tcBorders>
            <w:shd w:val="clear" w:color="auto" w:fill="auto"/>
            <w:noWrap/>
            <w:vAlign w:val="center"/>
            <w:hideMark/>
          </w:tcPr>
          <w:p w14:paraId="3103967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Cl</w:t>
            </w:r>
          </w:p>
        </w:tc>
        <w:tc>
          <w:tcPr>
            <w:tcW w:w="355" w:type="pct"/>
            <w:tcBorders>
              <w:top w:val="nil"/>
              <w:left w:val="nil"/>
              <w:bottom w:val="nil"/>
              <w:right w:val="nil"/>
            </w:tcBorders>
            <w:shd w:val="clear" w:color="auto" w:fill="auto"/>
            <w:noWrap/>
            <w:vAlign w:val="center"/>
            <w:hideMark/>
          </w:tcPr>
          <w:p w14:paraId="71B0D37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27ACAE0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269DB457"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0B1C270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52110A1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2BCB4B9"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C6E090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345D3A1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78986EC"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720A096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06170C5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3D40EBFA"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7EA99A2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4B8BBD2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4AE58705"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6279A79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701EADA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63F8FE84"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6248EAC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2264233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6A8F5E2"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AEDE2A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231DDF3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25A5451C" w14:textId="77777777" w:rsidTr="005E20CA">
        <w:trPr>
          <w:trHeight w:val="240"/>
        </w:trPr>
        <w:tc>
          <w:tcPr>
            <w:tcW w:w="287" w:type="pct"/>
            <w:tcBorders>
              <w:top w:val="nil"/>
              <w:left w:val="nil"/>
              <w:bottom w:val="nil"/>
              <w:right w:val="nil"/>
            </w:tcBorders>
            <w:shd w:val="clear" w:color="auto" w:fill="auto"/>
            <w:noWrap/>
            <w:vAlign w:val="center"/>
            <w:hideMark/>
          </w:tcPr>
          <w:p w14:paraId="6CFBA13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F</w:t>
            </w:r>
          </w:p>
        </w:tc>
        <w:tc>
          <w:tcPr>
            <w:tcW w:w="355" w:type="pct"/>
            <w:tcBorders>
              <w:top w:val="nil"/>
              <w:left w:val="nil"/>
              <w:bottom w:val="nil"/>
              <w:right w:val="nil"/>
            </w:tcBorders>
            <w:shd w:val="clear" w:color="auto" w:fill="auto"/>
            <w:noWrap/>
            <w:vAlign w:val="center"/>
            <w:hideMark/>
          </w:tcPr>
          <w:p w14:paraId="0C65DAF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3A8EBB0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10A8FDD1"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E1DF65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1E80696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0.1</w:t>
            </w:r>
          </w:p>
        </w:tc>
        <w:tc>
          <w:tcPr>
            <w:tcW w:w="71" w:type="pct"/>
            <w:tcBorders>
              <w:top w:val="nil"/>
              <w:left w:val="nil"/>
              <w:bottom w:val="nil"/>
              <w:right w:val="nil"/>
            </w:tcBorders>
            <w:shd w:val="clear" w:color="auto" w:fill="auto"/>
            <w:noWrap/>
            <w:vAlign w:val="center"/>
            <w:hideMark/>
          </w:tcPr>
          <w:p w14:paraId="3F579F28"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1F81911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48A88EE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057F0272"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748D90A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75F41EB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0.1</w:t>
            </w:r>
          </w:p>
        </w:tc>
        <w:tc>
          <w:tcPr>
            <w:tcW w:w="71" w:type="pct"/>
            <w:tcBorders>
              <w:top w:val="nil"/>
              <w:left w:val="nil"/>
              <w:bottom w:val="nil"/>
              <w:right w:val="nil"/>
            </w:tcBorders>
            <w:shd w:val="clear" w:color="auto" w:fill="auto"/>
            <w:noWrap/>
            <w:vAlign w:val="center"/>
            <w:hideMark/>
          </w:tcPr>
          <w:p w14:paraId="314AC1EC"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1BFE4F2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0630666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09D4B32B"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3FEA2BD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5" w:type="pct"/>
            <w:tcBorders>
              <w:top w:val="nil"/>
              <w:left w:val="nil"/>
              <w:bottom w:val="nil"/>
              <w:right w:val="nil"/>
            </w:tcBorders>
            <w:shd w:val="clear" w:color="auto" w:fill="auto"/>
            <w:noWrap/>
            <w:vAlign w:val="center"/>
            <w:hideMark/>
          </w:tcPr>
          <w:p w14:paraId="15A1ED2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001363D6"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02E9AF7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96" w:type="pct"/>
            <w:tcBorders>
              <w:top w:val="nil"/>
              <w:left w:val="nil"/>
              <w:bottom w:val="nil"/>
              <w:right w:val="nil"/>
            </w:tcBorders>
            <w:shd w:val="clear" w:color="auto" w:fill="auto"/>
            <w:noWrap/>
            <w:vAlign w:val="center"/>
            <w:hideMark/>
          </w:tcPr>
          <w:p w14:paraId="59FDD80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71" w:type="pct"/>
            <w:tcBorders>
              <w:top w:val="nil"/>
              <w:left w:val="nil"/>
              <w:bottom w:val="nil"/>
              <w:right w:val="nil"/>
            </w:tcBorders>
            <w:shd w:val="clear" w:color="auto" w:fill="auto"/>
            <w:noWrap/>
            <w:vAlign w:val="center"/>
            <w:hideMark/>
          </w:tcPr>
          <w:p w14:paraId="7A546915"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135046A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c>
          <w:tcPr>
            <w:tcW w:w="173" w:type="pct"/>
            <w:tcBorders>
              <w:top w:val="nil"/>
              <w:left w:val="nil"/>
              <w:bottom w:val="nil"/>
              <w:right w:val="nil"/>
            </w:tcBorders>
            <w:shd w:val="clear" w:color="auto" w:fill="auto"/>
            <w:noWrap/>
            <w:vAlign w:val="center"/>
            <w:hideMark/>
          </w:tcPr>
          <w:p w14:paraId="09B2A65F"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0.0</w:t>
            </w:r>
          </w:p>
        </w:tc>
      </w:tr>
      <w:tr w:rsidR="005E20CA" w:rsidRPr="005E20CA" w14:paraId="56AEB850" w14:textId="77777777" w:rsidTr="005E20CA">
        <w:trPr>
          <w:trHeight w:val="240"/>
        </w:trPr>
        <w:tc>
          <w:tcPr>
            <w:tcW w:w="287" w:type="pct"/>
            <w:tcBorders>
              <w:top w:val="nil"/>
              <w:left w:val="nil"/>
              <w:bottom w:val="nil"/>
              <w:right w:val="nil"/>
            </w:tcBorders>
            <w:shd w:val="clear" w:color="auto" w:fill="auto"/>
            <w:noWrap/>
            <w:vAlign w:val="center"/>
            <w:hideMark/>
          </w:tcPr>
          <w:p w14:paraId="5058F84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Total</w:t>
            </w:r>
          </w:p>
        </w:tc>
        <w:tc>
          <w:tcPr>
            <w:tcW w:w="355" w:type="pct"/>
            <w:tcBorders>
              <w:top w:val="nil"/>
              <w:left w:val="nil"/>
              <w:bottom w:val="nil"/>
              <w:right w:val="nil"/>
            </w:tcBorders>
            <w:shd w:val="clear" w:color="auto" w:fill="auto"/>
            <w:noWrap/>
            <w:vAlign w:val="center"/>
            <w:hideMark/>
          </w:tcPr>
          <w:p w14:paraId="003A4D2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101.0</w:t>
            </w:r>
          </w:p>
        </w:tc>
        <w:tc>
          <w:tcPr>
            <w:tcW w:w="173" w:type="pct"/>
            <w:tcBorders>
              <w:top w:val="nil"/>
              <w:left w:val="nil"/>
              <w:bottom w:val="nil"/>
              <w:right w:val="nil"/>
            </w:tcBorders>
            <w:shd w:val="clear" w:color="auto" w:fill="auto"/>
            <w:noWrap/>
            <w:vAlign w:val="center"/>
            <w:hideMark/>
          </w:tcPr>
          <w:p w14:paraId="57ADDCC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71" w:type="pct"/>
            <w:tcBorders>
              <w:top w:val="nil"/>
              <w:left w:val="nil"/>
              <w:bottom w:val="nil"/>
              <w:right w:val="nil"/>
            </w:tcBorders>
            <w:shd w:val="clear" w:color="auto" w:fill="auto"/>
            <w:noWrap/>
            <w:vAlign w:val="center"/>
            <w:hideMark/>
          </w:tcPr>
          <w:p w14:paraId="43FCA14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4DC506B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100.8</w:t>
            </w:r>
          </w:p>
        </w:tc>
        <w:tc>
          <w:tcPr>
            <w:tcW w:w="173" w:type="pct"/>
            <w:tcBorders>
              <w:top w:val="nil"/>
              <w:left w:val="nil"/>
              <w:bottom w:val="nil"/>
              <w:right w:val="nil"/>
            </w:tcBorders>
            <w:shd w:val="clear" w:color="auto" w:fill="auto"/>
            <w:noWrap/>
            <w:vAlign w:val="center"/>
            <w:hideMark/>
          </w:tcPr>
          <w:p w14:paraId="1A9FDBC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0.6</w:t>
            </w:r>
          </w:p>
        </w:tc>
        <w:tc>
          <w:tcPr>
            <w:tcW w:w="71" w:type="pct"/>
            <w:tcBorders>
              <w:top w:val="nil"/>
              <w:left w:val="nil"/>
              <w:bottom w:val="nil"/>
              <w:right w:val="nil"/>
            </w:tcBorders>
            <w:shd w:val="clear" w:color="auto" w:fill="auto"/>
            <w:noWrap/>
            <w:vAlign w:val="center"/>
            <w:hideMark/>
          </w:tcPr>
          <w:p w14:paraId="01BFECDE"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3AEEA64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99.6</w:t>
            </w:r>
          </w:p>
        </w:tc>
        <w:tc>
          <w:tcPr>
            <w:tcW w:w="173" w:type="pct"/>
            <w:tcBorders>
              <w:top w:val="nil"/>
              <w:left w:val="nil"/>
              <w:bottom w:val="nil"/>
              <w:right w:val="nil"/>
            </w:tcBorders>
            <w:shd w:val="clear" w:color="auto" w:fill="auto"/>
            <w:noWrap/>
            <w:vAlign w:val="center"/>
            <w:hideMark/>
          </w:tcPr>
          <w:p w14:paraId="706D393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w:t>
            </w:r>
          </w:p>
        </w:tc>
        <w:tc>
          <w:tcPr>
            <w:tcW w:w="71" w:type="pct"/>
            <w:tcBorders>
              <w:top w:val="nil"/>
              <w:left w:val="nil"/>
              <w:bottom w:val="nil"/>
              <w:right w:val="nil"/>
            </w:tcBorders>
            <w:shd w:val="clear" w:color="auto" w:fill="auto"/>
            <w:noWrap/>
            <w:vAlign w:val="center"/>
            <w:hideMark/>
          </w:tcPr>
          <w:p w14:paraId="29392B3B"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113C431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100.1</w:t>
            </w:r>
          </w:p>
        </w:tc>
        <w:tc>
          <w:tcPr>
            <w:tcW w:w="173" w:type="pct"/>
            <w:tcBorders>
              <w:top w:val="nil"/>
              <w:left w:val="nil"/>
              <w:bottom w:val="nil"/>
              <w:right w:val="nil"/>
            </w:tcBorders>
            <w:shd w:val="clear" w:color="auto" w:fill="auto"/>
            <w:noWrap/>
            <w:vAlign w:val="center"/>
            <w:hideMark/>
          </w:tcPr>
          <w:p w14:paraId="4FE675D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0.5</w:t>
            </w:r>
          </w:p>
        </w:tc>
        <w:tc>
          <w:tcPr>
            <w:tcW w:w="71" w:type="pct"/>
            <w:tcBorders>
              <w:top w:val="nil"/>
              <w:left w:val="nil"/>
              <w:bottom w:val="nil"/>
              <w:right w:val="nil"/>
            </w:tcBorders>
            <w:shd w:val="clear" w:color="auto" w:fill="auto"/>
            <w:noWrap/>
            <w:vAlign w:val="center"/>
            <w:hideMark/>
          </w:tcPr>
          <w:p w14:paraId="57447514"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784C594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99.6</w:t>
            </w:r>
          </w:p>
        </w:tc>
        <w:tc>
          <w:tcPr>
            <w:tcW w:w="196" w:type="pct"/>
            <w:tcBorders>
              <w:top w:val="nil"/>
              <w:left w:val="nil"/>
              <w:bottom w:val="nil"/>
              <w:right w:val="nil"/>
            </w:tcBorders>
            <w:shd w:val="clear" w:color="auto" w:fill="auto"/>
            <w:noWrap/>
            <w:vAlign w:val="center"/>
            <w:hideMark/>
          </w:tcPr>
          <w:p w14:paraId="2409F0E8"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nil"/>
              <w:right w:val="nil"/>
            </w:tcBorders>
            <w:shd w:val="clear" w:color="auto" w:fill="auto"/>
            <w:noWrap/>
            <w:vAlign w:val="center"/>
            <w:hideMark/>
          </w:tcPr>
          <w:p w14:paraId="2C6BAE5A" w14:textId="77777777" w:rsidR="005E20CA" w:rsidRPr="005E20CA" w:rsidRDefault="005E20CA" w:rsidP="005E20CA">
            <w:pPr>
              <w:jc w:val="center"/>
              <w:rPr>
                <w:rFonts w:eastAsia="Times New Roman"/>
                <w:sz w:val="18"/>
                <w:szCs w:val="18"/>
                <w:lang w:val="fr-FR" w:eastAsia="fr-FR"/>
              </w:rPr>
            </w:pPr>
          </w:p>
        </w:tc>
        <w:tc>
          <w:tcPr>
            <w:tcW w:w="333" w:type="pct"/>
            <w:tcBorders>
              <w:top w:val="nil"/>
              <w:left w:val="nil"/>
              <w:bottom w:val="nil"/>
              <w:right w:val="nil"/>
            </w:tcBorders>
            <w:shd w:val="clear" w:color="auto" w:fill="auto"/>
            <w:noWrap/>
            <w:vAlign w:val="center"/>
            <w:hideMark/>
          </w:tcPr>
          <w:p w14:paraId="3A0C83C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100.1</w:t>
            </w:r>
          </w:p>
        </w:tc>
        <w:tc>
          <w:tcPr>
            <w:tcW w:w="195" w:type="pct"/>
            <w:tcBorders>
              <w:top w:val="nil"/>
              <w:left w:val="nil"/>
              <w:bottom w:val="nil"/>
              <w:right w:val="nil"/>
            </w:tcBorders>
            <w:shd w:val="clear" w:color="auto" w:fill="auto"/>
            <w:noWrap/>
            <w:vAlign w:val="center"/>
            <w:hideMark/>
          </w:tcPr>
          <w:p w14:paraId="0D27E49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0.6</w:t>
            </w:r>
          </w:p>
        </w:tc>
        <w:tc>
          <w:tcPr>
            <w:tcW w:w="71" w:type="pct"/>
            <w:tcBorders>
              <w:top w:val="nil"/>
              <w:left w:val="nil"/>
              <w:bottom w:val="nil"/>
              <w:right w:val="nil"/>
            </w:tcBorders>
            <w:shd w:val="clear" w:color="auto" w:fill="auto"/>
            <w:noWrap/>
            <w:vAlign w:val="center"/>
            <w:hideMark/>
          </w:tcPr>
          <w:p w14:paraId="4E78A43B" w14:textId="77777777" w:rsidR="005E20CA" w:rsidRPr="005E20CA" w:rsidRDefault="005E20CA" w:rsidP="005E20CA">
            <w:pPr>
              <w:jc w:val="center"/>
              <w:rPr>
                <w:rFonts w:eastAsia="Times New Roman"/>
                <w:sz w:val="18"/>
                <w:szCs w:val="18"/>
                <w:lang w:val="fr-FR" w:eastAsia="fr-FR"/>
              </w:rPr>
            </w:pPr>
          </w:p>
        </w:tc>
        <w:tc>
          <w:tcPr>
            <w:tcW w:w="332" w:type="pct"/>
            <w:tcBorders>
              <w:top w:val="nil"/>
              <w:left w:val="nil"/>
              <w:bottom w:val="nil"/>
              <w:right w:val="nil"/>
            </w:tcBorders>
            <w:shd w:val="clear" w:color="auto" w:fill="auto"/>
            <w:noWrap/>
            <w:vAlign w:val="center"/>
            <w:hideMark/>
          </w:tcPr>
          <w:p w14:paraId="05415A8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99.8</w:t>
            </w:r>
          </w:p>
        </w:tc>
        <w:tc>
          <w:tcPr>
            <w:tcW w:w="196" w:type="pct"/>
            <w:tcBorders>
              <w:top w:val="nil"/>
              <w:left w:val="nil"/>
              <w:bottom w:val="nil"/>
              <w:right w:val="nil"/>
            </w:tcBorders>
            <w:shd w:val="clear" w:color="auto" w:fill="auto"/>
            <w:noWrap/>
            <w:vAlign w:val="center"/>
            <w:hideMark/>
          </w:tcPr>
          <w:p w14:paraId="373BBB6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0.5</w:t>
            </w:r>
          </w:p>
        </w:tc>
        <w:tc>
          <w:tcPr>
            <w:tcW w:w="71" w:type="pct"/>
            <w:tcBorders>
              <w:top w:val="nil"/>
              <w:left w:val="nil"/>
              <w:bottom w:val="nil"/>
              <w:right w:val="nil"/>
            </w:tcBorders>
            <w:shd w:val="clear" w:color="auto" w:fill="auto"/>
            <w:noWrap/>
            <w:vAlign w:val="center"/>
            <w:hideMark/>
          </w:tcPr>
          <w:p w14:paraId="099017C9" w14:textId="77777777" w:rsidR="005E20CA" w:rsidRPr="005E20CA" w:rsidRDefault="005E20CA" w:rsidP="005E20CA">
            <w:pPr>
              <w:jc w:val="center"/>
              <w:rPr>
                <w:rFonts w:eastAsia="Times New Roman"/>
                <w:sz w:val="18"/>
                <w:szCs w:val="18"/>
                <w:lang w:val="fr-FR" w:eastAsia="fr-FR"/>
              </w:rPr>
            </w:pPr>
          </w:p>
        </w:tc>
        <w:tc>
          <w:tcPr>
            <w:tcW w:w="355" w:type="pct"/>
            <w:tcBorders>
              <w:top w:val="nil"/>
              <w:left w:val="nil"/>
              <w:bottom w:val="nil"/>
              <w:right w:val="nil"/>
            </w:tcBorders>
            <w:shd w:val="clear" w:color="auto" w:fill="auto"/>
            <w:noWrap/>
            <w:vAlign w:val="center"/>
            <w:hideMark/>
          </w:tcPr>
          <w:p w14:paraId="77ED3F8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101.1</w:t>
            </w:r>
          </w:p>
        </w:tc>
        <w:tc>
          <w:tcPr>
            <w:tcW w:w="173" w:type="pct"/>
            <w:tcBorders>
              <w:top w:val="nil"/>
              <w:left w:val="nil"/>
              <w:bottom w:val="nil"/>
              <w:right w:val="nil"/>
            </w:tcBorders>
            <w:shd w:val="clear" w:color="auto" w:fill="auto"/>
            <w:noWrap/>
            <w:vAlign w:val="center"/>
            <w:hideMark/>
          </w:tcPr>
          <w:p w14:paraId="63ABF3A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r>
      <w:tr w:rsidR="005E20CA" w:rsidRPr="005E20CA" w14:paraId="1C8672E0" w14:textId="77777777" w:rsidTr="005E20CA">
        <w:trPr>
          <w:trHeight w:val="240"/>
        </w:trPr>
        <w:tc>
          <w:tcPr>
            <w:tcW w:w="287" w:type="pct"/>
            <w:tcBorders>
              <w:top w:val="nil"/>
              <w:left w:val="nil"/>
              <w:bottom w:val="single" w:sz="4" w:space="0" w:color="auto"/>
              <w:right w:val="nil"/>
            </w:tcBorders>
            <w:shd w:val="clear" w:color="auto" w:fill="auto"/>
            <w:noWrap/>
            <w:vAlign w:val="center"/>
            <w:hideMark/>
          </w:tcPr>
          <w:p w14:paraId="07E1B7D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Fo %</w:t>
            </w:r>
          </w:p>
        </w:tc>
        <w:tc>
          <w:tcPr>
            <w:tcW w:w="355" w:type="pct"/>
            <w:tcBorders>
              <w:top w:val="nil"/>
              <w:left w:val="nil"/>
              <w:bottom w:val="single" w:sz="4" w:space="0" w:color="auto"/>
              <w:right w:val="nil"/>
            </w:tcBorders>
            <w:shd w:val="clear" w:color="auto" w:fill="auto"/>
            <w:noWrap/>
            <w:vAlign w:val="center"/>
            <w:hideMark/>
          </w:tcPr>
          <w:p w14:paraId="7955B63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87.0</w:t>
            </w:r>
          </w:p>
        </w:tc>
        <w:tc>
          <w:tcPr>
            <w:tcW w:w="173" w:type="pct"/>
            <w:tcBorders>
              <w:top w:val="nil"/>
              <w:left w:val="nil"/>
              <w:bottom w:val="single" w:sz="4" w:space="0" w:color="auto"/>
              <w:right w:val="nil"/>
            </w:tcBorders>
            <w:shd w:val="clear" w:color="auto" w:fill="auto"/>
            <w:noWrap/>
            <w:vAlign w:val="center"/>
            <w:hideMark/>
          </w:tcPr>
          <w:p w14:paraId="683BA43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1.1</w:t>
            </w:r>
          </w:p>
        </w:tc>
        <w:tc>
          <w:tcPr>
            <w:tcW w:w="71" w:type="pct"/>
            <w:tcBorders>
              <w:top w:val="nil"/>
              <w:left w:val="nil"/>
              <w:bottom w:val="single" w:sz="4" w:space="0" w:color="auto"/>
              <w:right w:val="nil"/>
            </w:tcBorders>
            <w:shd w:val="clear" w:color="auto" w:fill="auto"/>
            <w:noWrap/>
            <w:vAlign w:val="center"/>
            <w:hideMark/>
          </w:tcPr>
          <w:p w14:paraId="5318663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nil"/>
              <w:left w:val="nil"/>
              <w:bottom w:val="single" w:sz="4" w:space="0" w:color="auto"/>
              <w:right w:val="nil"/>
            </w:tcBorders>
            <w:shd w:val="clear" w:color="auto" w:fill="auto"/>
            <w:noWrap/>
            <w:vAlign w:val="center"/>
            <w:hideMark/>
          </w:tcPr>
          <w:p w14:paraId="6A17273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88.5</w:t>
            </w:r>
          </w:p>
        </w:tc>
        <w:tc>
          <w:tcPr>
            <w:tcW w:w="173" w:type="pct"/>
            <w:tcBorders>
              <w:top w:val="nil"/>
              <w:left w:val="nil"/>
              <w:bottom w:val="single" w:sz="4" w:space="0" w:color="auto"/>
              <w:right w:val="nil"/>
            </w:tcBorders>
            <w:shd w:val="clear" w:color="auto" w:fill="auto"/>
            <w:noWrap/>
            <w:vAlign w:val="center"/>
            <w:hideMark/>
          </w:tcPr>
          <w:p w14:paraId="15479EBB"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single" w:sz="4" w:space="0" w:color="auto"/>
              <w:right w:val="nil"/>
            </w:tcBorders>
            <w:shd w:val="clear" w:color="auto" w:fill="auto"/>
            <w:noWrap/>
            <w:vAlign w:val="center"/>
            <w:hideMark/>
          </w:tcPr>
          <w:p w14:paraId="77A11F2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nil"/>
              <w:left w:val="nil"/>
              <w:bottom w:val="single" w:sz="4" w:space="0" w:color="auto"/>
              <w:right w:val="nil"/>
            </w:tcBorders>
            <w:shd w:val="clear" w:color="auto" w:fill="auto"/>
            <w:noWrap/>
            <w:vAlign w:val="center"/>
            <w:hideMark/>
          </w:tcPr>
          <w:p w14:paraId="7B363133"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88.1</w:t>
            </w:r>
          </w:p>
        </w:tc>
        <w:tc>
          <w:tcPr>
            <w:tcW w:w="173" w:type="pct"/>
            <w:tcBorders>
              <w:top w:val="nil"/>
              <w:left w:val="nil"/>
              <w:bottom w:val="single" w:sz="4" w:space="0" w:color="auto"/>
              <w:right w:val="nil"/>
            </w:tcBorders>
            <w:shd w:val="clear" w:color="auto" w:fill="auto"/>
            <w:noWrap/>
            <w:vAlign w:val="center"/>
            <w:hideMark/>
          </w:tcPr>
          <w:p w14:paraId="690A7DB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0.5</w:t>
            </w:r>
          </w:p>
        </w:tc>
        <w:tc>
          <w:tcPr>
            <w:tcW w:w="71" w:type="pct"/>
            <w:tcBorders>
              <w:top w:val="nil"/>
              <w:left w:val="nil"/>
              <w:bottom w:val="single" w:sz="4" w:space="0" w:color="auto"/>
              <w:right w:val="nil"/>
            </w:tcBorders>
            <w:shd w:val="clear" w:color="auto" w:fill="auto"/>
            <w:noWrap/>
            <w:vAlign w:val="center"/>
            <w:hideMark/>
          </w:tcPr>
          <w:p w14:paraId="5285CFFD"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nil"/>
              <w:left w:val="nil"/>
              <w:bottom w:val="single" w:sz="4" w:space="0" w:color="auto"/>
              <w:right w:val="nil"/>
            </w:tcBorders>
            <w:shd w:val="clear" w:color="auto" w:fill="auto"/>
            <w:noWrap/>
            <w:vAlign w:val="center"/>
            <w:hideMark/>
          </w:tcPr>
          <w:p w14:paraId="7288F61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88.5</w:t>
            </w:r>
          </w:p>
        </w:tc>
        <w:tc>
          <w:tcPr>
            <w:tcW w:w="173" w:type="pct"/>
            <w:tcBorders>
              <w:top w:val="nil"/>
              <w:left w:val="nil"/>
              <w:bottom w:val="single" w:sz="4" w:space="0" w:color="auto"/>
              <w:right w:val="nil"/>
            </w:tcBorders>
            <w:shd w:val="clear" w:color="auto" w:fill="auto"/>
            <w:noWrap/>
            <w:vAlign w:val="center"/>
            <w:hideMark/>
          </w:tcPr>
          <w:p w14:paraId="0B551697"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71" w:type="pct"/>
            <w:tcBorders>
              <w:top w:val="nil"/>
              <w:left w:val="nil"/>
              <w:bottom w:val="single" w:sz="4" w:space="0" w:color="auto"/>
              <w:right w:val="nil"/>
            </w:tcBorders>
            <w:shd w:val="clear" w:color="auto" w:fill="auto"/>
            <w:noWrap/>
            <w:vAlign w:val="center"/>
            <w:hideMark/>
          </w:tcPr>
          <w:p w14:paraId="5A5050AE"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32" w:type="pct"/>
            <w:tcBorders>
              <w:top w:val="nil"/>
              <w:left w:val="nil"/>
              <w:bottom w:val="single" w:sz="4" w:space="0" w:color="auto"/>
              <w:right w:val="nil"/>
            </w:tcBorders>
            <w:shd w:val="clear" w:color="auto" w:fill="auto"/>
            <w:noWrap/>
            <w:vAlign w:val="center"/>
            <w:hideMark/>
          </w:tcPr>
          <w:p w14:paraId="56341B6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89.7</w:t>
            </w:r>
          </w:p>
        </w:tc>
        <w:tc>
          <w:tcPr>
            <w:tcW w:w="196" w:type="pct"/>
            <w:tcBorders>
              <w:top w:val="nil"/>
              <w:left w:val="nil"/>
              <w:bottom w:val="single" w:sz="4" w:space="0" w:color="auto"/>
              <w:right w:val="nil"/>
            </w:tcBorders>
            <w:shd w:val="clear" w:color="auto" w:fill="auto"/>
            <w:noWrap/>
            <w:vAlign w:val="center"/>
            <w:hideMark/>
          </w:tcPr>
          <w:p w14:paraId="280BD905"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0.3</w:t>
            </w:r>
          </w:p>
        </w:tc>
        <w:tc>
          <w:tcPr>
            <w:tcW w:w="71" w:type="pct"/>
            <w:tcBorders>
              <w:top w:val="nil"/>
              <w:left w:val="nil"/>
              <w:bottom w:val="single" w:sz="4" w:space="0" w:color="auto"/>
              <w:right w:val="nil"/>
            </w:tcBorders>
            <w:shd w:val="clear" w:color="auto" w:fill="auto"/>
            <w:noWrap/>
            <w:vAlign w:val="center"/>
            <w:hideMark/>
          </w:tcPr>
          <w:p w14:paraId="69915ACC"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33" w:type="pct"/>
            <w:tcBorders>
              <w:top w:val="nil"/>
              <w:left w:val="nil"/>
              <w:bottom w:val="single" w:sz="4" w:space="0" w:color="auto"/>
              <w:right w:val="nil"/>
            </w:tcBorders>
            <w:shd w:val="clear" w:color="auto" w:fill="auto"/>
            <w:noWrap/>
            <w:vAlign w:val="center"/>
            <w:hideMark/>
          </w:tcPr>
          <w:p w14:paraId="085536FA"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88.0</w:t>
            </w:r>
          </w:p>
        </w:tc>
        <w:tc>
          <w:tcPr>
            <w:tcW w:w="195" w:type="pct"/>
            <w:tcBorders>
              <w:top w:val="nil"/>
              <w:left w:val="nil"/>
              <w:bottom w:val="single" w:sz="4" w:space="0" w:color="auto"/>
              <w:right w:val="nil"/>
            </w:tcBorders>
            <w:shd w:val="clear" w:color="auto" w:fill="auto"/>
            <w:noWrap/>
            <w:vAlign w:val="center"/>
            <w:hideMark/>
          </w:tcPr>
          <w:p w14:paraId="482AD9C1"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0.4</w:t>
            </w:r>
          </w:p>
        </w:tc>
        <w:tc>
          <w:tcPr>
            <w:tcW w:w="71" w:type="pct"/>
            <w:tcBorders>
              <w:top w:val="nil"/>
              <w:left w:val="nil"/>
              <w:bottom w:val="single" w:sz="4" w:space="0" w:color="auto"/>
              <w:right w:val="nil"/>
            </w:tcBorders>
            <w:shd w:val="clear" w:color="auto" w:fill="auto"/>
            <w:noWrap/>
            <w:vAlign w:val="center"/>
            <w:hideMark/>
          </w:tcPr>
          <w:p w14:paraId="2EF09F26"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32" w:type="pct"/>
            <w:tcBorders>
              <w:top w:val="nil"/>
              <w:left w:val="nil"/>
              <w:bottom w:val="single" w:sz="4" w:space="0" w:color="auto"/>
              <w:right w:val="nil"/>
            </w:tcBorders>
            <w:shd w:val="clear" w:color="auto" w:fill="auto"/>
            <w:noWrap/>
            <w:vAlign w:val="center"/>
            <w:hideMark/>
          </w:tcPr>
          <w:p w14:paraId="60164D12"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87.9</w:t>
            </w:r>
          </w:p>
        </w:tc>
        <w:tc>
          <w:tcPr>
            <w:tcW w:w="196" w:type="pct"/>
            <w:tcBorders>
              <w:top w:val="nil"/>
              <w:left w:val="nil"/>
              <w:bottom w:val="single" w:sz="4" w:space="0" w:color="auto"/>
              <w:right w:val="nil"/>
            </w:tcBorders>
            <w:shd w:val="clear" w:color="auto" w:fill="auto"/>
            <w:noWrap/>
            <w:vAlign w:val="center"/>
            <w:hideMark/>
          </w:tcPr>
          <w:p w14:paraId="52978454"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0.2</w:t>
            </w:r>
          </w:p>
        </w:tc>
        <w:tc>
          <w:tcPr>
            <w:tcW w:w="71" w:type="pct"/>
            <w:tcBorders>
              <w:top w:val="nil"/>
              <w:left w:val="nil"/>
              <w:bottom w:val="single" w:sz="4" w:space="0" w:color="auto"/>
              <w:right w:val="nil"/>
            </w:tcBorders>
            <w:shd w:val="clear" w:color="auto" w:fill="auto"/>
            <w:noWrap/>
            <w:vAlign w:val="center"/>
            <w:hideMark/>
          </w:tcPr>
          <w:p w14:paraId="19BC6DB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 </w:t>
            </w:r>
          </w:p>
        </w:tc>
        <w:tc>
          <w:tcPr>
            <w:tcW w:w="355" w:type="pct"/>
            <w:tcBorders>
              <w:top w:val="nil"/>
              <w:left w:val="nil"/>
              <w:bottom w:val="single" w:sz="4" w:space="0" w:color="auto"/>
              <w:right w:val="nil"/>
            </w:tcBorders>
            <w:shd w:val="clear" w:color="auto" w:fill="auto"/>
            <w:noWrap/>
            <w:vAlign w:val="center"/>
            <w:hideMark/>
          </w:tcPr>
          <w:p w14:paraId="6CCA1890"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90.1</w:t>
            </w:r>
          </w:p>
        </w:tc>
        <w:tc>
          <w:tcPr>
            <w:tcW w:w="173" w:type="pct"/>
            <w:tcBorders>
              <w:top w:val="nil"/>
              <w:left w:val="nil"/>
              <w:bottom w:val="single" w:sz="4" w:space="0" w:color="auto"/>
              <w:right w:val="nil"/>
            </w:tcBorders>
            <w:shd w:val="clear" w:color="auto" w:fill="auto"/>
            <w:noWrap/>
            <w:vAlign w:val="center"/>
            <w:hideMark/>
          </w:tcPr>
          <w:p w14:paraId="201D3BA9" w14:textId="77777777" w:rsidR="005E20CA" w:rsidRPr="005E20CA" w:rsidRDefault="005E20CA" w:rsidP="005E20CA">
            <w:pPr>
              <w:jc w:val="center"/>
              <w:rPr>
                <w:rFonts w:eastAsia="Times New Roman"/>
                <w:sz w:val="18"/>
                <w:szCs w:val="18"/>
                <w:lang w:val="fr-FR" w:eastAsia="fr-FR"/>
              </w:rPr>
            </w:pPr>
            <w:r w:rsidRPr="005E20CA">
              <w:rPr>
                <w:rFonts w:eastAsia="Times New Roman"/>
                <w:sz w:val="18"/>
                <w:szCs w:val="18"/>
                <w:lang w:val="fr-FR" w:eastAsia="fr-FR"/>
              </w:rPr>
              <w:t>0.1</w:t>
            </w:r>
          </w:p>
        </w:tc>
      </w:tr>
    </w:tbl>
    <w:p w14:paraId="6B2ED7B9" w14:textId="5DA0CAD2" w:rsidR="00E84C0F" w:rsidRPr="005E20CA" w:rsidRDefault="00E84C0F" w:rsidP="008E3798">
      <w:pPr>
        <w:tabs>
          <w:tab w:val="left" w:pos="912"/>
        </w:tabs>
        <w:spacing w:after="120"/>
        <w:jc w:val="both"/>
        <w:rPr>
          <w:sz w:val="18"/>
          <w:szCs w:val="18"/>
        </w:rPr>
      </w:pPr>
    </w:p>
    <w:p w14:paraId="29FF308C" w14:textId="77777777" w:rsidR="00E84C0F" w:rsidRDefault="00E84C0F" w:rsidP="008E3798">
      <w:pPr>
        <w:tabs>
          <w:tab w:val="left" w:pos="912"/>
        </w:tabs>
        <w:spacing w:after="120"/>
        <w:jc w:val="both"/>
        <w:rPr>
          <w:bCs/>
          <w:sz w:val="24"/>
          <w:szCs w:val="24"/>
        </w:rPr>
      </w:pPr>
    </w:p>
    <w:p w14:paraId="7F952B4E" w14:textId="77777777" w:rsidR="00120E5F" w:rsidRDefault="00120E5F" w:rsidP="008E3798">
      <w:pPr>
        <w:tabs>
          <w:tab w:val="left" w:pos="912"/>
        </w:tabs>
        <w:spacing w:after="120"/>
        <w:jc w:val="both"/>
        <w:rPr>
          <w:bCs/>
          <w:sz w:val="24"/>
          <w:szCs w:val="24"/>
        </w:rPr>
      </w:pPr>
    </w:p>
    <w:p w14:paraId="18AB5EAD" w14:textId="77777777" w:rsidR="00120E5F" w:rsidRDefault="00120E5F" w:rsidP="008E3798">
      <w:pPr>
        <w:tabs>
          <w:tab w:val="left" w:pos="912"/>
        </w:tabs>
        <w:spacing w:after="120"/>
        <w:jc w:val="both"/>
        <w:rPr>
          <w:bCs/>
          <w:sz w:val="24"/>
          <w:szCs w:val="24"/>
        </w:rPr>
      </w:pPr>
    </w:p>
    <w:p w14:paraId="78E7555C" w14:textId="77777777" w:rsidR="008E5227" w:rsidRDefault="008E5227" w:rsidP="008E3798">
      <w:pPr>
        <w:tabs>
          <w:tab w:val="left" w:pos="912"/>
        </w:tabs>
        <w:spacing w:after="120"/>
        <w:jc w:val="both"/>
        <w:rPr>
          <w:bCs/>
          <w:sz w:val="24"/>
          <w:szCs w:val="24"/>
        </w:rPr>
      </w:pPr>
    </w:p>
    <w:p w14:paraId="0C67C77E" w14:textId="77777777" w:rsidR="00D03150" w:rsidRDefault="00D03150" w:rsidP="008E3798">
      <w:pPr>
        <w:tabs>
          <w:tab w:val="left" w:pos="912"/>
        </w:tabs>
        <w:spacing w:after="120"/>
        <w:jc w:val="both"/>
        <w:rPr>
          <w:bCs/>
          <w:sz w:val="24"/>
          <w:szCs w:val="24"/>
        </w:rPr>
      </w:pPr>
    </w:p>
    <w:p w14:paraId="045CF502" w14:textId="77777777" w:rsidR="00D03150" w:rsidRDefault="00D03150" w:rsidP="008E3798">
      <w:pPr>
        <w:tabs>
          <w:tab w:val="left" w:pos="912"/>
        </w:tabs>
        <w:spacing w:after="120"/>
        <w:jc w:val="both"/>
        <w:rPr>
          <w:bCs/>
          <w:sz w:val="24"/>
          <w:szCs w:val="24"/>
        </w:rPr>
      </w:pPr>
    </w:p>
    <w:p w14:paraId="7D300518" w14:textId="77777777" w:rsidR="00D03150" w:rsidRDefault="00D03150" w:rsidP="008E3798">
      <w:pPr>
        <w:tabs>
          <w:tab w:val="left" w:pos="912"/>
        </w:tabs>
        <w:spacing w:after="120"/>
        <w:jc w:val="both"/>
        <w:rPr>
          <w:bCs/>
          <w:sz w:val="24"/>
          <w:szCs w:val="24"/>
        </w:rPr>
      </w:pPr>
    </w:p>
    <w:p w14:paraId="364072D7" w14:textId="77777777" w:rsidR="00D03150" w:rsidRPr="00022B05" w:rsidRDefault="00D03150" w:rsidP="008E3798">
      <w:pPr>
        <w:tabs>
          <w:tab w:val="left" w:pos="912"/>
        </w:tabs>
        <w:spacing w:after="120"/>
        <w:jc w:val="both"/>
        <w:rPr>
          <w:bCs/>
          <w:sz w:val="24"/>
          <w:szCs w:val="24"/>
        </w:rPr>
      </w:pPr>
    </w:p>
    <w:p w14:paraId="27D508AF" w14:textId="77777777" w:rsidR="00120E5F" w:rsidRPr="00E313B9" w:rsidRDefault="00120E5F" w:rsidP="00120E5F">
      <w:pPr>
        <w:pStyle w:val="FigureorTableCaption"/>
      </w:pPr>
      <w:proofErr w:type="gramStart"/>
      <w:r w:rsidRPr="00022B05">
        <w:rPr>
          <w:b/>
        </w:rPr>
        <w:lastRenderedPageBreak/>
        <w:t xml:space="preserve">Table </w:t>
      </w:r>
      <w:r>
        <w:rPr>
          <w:b/>
        </w:rPr>
        <w:t>9</w:t>
      </w:r>
      <w:r w:rsidRPr="00022B05">
        <w:rPr>
          <w:b/>
        </w:rPr>
        <w:t>.</w:t>
      </w:r>
      <w:proofErr w:type="gramEnd"/>
      <w:r w:rsidRPr="00022B05">
        <w:t xml:space="preserve"> </w:t>
      </w:r>
      <w:r w:rsidRPr="00E313B9">
        <w:rPr>
          <w:color w:val="000000"/>
        </w:rPr>
        <w:t>Major element compositions (</w:t>
      </w:r>
      <w:proofErr w:type="gramStart"/>
      <w:r w:rsidRPr="00E313B9">
        <w:rPr>
          <w:color w:val="000000"/>
        </w:rPr>
        <w:t>wt%</w:t>
      </w:r>
      <w:proofErr w:type="gramEnd"/>
      <w:r w:rsidRPr="00E313B9">
        <w:rPr>
          <w:color w:val="000000"/>
        </w:rPr>
        <w:t xml:space="preserve">) of </w:t>
      </w:r>
      <w:r>
        <w:rPr>
          <w:color w:val="000000"/>
        </w:rPr>
        <w:t>spinels</w:t>
      </w:r>
      <w:r w:rsidRPr="00E313B9">
        <w:rPr>
          <w:color w:val="000000"/>
        </w:rPr>
        <w:t xml:space="preserve"> of representative plagioclase-bearing ultramafic rocks. Average composition of several </w:t>
      </w:r>
      <w:r>
        <w:rPr>
          <w:color w:val="000000"/>
        </w:rPr>
        <w:t>spinel</w:t>
      </w:r>
      <w:r w:rsidRPr="00E313B9">
        <w:rPr>
          <w:color w:val="000000"/>
        </w:rPr>
        <w:t xml:space="preserve"> grains in each sample. Error bars: ±1 </w:t>
      </w:r>
      <w:proofErr w:type="gramStart"/>
      <w:r w:rsidRPr="00E313B9">
        <w:rPr>
          <w:color w:val="000000"/>
        </w:rPr>
        <w:t>std</w:t>
      </w:r>
      <w:proofErr w:type="gramEnd"/>
      <w:r w:rsidRPr="00E313B9">
        <w:rPr>
          <w:color w:val="000000"/>
        </w:rPr>
        <w:t>.</w:t>
      </w:r>
    </w:p>
    <w:p w14:paraId="083A80B5" w14:textId="77777777" w:rsidR="00C74084" w:rsidRDefault="00C74084" w:rsidP="008E3798">
      <w:pPr>
        <w:spacing w:after="120"/>
        <w:jc w:val="both"/>
        <w:rPr>
          <w:sz w:val="24"/>
          <w:szCs w:val="24"/>
        </w:rPr>
      </w:pPr>
    </w:p>
    <w:tbl>
      <w:tblPr>
        <w:tblW w:w="5000" w:type="pct"/>
        <w:tblCellMar>
          <w:left w:w="70" w:type="dxa"/>
          <w:right w:w="70" w:type="dxa"/>
        </w:tblCellMar>
        <w:tblLook w:val="04A0" w:firstRow="1" w:lastRow="0" w:firstColumn="1" w:lastColumn="0" w:noHBand="0" w:noVBand="1"/>
      </w:tblPr>
      <w:tblGrid>
        <w:gridCol w:w="856"/>
        <w:gridCol w:w="1097"/>
        <w:gridCol w:w="322"/>
        <w:gridCol w:w="210"/>
        <w:gridCol w:w="1137"/>
        <w:gridCol w:w="553"/>
        <w:gridCol w:w="210"/>
        <w:gridCol w:w="993"/>
        <w:gridCol w:w="584"/>
        <w:gridCol w:w="210"/>
        <w:gridCol w:w="993"/>
        <w:gridCol w:w="584"/>
        <w:gridCol w:w="210"/>
        <w:gridCol w:w="993"/>
        <w:gridCol w:w="584"/>
        <w:gridCol w:w="210"/>
        <w:gridCol w:w="993"/>
        <w:gridCol w:w="584"/>
        <w:gridCol w:w="210"/>
        <w:gridCol w:w="993"/>
        <w:gridCol w:w="574"/>
      </w:tblGrid>
      <w:tr w:rsidR="00B82177" w:rsidRPr="00B82177" w14:paraId="3D53FBD5" w14:textId="77777777" w:rsidTr="00B82177">
        <w:trPr>
          <w:trHeight w:val="240"/>
        </w:trPr>
        <w:tc>
          <w:tcPr>
            <w:tcW w:w="327" w:type="pct"/>
            <w:tcBorders>
              <w:top w:val="single" w:sz="4" w:space="0" w:color="auto"/>
              <w:left w:val="nil"/>
              <w:bottom w:val="nil"/>
              <w:right w:val="nil"/>
            </w:tcBorders>
            <w:shd w:val="clear" w:color="auto" w:fill="auto"/>
            <w:noWrap/>
            <w:vAlign w:val="bottom"/>
            <w:hideMark/>
          </w:tcPr>
          <w:p w14:paraId="53110C44" w14:textId="77777777" w:rsidR="00B82177" w:rsidRPr="001F338C" w:rsidRDefault="00B82177" w:rsidP="00B82177">
            <w:pPr>
              <w:rPr>
                <w:rFonts w:eastAsia="Times New Roman"/>
                <w:sz w:val="18"/>
                <w:szCs w:val="18"/>
                <w:lang w:val="en-GB" w:eastAsia="fr-FR"/>
                <w:rPrChange w:id="61" w:author="Daniele" w:date="2016-04-03T18:30:00Z">
                  <w:rPr>
                    <w:rFonts w:eastAsia="Times New Roman"/>
                    <w:sz w:val="18"/>
                    <w:szCs w:val="18"/>
                    <w:lang w:val="fr-FR" w:eastAsia="fr-FR"/>
                  </w:rPr>
                </w:rPrChange>
              </w:rPr>
            </w:pPr>
            <w:r w:rsidRPr="001F338C">
              <w:rPr>
                <w:rFonts w:eastAsia="Times New Roman"/>
                <w:sz w:val="18"/>
                <w:szCs w:val="18"/>
                <w:lang w:val="en-GB" w:eastAsia="fr-FR"/>
                <w:rPrChange w:id="62" w:author="Daniele" w:date="2016-04-03T18:30:00Z">
                  <w:rPr>
                    <w:rFonts w:eastAsia="Times New Roman"/>
                    <w:sz w:val="18"/>
                    <w:szCs w:val="18"/>
                    <w:lang w:val="fr-FR" w:eastAsia="fr-FR"/>
                  </w:rPr>
                </w:rPrChange>
              </w:rPr>
              <w:t> </w:t>
            </w:r>
          </w:p>
        </w:tc>
        <w:tc>
          <w:tcPr>
            <w:tcW w:w="542" w:type="pct"/>
            <w:gridSpan w:val="2"/>
            <w:tcBorders>
              <w:top w:val="single" w:sz="4" w:space="0" w:color="auto"/>
              <w:left w:val="nil"/>
              <w:bottom w:val="single" w:sz="4" w:space="0" w:color="auto"/>
              <w:right w:val="nil"/>
            </w:tcBorders>
            <w:shd w:val="clear" w:color="auto" w:fill="auto"/>
            <w:noWrap/>
            <w:vAlign w:val="bottom"/>
            <w:hideMark/>
          </w:tcPr>
          <w:p w14:paraId="5010611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SMS6-2-1</w:t>
            </w:r>
          </w:p>
        </w:tc>
        <w:tc>
          <w:tcPr>
            <w:tcW w:w="80" w:type="pct"/>
            <w:tcBorders>
              <w:top w:val="single" w:sz="4" w:space="0" w:color="auto"/>
              <w:left w:val="nil"/>
              <w:bottom w:val="nil"/>
              <w:right w:val="nil"/>
            </w:tcBorders>
            <w:shd w:val="clear" w:color="auto" w:fill="auto"/>
            <w:noWrap/>
            <w:vAlign w:val="bottom"/>
            <w:hideMark/>
          </w:tcPr>
          <w:p w14:paraId="1F68DD9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645" w:type="pct"/>
            <w:gridSpan w:val="2"/>
            <w:tcBorders>
              <w:top w:val="single" w:sz="4" w:space="0" w:color="auto"/>
              <w:left w:val="nil"/>
              <w:bottom w:val="single" w:sz="4" w:space="0" w:color="auto"/>
              <w:right w:val="nil"/>
            </w:tcBorders>
            <w:shd w:val="clear" w:color="auto" w:fill="auto"/>
            <w:noWrap/>
            <w:vAlign w:val="bottom"/>
            <w:hideMark/>
          </w:tcPr>
          <w:p w14:paraId="150A7CF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SMS6-5-2</w:t>
            </w:r>
          </w:p>
        </w:tc>
        <w:tc>
          <w:tcPr>
            <w:tcW w:w="80" w:type="pct"/>
            <w:tcBorders>
              <w:top w:val="single" w:sz="4" w:space="0" w:color="auto"/>
              <w:left w:val="nil"/>
              <w:bottom w:val="nil"/>
              <w:right w:val="nil"/>
            </w:tcBorders>
            <w:shd w:val="clear" w:color="auto" w:fill="auto"/>
            <w:noWrap/>
            <w:vAlign w:val="bottom"/>
            <w:hideMark/>
          </w:tcPr>
          <w:p w14:paraId="4E69F58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602" w:type="pct"/>
            <w:gridSpan w:val="2"/>
            <w:tcBorders>
              <w:top w:val="single" w:sz="4" w:space="0" w:color="auto"/>
              <w:left w:val="nil"/>
              <w:bottom w:val="single" w:sz="4" w:space="0" w:color="auto"/>
              <w:right w:val="nil"/>
            </w:tcBorders>
            <w:shd w:val="clear" w:color="auto" w:fill="auto"/>
            <w:noWrap/>
            <w:vAlign w:val="bottom"/>
            <w:hideMark/>
          </w:tcPr>
          <w:p w14:paraId="51FC893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SMS6-5-7</w:t>
            </w:r>
          </w:p>
        </w:tc>
        <w:tc>
          <w:tcPr>
            <w:tcW w:w="80" w:type="pct"/>
            <w:tcBorders>
              <w:top w:val="single" w:sz="4" w:space="0" w:color="auto"/>
              <w:left w:val="nil"/>
              <w:bottom w:val="nil"/>
              <w:right w:val="nil"/>
            </w:tcBorders>
            <w:shd w:val="clear" w:color="auto" w:fill="auto"/>
            <w:noWrap/>
            <w:vAlign w:val="bottom"/>
            <w:hideMark/>
          </w:tcPr>
          <w:p w14:paraId="6029E38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602" w:type="pct"/>
            <w:gridSpan w:val="2"/>
            <w:tcBorders>
              <w:top w:val="single" w:sz="4" w:space="0" w:color="auto"/>
              <w:left w:val="nil"/>
              <w:bottom w:val="single" w:sz="4" w:space="0" w:color="auto"/>
              <w:right w:val="nil"/>
            </w:tcBorders>
            <w:shd w:val="clear" w:color="auto" w:fill="auto"/>
            <w:noWrap/>
            <w:vAlign w:val="bottom"/>
            <w:hideMark/>
          </w:tcPr>
          <w:p w14:paraId="420A308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SMS17-4-22</w:t>
            </w:r>
          </w:p>
        </w:tc>
        <w:tc>
          <w:tcPr>
            <w:tcW w:w="80" w:type="pct"/>
            <w:tcBorders>
              <w:top w:val="single" w:sz="4" w:space="0" w:color="auto"/>
              <w:left w:val="nil"/>
              <w:bottom w:val="nil"/>
              <w:right w:val="nil"/>
            </w:tcBorders>
            <w:shd w:val="clear" w:color="auto" w:fill="auto"/>
            <w:noWrap/>
            <w:vAlign w:val="center"/>
            <w:hideMark/>
          </w:tcPr>
          <w:p w14:paraId="1BF52C6D"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602" w:type="pct"/>
            <w:gridSpan w:val="2"/>
            <w:tcBorders>
              <w:top w:val="single" w:sz="4" w:space="0" w:color="auto"/>
              <w:left w:val="nil"/>
              <w:bottom w:val="single" w:sz="4" w:space="0" w:color="auto"/>
              <w:right w:val="nil"/>
            </w:tcBorders>
            <w:shd w:val="clear" w:color="auto" w:fill="auto"/>
            <w:noWrap/>
            <w:vAlign w:val="bottom"/>
            <w:hideMark/>
          </w:tcPr>
          <w:p w14:paraId="27B6029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SMS17-5-6</w:t>
            </w:r>
          </w:p>
        </w:tc>
        <w:tc>
          <w:tcPr>
            <w:tcW w:w="80" w:type="pct"/>
            <w:tcBorders>
              <w:top w:val="single" w:sz="4" w:space="0" w:color="auto"/>
              <w:left w:val="nil"/>
              <w:bottom w:val="nil"/>
              <w:right w:val="nil"/>
            </w:tcBorders>
            <w:shd w:val="clear" w:color="auto" w:fill="auto"/>
            <w:noWrap/>
            <w:vAlign w:val="center"/>
            <w:hideMark/>
          </w:tcPr>
          <w:p w14:paraId="0C8E9FD8"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602" w:type="pct"/>
            <w:gridSpan w:val="2"/>
            <w:tcBorders>
              <w:top w:val="single" w:sz="4" w:space="0" w:color="auto"/>
              <w:left w:val="nil"/>
              <w:bottom w:val="single" w:sz="4" w:space="0" w:color="auto"/>
              <w:right w:val="nil"/>
            </w:tcBorders>
            <w:shd w:val="clear" w:color="auto" w:fill="auto"/>
            <w:noWrap/>
            <w:vAlign w:val="bottom"/>
            <w:hideMark/>
          </w:tcPr>
          <w:p w14:paraId="5696E96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SMS29-3-9</w:t>
            </w:r>
          </w:p>
        </w:tc>
        <w:tc>
          <w:tcPr>
            <w:tcW w:w="80" w:type="pct"/>
            <w:tcBorders>
              <w:top w:val="single" w:sz="4" w:space="0" w:color="auto"/>
              <w:left w:val="nil"/>
              <w:bottom w:val="nil"/>
              <w:right w:val="nil"/>
            </w:tcBorders>
            <w:shd w:val="clear" w:color="auto" w:fill="auto"/>
            <w:noWrap/>
            <w:vAlign w:val="center"/>
            <w:hideMark/>
          </w:tcPr>
          <w:p w14:paraId="7684D647"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602" w:type="pct"/>
            <w:gridSpan w:val="2"/>
            <w:tcBorders>
              <w:top w:val="single" w:sz="4" w:space="0" w:color="auto"/>
              <w:left w:val="nil"/>
              <w:bottom w:val="single" w:sz="4" w:space="0" w:color="auto"/>
              <w:right w:val="nil"/>
            </w:tcBorders>
            <w:shd w:val="clear" w:color="auto" w:fill="auto"/>
            <w:noWrap/>
            <w:vAlign w:val="bottom"/>
            <w:hideMark/>
          </w:tcPr>
          <w:p w14:paraId="611D550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ED23-3-6</w:t>
            </w:r>
          </w:p>
        </w:tc>
      </w:tr>
      <w:tr w:rsidR="00B82177" w:rsidRPr="00B82177" w14:paraId="48A9DEC5" w14:textId="77777777" w:rsidTr="00B82177">
        <w:trPr>
          <w:trHeight w:val="240"/>
        </w:trPr>
        <w:tc>
          <w:tcPr>
            <w:tcW w:w="327" w:type="pct"/>
            <w:tcBorders>
              <w:top w:val="nil"/>
              <w:left w:val="nil"/>
              <w:bottom w:val="nil"/>
              <w:right w:val="nil"/>
            </w:tcBorders>
            <w:shd w:val="clear" w:color="auto" w:fill="auto"/>
            <w:noWrap/>
            <w:vAlign w:val="bottom"/>
            <w:hideMark/>
          </w:tcPr>
          <w:p w14:paraId="59F0F1BE" w14:textId="77777777" w:rsidR="00B82177" w:rsidRPr="00B82177" w:rsidRDefault="00B82177" w:rsidP="00B82177">
            <w:pPr>
              <w:rPr>
                <w:rFonts w:eastAsia="Times New Roman"/>
                <w:sz w:val="18"/>
                <w:szCs w:val="18"/>
                <w:lang w:val="fr-FR" w:eastAsia="fr-FR"/>
              </w:rPr>
            </w:pPr>
          </w:p>
        </w:tc>
        <w:tc>
          <w:tcPr>
            <w:tcW w:w="542" w:type="pct"/>
            <w:gridSpan w:val="2"/>
            <w:tcBorders>
              <w:top w:val="single" w:sz="4" w:space="0" w:color="auto"/>
              <w:left w:val="nil"/>
              <w:bottom w:val="nil"/>
              <w:right w:val="nil"/>
            </w:tcBorders>
            <w:shd w:val="clear" w:color="auto" w:fill="auto"/>
            <w:noWrap/>
            <w:vAlign w:val="center"/>
            <w:hideMark/>
          </w:tcPr>
          <w:p w14:paraId="0B76FE49"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Core</w:t>
            </w:r>
          </w:p>
        </w:tc>
        <w:tc>
          <w:tcPr>
            <w:tcW w:w="80" w:type="pct"/>
            <w:tcBorders>
              <w:top w:val="nil"/>
              <w:left w:val="nil"/>
              <w:bottom w:val="nil"/>
              <w:right w:val="nil"/>
            </w:tcBorders>
            <w:shd w:val="clear" w:color="auto" w:fill="auto"/>
            <w:noWrap/>
            <w:vAlign w:val="center"/>
            <w:hideMark/>
          </w:tcPr>
          <w:p w14:paraId="6F05FE73" w14:textId="77777777" w:rsidR="00B82177" w:rsidRPr="00B82177" w:rsidRDefault="00B82177" w:rsidP="00B82177">
            <w:pPr>
              <w:jc w:val="center"/>
              <w:rPr>
                <w:rFonts w:eastAsia="Times New Roman"/>
                <w:sz w:val="18"/>
                <w:szCs w:val="18"/>
                <w:lang w:val="fr-FR" w:eastAsia="fr-FR"/>
              </w:rPr>
            </w:pPr>
          </w:p>
        </w:tc>
        <w:tc>
          <w:tcPr>
            <w:tcW w:w="645" w:type="pct"/>
            <w:gridSpan w:val="2"/>
            <w:tcBorders>
              <w:top w:val="single" w:sz="4" w:space="0" w:color="auto"/>
              <w:left w:val="nil"/>
              <w:bottom w:val="nil"/>
              <w:right w:val="nil"/>
            </w:tcBorders>
            <w:shd w:val="clear" w:color="auto" w:fill="auto"/>
            <w:noWrap/>
            <w:vAlign w:val="center"/>
            <w:hideMark/>
          </w:tcPr>
          <w:p w14:paraId="53FF6A00"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Core</w:t>
            </w:r>
          </w:p>
        </w:tc>
        <w:tc>
          <w:tcPr>
            <w:tcW w:w="80" w:type="pct"/>
            <w:tcBorders>
              <w:top w:val="nil"/>
              <w:left w:val="nil"/>
              <w:bottom w:val="nil"/>
              <w:right w:val="nil"/>
            </w:tcBorders>
            <w:shd w:val="clear" w:color="auto" w:fill="auto"/>
            <w:noWrap/>
            <w:vAlign w:val="center"/>
            <w:hideMark/>
          </w:tcPr>
          <w:p w14:paraId="08927551" w14:textId="77777777" w:rsidR="00B82177" w:rsidRPr="00B82177" w:rsidRDefault="00B82177" w:rsidP="00B82177">
            <w:pPr>
              <w:jc w:val="center"/>
              <w:rPr>
                <w:rFonts w:eastAsia="Times New Roman"/>
                <w:sz w:val="18"/>
                <w:szCs w:val="18"/>
                <w:lang w:val="fr-FR" w:eastAsia="fr-FR"/>
              </w:rPr>
            </w:pPr>
          </w:p>
        </w:tc>
        <w:tc>
          <w:tcPr>
            <w:tcW w:w="602" w:type="pct"/>
            <w:gridSpan w:val="2"/>
            <w:tcBorders>
              <w:top w:val="single" w:sz="4" w:space="0" w:color="auto"/>
              <w:left w:val="nil"/>
              <w:bottom w:val="nil"/>
              <w:right w:val="nil"/>
            </w:tcBorders>
            <w:shd w:val="clear" w:color="auto" w:fill="auto"/>
            <w:noWrap/>
            <w:vAlign w:val="center"/>
            <w:hideMark/>
          </w:tcPr>
          <w:p w14:paraId="75AB6CCE"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Core</w:t>
            </w:r>
          </w:p>
        </w:tc>
        <w:tc>
          <w:tcPr>
            <w:tcW w:w="80" w:type="pct"/>
            <w:tcBorders>
              <w:top w:val="nil"/>
              <w:left w:val="nil"/>
              <w:bottom w:val="nil"/>
              <w:right w:val="nil"/>
            </w:tcBorders>
            <w:shd w:val="clear" w:color="auto" w:fill="auto"/>
            <w:noWrap/>
            <w:vAlign w:val="center"/>
            <w:hideMark/>
          </w:tcPr>
          <w:p w14:paraId="4C7A0682" w14:textId="77777777" w:rsidR="00B82177" w:rsidRPr="00B82177" w:rsidRDefault="00B82177" w:rsidP="00B82177">
            <w:pPr>
              <w:jc w:val="center"/>
              <w:rPr>
                <w:rFonts w:eastAsia="Times New Roman"/>
                <w:sz w:val="18"/>
                <w:szCs w:val="18"/>
                <w:lang w:val="fr-FR" w:eastAsia="fr-FR"/>
              </w:rPr>
            </w:pPr>
          </w:p>
        </w:tc>
        <w:tc>
          <w:tcPr>
            <w:tcW w:w="602" w:type="pct"/>
            <w:gridSpan w:val="2"/>
            <w:tcBorders>
              <w:top w:val="single" w:sz="4" w:space="0" w:color="auto"/>
              <w:left w:val="nil"/>
              <w:bottom w:val="nil"/>
              <w:right w:val="nil"/>
            </w:tcBorders>
            <w:shd w:val="clear" w:color="auto" w:fill="auto"/>
            <w:noWrap/>
            <w:vAlign w:val="center"/>
            <w:hideMark/>
          </w:tcPr>
          <w:p w14:paraId="005883D2"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Core</w:t>
            </w:r>
          </w:p>
        </w:tc>
        <w:tc>
          <w:tcPr>
            <w:tcW w:w="80" w:type="pct"/>
            <w:tcBorders>
              <w:top w:val="nil"/>
              <w:left w:val="nil"/>
              <w:bottom w:val="nil"/>
              <w:right w:val="nil"/>
            </w:tcBorders>
            <w:shd w:val="clear" w:color="auto" w:fill="auto"/>
            <w:noWrap/>
            <w:vAlign w:val="center"/>
            <w:hideMark/>
          </w:tcPr>
          <w:p w14:paraId="5EC5B38E" w14:textId="77777777" w:rsidR="00B82177" w:rsidRPr="00B82177" w:rsidRDefault="00B82177" w:rsidP="00B82177">
            <w:pPr>
              <w:jc w:val="center"/>
              <w:rPr>
                <w:rFonts w:eastAsia="Times New Roman"/>
                <w:sz w:val="18"/>
                <w:szCs w:val="18"/>
                <w:lang w:val="fr-FR" w:eastAsia="fr-FR"/>
              </w:rPr>
            </w:pPr>
          </w:p>
        </w:tc>
        <w:tc>
          <w:tcPr>
            <w:tcW w:w="602" w:type="pct"/>
            <w:gridSpan w:val="2"/>
            <w:tcBorders>
              <w:top w:val="single" w:sz="4" w:space="0" w:color="auto"/>
              <w:left w:val="nil"/>
              <w:bottom w:val="nil"/>
              <w:right w:val="nil"/>
            </w:tcBorders>
            <w:shd w:val="clear" w:color="auto" w:fill="auto"/>
            <w:noWrap/>
            <w:vAlign w:val="center"/>
            <w:hideMark/>
          </w:tcPr>
          <w:p w14:paraId="61862521"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Core</w:t>
            </w:r>
          </w:p>
        </w:tc>
        <w:tc>
          <w:tcPr>
            <w:tcW w:w="80" w:type="pct"/>
            <w:tcBorders>
              <w:top w:val="nil"/>
              <w:left w:val="nil"/>
              <w:bottom w:val="nil"/>
              <w:right w:val="nil"/>
            </w:tcBorders>
            <w:shd w:val="clear" w:color="auto" w:fill="auto"/>
            <w:noWrap/>
            <w:vAlign w:val="center"/>
            <w:hideMark/>
          </w:tcPr>
          <w:p w14:paraId="724B4358" w14:textId="77777777" w:rsidR="00B82177" w:rsidRPr="00B82177" w:rsidRDefault="00B82177" w:rsidP="00B82177">
            <w:pPr>
              <w:jc w:val="center"/>
              <w:rPr>
                <w:rFonts w:eastAsia="Times New Roman"/>
                <w:sz w:val="18"/>
                <w:szCs w:val="18"/>
                <w:lang w:val="fr-FR" w:eastAsia="fr-FR"/>
              </w:rPr>
            </w:pPr>
          </w:p>
        </w:tc>
        <w:tc>
          <w:tcPr>
            <w:tcW w:w="602" w:type="pct"/>
            <w:gridSpan w:val="2"/>
            <w:tcBorders>
              <w:top w:val="single" w:sz="4" w:space="0" w:color="auto"/>
              <w:left w:val="nil"/>
              <w:bottom w:val="nil"/>
              <w:right w:val="nil"/>
            </w:tcBorders>
            <w:shd w:val="clear" w:color="auto" w:fill="auto"/>
            <w:noWrap/>
            <w:vAlign w:val="center"/>
            <w:hideMark/>
          </w:tcPr>
          <w:p w14:paraId="4C637770"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Core</w:t>
            </w:r>
          </w:p>
        </w:tc>
        <w:tc>
          <w:tcPr>
            <w:tcW w:w="80" w:type="pct"/>
            <w:tcBorders>
              <w:top w:val="nil"/>
              <w:left w:val="nil"/>
              <w:bottom w:val="nil"/>
              <w:right w:val="nil"/>
            </w:tcBorders>
            <w:shd w:val="clear" w:color="auto" w:fill="auto"/>
            <w:noWrap/>
            <w:vAlign w:val="center"/>
            <w:hideMark/>
          </w:tcPr>
          <w:p w14:paraId="1EE9CFE4" w14:textId="77777777" w:rsidR="00B82177" w:rsidRPr="00B82177" w:rsidRDefault="00B82177" w:rsidP="00B82177">
            <w:pPr>
              <w:jc w:val="center"/>
              <w:rPr>
                <w:rFonts w:eastAsia="Times New Roman"/>
                <w:sz w:val="18"/>
                <w:szCs w:val="18"/>
                <w:lang w:val="fr-FR" w:eastAsia="fr-FR"/>
              </w:rPr>
            </w:pPr>
          </w:p>
        </w:tc>
        <w:tc>
          <w:tcPr>
            <w:tcW w:w="602" w:type="pct"/>
            <w:gridSpan w:val="2"/>
            <w:tcBorders>
              <w:top w:val="single" w:sz="4" w:space="0" w:color="auto"/>
              <w:left w:val="nil"/>
              <w:bottom w:val="nil"/>
              <w:right w:val="nil"/>
            </w:tcBorders>
            <w:shd w:val="clear" w:color="auto" w:fill="auto"/>
            <w:noWrap/>
            <w:vAlign w:val="center"/>
            <w:hideMark/>
          </w:tcPr>
          <w:p w14:paraId="0AD92D41"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Core</w:t>
            </w:r>
          </w:p>
        </w:tc>
      </w:tr>
      <w:tr w:rsidR="00B82177" w:rsidRPr="00B82177" w14:paraId="0954ECE3" w14:textId="77777777" w:rsidTr="00B82177">
        <w:trPr>
          <w:trHeight w:val="240"/>
        </w:trPr>
        <w:tc>
          <w:tcPr>
            <w:tcW w:w="327" w:type="pct"/>
            <w:tcBorders>
              <w:top w:val="nil"/>
              <w:left w:val="nil"/>
              <w:bottom w:val="nil"/>
              <w:right w:val="nil"/>
            </w:tcBorders>
            <w:shd w:val="clear" w:color="auto" w:fill="auto"/>
            <w:noWrap/>
            <w:vAlign w:val="bottom"/>
            <w:hideMark/>
          </w:tcPr>
          <w:p w14:paraId="37D40256" w14:textId="77777777" w:rsidR="00B82177" w:rsidRPr="00B82177" w:rsidRDefault="00B82177" w:rsidP="00B82177">
            <w:pPr>
              <w:rPr>
                <w:rFonts w:eastAsia="Times New Roman"/>
                <w:sz w:val="18"/>
                <w:szCs w:val="18"/>
                <w:lang w:val="fr-FR" w:eastAsia="fr-FR"/>
              </w:rPr>
            </w:pPr>
          </w:p>
        </w:tc>
        <w:tc>
          <w:tcPr>
            <w:tcW w:w="419" w:type="pct"/>
            <w:tcBorders>
              <w:top w:val="nil"/>
              <w:left w:val="nil"/>
              <w:bottom w:val="single" w:sz="4" w:space="0" w:color="auto"/>
              <w:right w:val="nil"/>
            </w:tcBorders>
            <w:shd w:val="clear" w:color="auto" w:fill="auto"/>
            <w:noWrap/>
            <w:vAlign w:val="bottom"/>
            <w:hideMark/>
          </w:tcPr>
          <w:p w14:paraId="5B6A5DC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(n=1)</w:t>
            </w:r>
          </w:p>
        </w:tc>
        <w:tc>
          <w:tcPr>
            <w:tcW w:w="123" w:type="pct"/>
            <w:tcBorders>
              <w:top w:val="nil"/>
              <w:left w:val="nil"/>
              <w:bottom w:val="single" w:sz="4" w:space="0" w:color="auto"/>
              <w:right w:val="nil"/>
            </w:tcBorders>
            <w:shd w:val="clear" w:color="auto" w:fill="auto"/>
            <w:noWrap/>
            <w:vAlign w:val="bottom"/>
            <w:hideMark/>
          </w:tcPr>
          <w:p w14:paraId="1A9B9E0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single" w:sz="4" w:space="0" w:color="auto"/>
              <w:right w:val="nil"/>
            </w:tcBorders>
            <w:shd w:val="clear" w:color="auto" w:fill="auto"/>
            <w:noWrap/>
            <w:vAlign w:val="bottom"/>
            <w:hideMark/>
          </w:tcPr>
          <w:p w14:paraId="5F09BE5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434" w:type="pct"/>
            <w:tcBorders>
              <w:top w:val="nil"/>
              <w:left w:val="nil"/>
              <w:bottom w:val="single" w:sz="4" w:space="0" w:color="auto"/>
              <w:right w:val="nil"/>
            </w:tcBorders>
            <w:shd w:val="clear" w:color="auto" w:fill="auto"/>
            <w:noWrap/>
            <w:vAlign w:val="bottom"/>
            <w:hideMark/>
          </w:tcPr>
          <w:p w14:paraId="13D7127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(n=15)</w:t>
            </w:r>
          </w:p>
        </w:tc>
        <w:tc>
          <w:tcPr>
            <w:tcW w:w="211" w:type="pct"/>
            <w:tcBorders>
              <w:top w:val="nil"/>
              <w:left w:val="nil"/>
              <w:bottom w:val="single" w:sz="4" w:space="0" w:color="auto"/>
              <w:right w:val="nil"/>
            </w:tcBorders>
            <w:shd w:val="clear" w:color="auto" w:fill="auto"/>
            <w:noWrap/>
            <w:vAlign w:val="bottom"/>
            <w:hideMark/>
          </w:tcPr>
          <w:p w14:paraId="3CEC9F1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single" w:sz="4" w:space="0" w:color="auto"/>
              <w:right w:val="nil"/>
            </w:tcBorders>
            <w:shd w:val="clear" w:color="auto" w:fill="auto"/>
            <w:noWrap/>
            <w:vAlign w:val="bottom"/>
            <w:hideMark/>
          </w:tcPr>
          <w:p w14:paraId="5CA1491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379" w:type="pct"/>
            <w:tcBorders>
              <w:top w:val="nil"/>
              <w:left w:val="nil"/>
              <w:bottom w:val="single" w:sz="4" w:space="0" w:color="auto"/>
              <w:right w:val="nil"/>
            </w:tcBorders>
            <w:shd w:val="clear" w:color="auto" w:fill="auto"/>
            <w:noWrap/>
            <w:vAlign w:val="bottom"/>
            <w:hideMark/>
          </w:tcPr>
          <w:p w14:paraId="327D051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(n=7)</w:t>
            </w:r>
          </w:p>
        </w:tc>
        <w:tc>
          <w:tcPr>
            <w:tcW w:w="223" w:type="pct"/>
            <w:tcBorders>
              <w:top w:val="nil"/>
              <w:left w:val="nil"/>
              <w:bottom w:val="single" w:sz="4" w:space="0" w:color="auto"/>
              <w:right w:val="nil"/>
            </w:tcBorders>
            <w:shd w:val="clear" w:color="auto" w:fill="auto"/>
            <w:noWrap/>
            <w:vAlign w:val="bottom"/>
            <w:hideMark/>
          </w:tcPr>
          <w:p w14:paraId="01391D2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single" w:sz="4" w:space="0" w:color="auto"/>
              <w:right w:val="nil"/>
            </w:tcBorders>
            <w:shd w:val="clear" w:color="auto" w:fill="auto"/>
            <w:noWrap/>
            <w:vAlign w:val="bottom"/>
            <w:hideMark/>
          </w:tcPr>
          <w:p w14:paraId="071EF8F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379" w:type="pct"/>
            <w:tcBorders>
              <w:top w:val="nil"/>
              <w:left w:val="nil"/>
              <w:bottom w:val="single" w:sz="4" w:space="0" w:color="auto"/>
              <w:right w:val="nil"/>
            </w:tcBorders>
            <w:shd w:val="clear" w:color="auto" w:fill="auto"/>
            <w:noWrap/>
            <w:vAlign w:val="bottom"/>
            <w:hideMark/>
          </w:tcPr>
          <w:p w14:paraId="4A41F93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(n=2)</w:t>
            </w:r>
          </w:p>
        </w:tc>
        <w:tc>
          <w:tcPr>
            <w:tcW w:w="223" w:type="pct"/>
            <w:tcBorders>
              <w:top w:val="nil"/>
              <w:left w:val="nil"/>
              <w:bottom w:val="single" w:sz="4" w:space="0" w:color="auto"/>
              <w:right w:val="nil"/>
            </w:tcBorders>
            <w:shd w:val="clear" w:color="auto" w:fill="auto"/>
            <w:noWrap/>
            <w:vAlign w:val="bottom"/>
            <w:hideMark/>
          </w:tcPr>
          <w:p w14:paraId="600398E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center"/>
            <w:hideMark/>
          </w:tcPr>
          <w:p w14:paraId="050CA757"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single" w:sz="4" w:space="0" w:color="auto"/>
              <w:right w:val="nil"/>
            </w:tcBorders>
            <w:shd w:val="clear" w:color="auto" w:fill="auto"/>
            <w:noWrap/>
            <w:vAlign w:val="bottom"/>
            <w:hideMark/>
          </w:tcPr>
          <w:p w14:paraId="517C5F8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(n=4)</w:t>
            </w:r>
          </w:p>
        </w:tc>
        <w:tc>
          <w:tcPr>
            <w:tcW w:w="223" w:type="pct"/>
            <w:tcBorders>
              <w:top w:val="nil"/>
              <w:left w:val="nil"/>
              <w:bottom w:val="single" w:sz="4" w:space="0" w:color="auto"/>
              <w:right w:val="nil"/>
            </w:tcBorders>
            <w:shd w:val="clear" w:color="auto" w:fill="auto"/>
            <w:noWrap/>
            <w:vAlign w:val="bottom"/>
            <w:hideMark/>
          </w:tcPr>
          <w:p w14:paraId="2B6A0E0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center"/>
            <w:hideMark/>
          </w:tcPr>
          <w:p w14:paraId="1EA99ED4"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single" w:sz="4" w:space="0" w:color="auto"/>
              <w:right w:val="nil"/>
            </w:tcBorders>
            <w:shd w:val="clear" w:color="auto" w:fill="auto"/>
            <w:noWrap/>
            <w:vAlign w:val="bottom"/>
            <w:hideMark/>
          </w:tcPr>
          <w:p w14:paraId="6C3EF4E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(n=3)</w:t>
            </w:r>
          </w:p>
        </w:tc>
        <w:tc>
          <w:tcPr>
            <w:tcW w:w="223" w:type="pct"/>
            <w:tcBorders>
              <w:top w:val="nil"/>
              <w:left w:val="nil"/>
              <w:bottom w:val="single" w:sz="4" w:space="0" w:color="auto"/>
              <w:right w:val="nil"/>
            </w:tcBorders>
            <w:shd w:val="clear" w:color="auto" w:fill="auto"/>
            <w:noWrap/>
            <w:vAlign w:val="bottom"/>
            <w:hideMark/>
          </w:tcPr>
          <w:p w14:paraId="4645D2C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center"/>
            <w:hideMark/>
          </w:tcPr>
          <w:p w14:paraId="7FB3F12F"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single" w:sz="4" w:space="0" w:color="auto"/>
              <w:right w:val="nil"/>
            </w:tcBorders>
            <w:shd w:val="clear" w:color="auto" w:fill="auto"/>
            <w:noWrap/>
            <w:vAlign w:val="bottom"/>
            <w:hideMark/>
          </w:tcPr>
          <w:p w14:paraId="3538908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(n=5)</w:t>
            </w:r>
          </w:p>
        </w:tc>
        <w:tc>
          <w:tcPr>
            <w:tcW w:w="223" w:type="pct"/>
            <w:tcBorders>
              <w:top w:val="nil"/>
              <w:left w:val="nil"/>
              <w:bottom w:val="single" w:sz="4" w:space="0" w:color="auto"/>
              <w:right w:val="nil"/>
            </w:tcBorders>
            <w:shd w:val="clear" w:color="auto" w:fill="auto"/>
            <w:noWrap/>
            <w:vAlign w:val="bottom"/>
            <w:hideMark/>
          </w:tcPr>
          <w:p w14:paraId="560E9AC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r>
      <w:tr w:rsidR="00B82177" w:rsidRPr="00B82177" w14:paraId="6C488E2A" w14:textId="77777777" w:rsidTr="00B82177">
        <w:trPr>
          <w:trHeight w:val="240"/>
        </w:trPr>
        <w:tc>
          <w:tcPr>
            <w:tcW w:w="327" w:type="pct"/>
            <w:tcBorders>
              <w:top w:val="single" w:sz="4" w:space="0" w:color="auto"/>
              <w:left w:val="nil"/>
              <w:bottom w:val="nil"/>
              <w:right w:val="nil"/>
            </w:tcBorders>
            <w:shd w:val="clear" w:color="auto" w:fill="auto"/>
            <w:noWrap/>
            <w:vAlign w:val="center"/>
            <w:hideMark/>
          </w:tcPr>
          <w:p w14:paraId="1A10681B"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SiO</w:t>
            </w:r>
            <w:r w:rsidRPr="00B82177">
              <w:rPr>
                <w:rFonts w:eastAsia="Times New Roman"/>
                <w:sz w:val="18"/>
                <w:szCs w:val="18"/>
                <w:vertAlign w:val="subscript"/>
                <w:lang w:val="fr-FR" w:eastAsia="fr-FR"/>
              </w:rPr>
              <w:t>2</w:t>
            </w:r>
          </w:p>
        </w:tc>
        <w:tc>
          <w:tcPr>
            <w:tcW w:w="419" w:type="pct"/>
            <w:tcBorders>
              <w:top w:val="nil"/>
              <w:left w:val="nil"/>
              <w:bottom w:val="nil"/>
              <w:right w:val="nil"/>
            </w:tcBorders>
            <w:shd w:val="clear" w:color="auto" w:fill="auto"/>
            <w:noWrap/>
            <w:vAlign w:val="bottom"/>
            <w:hideMark/>
          </w:tcPr>
          <w:p w14:paraId="02768AA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123" w:type="pct"/>
            <w:tcBorders>
              <w:top w:val="nil"/>
              <w:left w:val="nil"/>
              <w:bottom w:val="nil"/>
              <w:right w:val="nil"/>
            </w:tcBorders>
            <w:shd w:val="clear" w:color="auto" w:fill="auto"/>
            <w:noWrap/>
            <w:vAlign w:val="bottom"/>
            <w:hideMark/>
          </w:tcPr>
          <w:p w14:paraId="18B2276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059D4747"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7DC4182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11" w:type="pct"/>
            <w:tcBorders>
              <w:top w:val="nil"/>
              <w:left w:val="nil"/>
              <w:bottom w:val="nil"/>
              <w:right w:val="nil"/>
            </w:tcBorders>
            <w:shd w:val="clear" w:color="auto" w:fill="auto"/>
            <w:noWrap/>
            <w:vAlign w:val="bottom"/>
            <w:hideMark/>
          </w:tcPr>
          <w:p w14:paraId="66DF743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25798EE3"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436B637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09D2E31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7A5F62B7"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385AF38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223" w:type="pct"/>
            <w:tcBorders>
              <w:top w:val="nil"/>
              <w:left w:val="nil"/>
              <w:bottom w:val="nil"/>
              <w:right w:val="nil"/>
            </w:tcBorders>
            <w:shd w:val="clear" w:color="auto" w:fill="auto"/>
            <w:noWrap/>
            <w:vAlign w:val="bottom"/>
            <w:hideMark/>
          </w:tcPr>
          <w:p w14:paraId="143C5A6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single" w:sz="4" w:space="0" w:color="auto"/>
              <w:left w:val="nil"/>
              <w:bottom w:val="nil"/>
              <w:right w:val="nil"/>
            </w:tcBorders>
            <w:shd w:val="clear" w:color="auto" w:fill="auto"/>
            <w:noWrap/>
            <w:vAlign w:val="bottom"/>
            <w:hideMark/>
          </w:tcPr>
          <w:p w14:paraId="6A65FB23"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379" w:type="pct"/>
            <w:tcBorders>
              <w:top w:val="nil"/>
              <w:left w:val="nil"/>
              <w:bottom w:val="nil"/>
              <w:right w:val="nil"/>
            </w:tcBorders>
            <w:shd w:val="clear" w:color="auto" w:fill="auto"/>
            <w:noWrap/>
            <w:vAlign w:val="bottom"/>
            <w:hideMark/>
          </w:tcPr>
          <w:p w14:paraId="65604B0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3A2A1E4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single" w:sz="4" w:space="0" w:color="auto"/>
              <w:left w:val="nil"/>
              <w:bottom w:val="nil"/>
              <w:right w:val="nil"/>
            </w:tcBorders>
            <w:shd w:val="clear" w:color="auto" w:fill="auto"/>
            <w:noWrap/>
            <w:vAlign w:val="bottom"/>
            <w:hideMark/>
          </w:tcPr>
          <w:p w14:paraId="7CD99855"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379" w:type="pct"/>
            <w:tcBorders>
              <w:top w:val="nil"/>
              <w:left w:val="nil"/>
              <w:bottom w:val="nil"/>
              <w:right w:val="nil"/>
            </w:tcBorders>
            <w:shd w:val="clear" w:color="auto" w:fill="auto"/>
            <w:noWrap/>
            <w:vAlign w:val="bottom"/>
            <w:hideMark/>
          </w:tcPr>
          <w:p w14:paraId="42B5FAB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5A5F8EC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single" w:sz="4" w:space="0" w:color="auto"/>
              <w:left w:val="nil"/>
              <w:bottom w:val="nil"/>
              <w:right w:val="nil"/>
            </w:tcBorders>
            <w:shd w:val="clear" w:color="auto" w:fill="auto"/>
            <w:noWrap/>
            <w:vAlign w:val="bottom"/>
            <w:hideMark/>
          </w:tcPr>
          <w:p w14:paraId="1EF440E8"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379" w:type="pct"/>
            <w:tcBorders>
              <w:top w:val="nil"/>
              <w:left w:val="nil"/>
              <w:bottom w:val="nil"/>
              <w:right w:val="nil"/>
            </w:tcBorders>
            <w:shd w:val="clear" w:color="auto" w:fill="auto"/>
            <w:noWrap/>
            <w:vAlign w:val="bottom"/>
            <w:hideMark/>
          </w:tcPr>
          <w:p w14:paraId="1B6AC00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223" w:type="pct"/>
            <w:tcBorders>
              <w:top w:val="nil"/>
              <w:left w:val="nil"/>
              <w:bottom w:val="nil"/>
              <w:right w:val="nil"/>
            </w:tcBorders>
            <w:shd w:val="clear" w:color="auto" w:fill="auto"/>
            <w:noWrap/>
            <w:vAlign w:val="bottom"/>
            <w:hideMark/>
          </w:tcPr>
          <w:p w14:paraId="695490E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r>
      <w:tr w:rsidR="00B82177" w:rsidRPr="00B82177" w14:paraId="4D71DC53" w14:textId="77777777" w:rsidTr="00B82177">
        <w:trPr>
          <w:trHeight w:val="240"/>
        </w:trPr>
        <w:tc>
          <w:tcPr>
            <w:tcW w:w="327" w:type="pct"/>
            <w:tcBorders>
              <w:top w:val="nil"/>
              <w:left w:val="nil"/>
              <w:bottom w:val="nil"/>
              <w:right w:val="nil"/>
            </w:tcBorders>
            <w:shd w:val="clear" w:color="auto" w:fill="auto"/>
            <w:noWrap/>
            <w:vAlign w:val="center"/>
            <w:hideMark/>
          </w:tcPr>
          <w:p w14:paraId="3682D8B2"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TiO</w:t>
            </w:r>
            <w:r w:rsidRPr="00B82177">
              <w:rPr>
                <w:rFonts w:eastAsia="Times New Roman"/>
                <w:sz w:val="18"/>
                <w:szCs w:val="18"/>
                <w:vertAlign w:val="subscript"/>
                <w:lang w:val="fr-FR" w:eastAsia="fr-FR"/>
              </w:rPr>
              <w:t>2</w:t>
            </w:r>
          </w:p>
        </w:tc>
        <w:tc>
          <w:tcPr>
            <w:tcW w:w="419" w:type="pct"/>
            <w:tcBorders>
              <w:top w:val="nil"/>
              <w:left w:val="nil"/>
              <w:bottom w:val="nil"/>
              <w:right w:val="nil"/>
            </w:tcBorders>
            <w:shd w:val="clear" w:color="auto" w:fill="auto"/>
            <w:noWrap/>
            <w:vAlign w:val="bottom"/>
            <w:hideMark/>
          </w:tcPr>
          <w:p w14:paraId="54BFECD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123" w:type="pct"/>
            <w:tcBorders>
              <w:top w:val="nil"/>
              <w:left w:val="nil"/>
              <w:bottom w:val="nil"/>
              <w:right w:val="nil"/>
            </w:tcBorders>
            <w:shd w:val="clear" w:color="auto" w:fill="auto"/>
            <w:noWrap/>
            <w:vAlign w:val="bottom"/>
            <w:hideMark/>
          </w:tcPr>
          <w:p w14:paraId="61ED0B0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5DCDFEF6"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42BB0C4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0.3</w:t>
            </w:r>
          </w:p>
        </w:tc>
        <w:tc>
          <w:tcPr>
            <w:tcW w:w="211" w:type="pct"/>
            <w:tcBorders>
              <w:top w:val="nil"/>
              <w:left w:val="nil"/>
              <w:bottom w:val="nil"/>
              <w:right w:val="nil"/>
            </w:tcBorders>
            <w:shd w:val="clear" w:color="auto" w:fill="auto"/>
            <w:noWrap/>
            <w:vAlign w:val="bottom"/>
            <w:hideMark/>
          </w:tcPr>
          <w:p w14:paraId="1CD271E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80" w:type="pct"/>
            <w:tcBorders>
              <w:top w:val="nil"/>
              <w:left w:val="nil"/>
              <w:bottom w:val="nil"/>
              <w:right w:val="nil"/>
            </w:tcBorders>
            <w:shd w:val="clear" w:color="auto" w:fill="auto"/>
            <w:noWrap/>
            <w:vAlign w:val="bottom"/>
            <w:hideMark/>
          </w:tcPr>
          <w:p w14:paraId="5069A082"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7F3F8E6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0.4</w:t>
            </w:r>
          </w:p>
        </w:tc>
        <w:tc>
          <w:tcPr>
            <w:tcW w:w="223" w:type="pct"/>
            <w:tcBorders>
              <w:top w:val="nil"/>
              <w:left w:val="nil"/>
              <w:bottom w:val="nil"/>
              <w:right w:val="nil"/>
            </w:tcBorders>
            <w:shd w:val="clear" w:color="auto" w:fill="auto"/>
            <w:noWrap/>
            <w:vAlign w:val="bottom"/>
            <w:hideMark/>
          </w:tcPr>
          <w:p w14:paraId="4446732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80" w:type="pct"/>
            <w:tcBorders>
              <w:top w:val="nil"/>
              <w:left w:val="nil"/>
              <w:bottom w:val="nil"/>
              <w:right w:val="nil"/>
            </w:tcBorders>
            <w:shd w:val="clear" w:color="auto" w:fill="auto"/>
            <w:noWrap/>
            <w:vAlign w:val="bottom"/>
            <w:hideMark/>
          </w:tcPr>
          <w:p w14:paraId="5DBBD344"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09A4B17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0.2</w:t>
            </w:r>
          </w:p>
        </w:tc>
        <w:tc>
          <w:tcPr>
            <w:tcW w:w="223" w:type="pct"/>
            <w:tcBorders>
              <w:top w:val="nil"/>
              <w:left w:val="nil"/>
              <w:bottom w:val="nil"/>
              <w:right w:val="nil"/>
            </w:tcBorders>
            <w:shd w:val="clear" w:color="auto" w:fill="auto"/>
            <w:noWrap/>
            <w:vAlign w:val="bottom"/>
            <w:hideMark/>
          </w:tcPr>
          <w:p w14:paraId="0E39134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0.2</w:t>
            </w:r>
          </w:p>
        </w:tc>
        <w:tc>
          <w:tcPr>
            <w:tcW w:w="80" w:type="pct"/>
            <w:tcBorders>
              <w:top w:val="nil"/>
              <w:left w:val="nil"/>
              <w:bottom w:val="nil"/>
              <w:right w:val="nil"/>
            </w:tcBorders>
            <w:shd w:val="clear" w:color="auto" w:fill="auto"/>
            <w:noWrap/>
            <w:vAlign w:val="bottom"/>
            <w:hideMark/>
          </w:tcPr>
          <w:p w14:paraId="3EA6281F"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075DFB1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0.5</w:t>
            </w:r>
          </w:p>
        </w:tc>
        <w:tc>
          <w:tcPr>
            <w:tcW w:w="223" w:type="pct"/>
            <w:tcBorders>
              <w:top w:val="nil"/>
              <w:left w:val="nil"/>
              <w:bottom w:val="nil"/>
              <w:right w:val="nil"/>
            </w:tcBorders>
            <w:shd w:val="clear" w:color="auto" w:fill="auto"/>
            <w:noWrap/>
            <w:vAlign w:val="bottom"/>
            <w:hideMark/>
          </w:tcPr>
          <w:p w14:paraId="3B7756C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80" w:type="pct"/>
            <w:tcBorders>
              <w:top w:val="nil"/>
              <w:left w:val="nil"/>
              <w:bottom w:val="nil"/>
              <w:right w:val="nil"/>
            </w:tcBorders>
            <w:shd w:val="clear" w:color="auto" w:fill="auto"/>
            <w:noWrap/>
            <w:vAlign w:val="bottom"/>
            <w:hideMark/>
          </w:tcPr>
          <w:p w14:paraId="6C4A23C8"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734B8EA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0.3</w:t>
            </w:r>
          </w:p>
        </w:tc>
        <w:tc>
          <w:tcPr>
            <w:tcW w:w="223" w:type="pct"/>
            <w:tcBorders>
              <w:top w:val="nil"/>
              <w:left w:val="nil"/>
              <w:bottom w:val="nil"/>
              <w:right w:val="nil"/>
            </w:tcBorders>
            <w:shd w:val="clear" w:color="auto" w:fill="auto"/>
            <w:noWrap/>
            <w:vAlign w:val="bottom"/>
            <w:hideMark/>
          </w:tcPr>
          <w:p w14:paraId="34ACF5E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80" w:type="pct"/>
            <w:tcBorders>
              <w:top w:val="nil"/>
              <w:left w:val="nil"/>
              <w:bottom w:val="nil"/>
              <w:right w:val="nil"/>
            </w:tcBorders>
            <w:shd w:val="clear" w:color="auto" w:fill="auto"/>
            <w:noWrap/>
            <w:vAlign w:val="bottom"/>
            <w:hideMark/>
          </w:tcPr>
          <w:p w14:paraId="6A61CF1E"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553A0F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0.3</w:t>
            </w:r>
          </w:p>
        </w:tc>
        <w:tc>
          <w:tcPr>
            <w:tcW w:w="223" w:type="pct"/>
            <w:tcBorders>
              <w:top w:val="nil"/>
              <w:left w:val="nil"/>
              <w:bottom w:val="nil"/>
              <w:right w:val="nil"/>
            </w:tcBorders>
            <w:shd w:val="clear" w:color="auto" w:fill="auto"/>
            <w:noWrap/>
            <w:vAlign w:val="bottom"/>
            <w:hideMark/>
          </w:tcPr>
          <w:p w14:paraId="34521EB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r>
      <w:tr w:rsidR="00B82177" w:rsidRPr="00B82177" w14:paraId="6620BDF1" w14:textId="77777777" w:rsidTr="00B82177">
        <w:trPr>
          <w:trHeight w:val="240"/>
        </w:trPr>
        <w:tc>
          <w:tcPr>
            <w:tcW w:w="327" w:type="pct"/>
            <w:tcBorders>
              <w:top w:val="nil"/>
              <w:left w:val="nil"/>
              <w:bottom w:val="nil"/>
              <w:right w:val="nil"/>
            </w:tcBorders>
            <w:shd w:val="clear" w:color="auto" w:fill="auto"/>
            <w:noWrap/>
            <w:vAlign w:val="center"/>
            <w:hideMark/>
          </w:tcPr>
          <w:p w14:paraId="241E47AD"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Al</w:t>
            </w:r>
            <w:r w:rsidRPr="00B82177">
              <w:rPr>
                <w:rFonts w:eastAsia="Times New Roman"/>
                <w:sz w:val="18"/>
                <w:szCs w:val="18"/>
                <w:vertAlign w:val="subscript"/>
                <w:lang w:val="fr-FR" w:eastAsia="fr-FR"/>
              </w:rPr>
              <w:t>2</w:t>
            </w:r>
            <w:r w:rsidRPr="00B82177">
              <w:rPr>
                <w:rFonts w:eastAsia="Times New Roman"/>
                <w:sz w:val="18"/>
                <w:szCs w:val="18"/>
                <w:lang w:val="fr-FR" w:eastAsia="fr-FR"/>
              </w:rPr>
              <w:t>O</w:t>
            </w:r>
            <w:r w:rsidRPr="00B82177">
              <w:rPr>
                <w:rFonts w:eastAsia="Times New Roman"/>
                <w:sz w:val="18"/>
                <w:szCs w:val="18"/>
                <w:vertAlign w:val="subscript"/>
                <w:lang w:val="fr-FR" w:eastAsia="fr-FR"/>
              </w:rPr>
              <w:t>3</w:t>
            </w:r>
          </w:p>
        </w:tc>
        <w:tc>
          <w:tcPr>
            <w:tcW w:w="419" w:type="pct"/>
            <w:tcBorders>
              <w:top w:val="nil"/>
              <w:left w:val="nil"/>
              <w:bottom w:val="nil"/>
              <w:right w:val="nil"/>
            </w:tcBorders>
            <w:shd w:val="clear" w:color="auto" w:fill="auto"/>
            <w:noWrap/>
            <w:vAlign w:val="bottom"/>
            <w:hideMark/>
          </w:tcPr>
          <w:p w14:paraId="38B0846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56.6</w:t>
            </w:r>
          </w:p>
        </w:tc>
        <w:tc>
          <w:tcPr>
            <w:tcW w:w="123" w:type="pct"/>
            <w:tcBorders>
              <w:top w:val="nil"/>
              <w:left w:val="nil"/>
              <w:bottom w:val="nil"/>
              <w:right w:val="nil"/>
            </w:tcBorders>
            <w:shd w:val="clear" w:color="auto" w:fill="auto"/>
            <w:noWrap/>
            <w:vAlign w:val="bottom"/>
            <w:hideMark/>
          </w:tcPr>
          <w:p w14:paraId="66D5157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17A6A96B"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6FBE202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37.4</w:t>
            </w:r>
          </w:p>
        </w:tc>
        <w:tc>
          <w:tcPr>
            <w:tcW w:w="211" w:type="pct"/>
            <w:tcBorders>
              <w:top w:val="nil"/>
              <w:left w:val="nil"/>
              <w:bottom w:val="nil"/>
              <w:right w:val="nil"/>
            </w:tcBorders>
            <w:shd w:val="clear" w:color="auto" w:fill="auto"/>
            <w:noWrap/>
            <w:vAlign w:val="bottom"/>
            <w:hideMark/>
          </w:tcPr>
          <w:p w14:paraId="6BE4271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3.5</w:t>
            </w:r>
          </w:p>
        </w:tc>
        <w:tc>
          <w:tcPr>
            <w:tcW w:w="80" w:type="pct"/>
            <w:tcBorders>
              <w:top w:val="nil"/>
              <w:left w:val="nil"/>
              <w:bottom w:val="nil"/>
              <w:right w:val="nil"/>
            </w:tcBorders>
            <w:shd w:val="clear" w:color="auto" w:fill="auto"/>
            <w:noWrap/>
            <w:vAlign w:val="bottom"/>
            <w:hideMark/>
          </w:tcPr>
          <w:p w14:paraId="2ABBD2A7"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028D26E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37.2</w:t>
            </w:r>
          </w:p>
        </w:tc>
        <w:tc>
          <w:tcPr>
            <w:tcW w:w="223" w:type="pct"/>
            <w:tcBorders>
              <w:top w:val="nil"/>
              <w:left w:val="nil"/>
              <w:bottom w:val="nil"/>
              <w:right w:val="nil"/>
            </w:tcBorders>
            <w:shd w:val="clear" w:color="auto" w:fill="auto"/>
            <w:noWrap/>
            <w:vAlign w:val="bottom"/>
            <w:hideMark/>
          </w:tcPr>
          <w:p w14:paraId="7C1A951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4.3</w:t>
            </w:r>
          </w:p>
        </w:tc>
        <w:tc>
          <w:tcPr>
            <w:tcW w:w="80" w:type="pct"/>
            <w:tcBorders>
              <w:top w:val="nil"/>
              <w:left w:val="nil"/>
              <w:bottom w:val="nil"/>
              <w:right w:val="nil"/>
            </w:tcBorders>
            <w:shd w:val="clear" w:color="auto" w:fill="auto"/>
            <w:noWrap/>
            <w:vAlign w:val="bottom"/>
            <w:hideMark/>
          </w:tcPr>
          <w:p w14:paraId="22D70C32"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2EFBAD6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54.8</w:t>
            </w:r>
          </w:p>
        </w:tc>
        <w:tc>
          <w:tcPr>
            <w:tcW w:w="223" w:type="pct"/>
            <w:tcBorders>
              <w:top w:val="nil"/>
              <w:left w:val="nil"/>
              <w:bottom w:val="nil"/>
              <w:right w:val="nil"/>
            </w:tcBorders>
            <w:shd w:val="clear" w:color="auto" w:fill="auto"/>
            <w:noWrap/>
            <w:vAlign w:val="bottom"/>
            <w:hideMark/>
          </w:tcPr>
          <w:p w14:paraId="0838676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3.5</w:t>
            </w:r>
          </w:p>
        </w:tc>
        <w:tc>
          <w:tcPr>
            <w:tcW w:w="80" w:type="pct"/>
            <w:tcBorders>
              <w:top w:val="nil"/>
              <w:left w:val="nil"/>
              <w:bottom w:val="nil"/>
              <w:right w:val="nil"/>
            </w:tcBorders>
            <w:shd w:val="clear" w:color="auto" w:fill="auto"/>
            <w:noWrap/>
            <w:vAlign w:val="bottom"/>
            <w:hideMark/>
          </w:tcPr>
          <w:p w14:paraId="76E43847"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2C4FF5C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36.0</w:t>
            </w:r>
          </w:p>
        </w:tc>
        <w:tc>
          <w:tcPr>
            <w:tcW w:w="223" w:type="pct"/>
            <w:tcBorders>
              <w:top w:val="nil"/>
              <w:left w:val="nil"/>
              <w:bottom w:val="nil"/>
              <w:right w:val="nil"/>
            </w:tcBorders>
            <w:shd w:val="clear" w:color="auto" w:fill="auto"/>
            <w:noWrap/>
            <w:vAlign w:val="bottom"/>
            <w:hideMark/>
          </w:tcPr>
          <w:p w14:paraId="1294A20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2.1</w:t>
            </w:r>
          </w:p>
        </w:tc>
        <w:tc>
          <w:tcPr>
            <w:tcW w:w="80" w:type="pct"/>
            <w:tcBorders>
              <w:top w:val="nil"/>
              <w:left w:val="nil"/>
              <w:bottom w:val="nil"/>
              <w:right w:val="nil"/>
            </w:tcBorders>
            <w:shd w:val="clear" w:color="auto" w:fill="auto"/>
            <w:noWrap/>
            <w:vAlign w:val="bottom"/>
            <w:hideMark/>
          </w:tcPr>
          <w:p w14:paraId="6B195629"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60B5EC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43.7</w:t>
            </w:r>
          </w:p>
        </w:tc>
        <w:tc>
          <w:tcPr>
            <w:tcW w:w="223" w:type="pct"/>
            <w:tcBorders>
              <w:top w:val="nil"/>
              <w:left w:val="nil"/>
              <w:bottom w:val="nil"/>
              <w:right w:val="nil"/>
            </w:tcBorders>
            <w:shd w:val="clear" w:color="auto" w:fill="auto"/>
            <w:noWrap/>
            <w:vAlign w:val="bottom"/>
            <w:hideMark/>
          </w:tcPr>
          <w:p w14:paraId="3D3ECF5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2.2</w:t>
            </w:r>
          </w:p>
        </w:tc>
        <w:tc>
          <w:tcPr>
            <w:tcW w:w="80" w:type="pct"/>
            <w:tcBorders>
              <w:top w:val="nil"/>
              <w:left w:val="nil"/>
              <w:bottom w:val="nil"/>
              <w:right w:val="nil"/>
            </w:tcBorders>
            <w:shd w:val="clear" w:color="auto" w:fill="auto"/>
            <w:noWrap/>
            <w:vAlign w:val="bottom"/>
            <w:hideMark/>
          </w:tcPr>
          <w:p w14:paraId="2DA4B2B7"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2268F13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35.8</w:t>
            </w:r>
          </w:p>
        </w:tc>
        <w:tc>
          <w:tcPr>
            <w:tcW w:w="223" w:type="pct"/>
            <w:tcBorders>
              <w:top w:val="nil"/>
              <w:left w:val="nil"/>
              <w:bottom w:val="nil"/>
              <w:right w:val="nil"/>
            </w:tcBorders>
            <w:shd w:val="clear" w:color="auto" w:fill="auto"/>
            <w:noWrap/>
            <w:vAlign w:val="bottom"/>
            <w:hideMark/>
          </w:tcPr>
          <w:p w14:paraId="2EFAC9E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2.6</w:t>
            </w:r>
          </w:p>
        </w:tc>
      </w:tr>
      <w:tr w:rsidR="00B82177" w:rsidRPr="00B82177" w14:paraId="42DC0EAA" w14:textId="77777777" w:rsidTr="00B82177">
        <w:trPr>
          <w:trHeight w:val="240"/>
        </w:trPr>
        <w:tc>
          <w:tcPr>
            <w:tcW w:w="327" w:type="pct"/>
            <w:tcBorders>
              <w:top w:val="nil"/>
              <w:left w:val="nil"/>
              <w:bottom w:val="nil"/>
              <w:right w:val="nil"/>
            </w:tcBorders>
            <w:shd w:val="clear" w:color="auto" w:fill="auto"/>
            <w:noWrap/>
            <w:vAlign w:val="center"/>
            <w:hideMark/>
          </w:tcPr>
          <w:p w14:paraId="1123BFA3"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FeO</w:t>
            </w:r>
            <w:r w:rsidRPr="00B82177">
              <w:rPr>
                <w:rFonts w:eastAsia="Times New Roman"/>
                <w:sz w:val="18"/>
                <w:szCs w:val="18"/>
                <w:vertAlign w:val="subscript"/>
                <w:lang w:val="fr-FR" w:eastAsia="fr-FR"/>
              </w:rPr>
              <w:t>tot</w:t>
            </w:r>
          </w:p>
        </w:tc>
        <w:tc>
          <w:tcPr>
            <w:tcW w:w="419" w:type="pct"/>
            <w:tcBorders>
              <w:top w:val="nil"/>
              <w:left w:val="nil"/>
              <w:bottom w:val="nil"/>
              <w:right w:val="nil"/>
            </w:tcBorders>
            <w:shd w:val="clear" w:color="auto" w:fill="auto"/>
            <w:noWrap/>
            <w:vAlign w:val="bottom"/>
            <w:hideMark/>
          </w:tcPr>
          <w:p w14:paraId="237B981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15.3</w:t>
            </w:r>
          </w:p>
        </w:tc>
        <w:tc>
          <w:tcPr>
            <w:tcW w:w="123" w:type="pct"/>
            <w:tcBorders>
              <w:top w:val="nil"/>
              <w:left w:val="nil"/>
              <w:bottom w:val="nil"/>
              <w:right w:val="nil"/>
            </w:tcBorders>
            <w:shd w:val="clear" w:color="auto" w:fill="auto"/>
            <w:noWrap/>
            <w:vAlign w:val="bottom"/>
            <w:hideMark/>
          </w:tcPr>
          <w:p w14:paraId="5785CBC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42E8221B"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5E714D3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19.2</w:t>
            </w:r>
          </w:p>
        </w:tc>
        <w:tc>
          <w:tcPr>
            <w:tcW w:w="211" w:type="pct"/>
            <w:tcBorders>
              <w:top w:val="nil"/>
              <w:left w:val="nil"/>
              <w:bottom w:val="nil"/>
              <w:right w:val="nil"/>
            </w:tcBorders>
            <w:shd w:val="clear" w:color="auto" w:fill="auto"/>
            <w:noWrap/>
            <w:vAlign w:val="bottom"/>
            <w:hideMark/>
          </w:tcPr>
          <w:p w14:paraId="3BABDD9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1.3</w:t>
            </w:r>
          </w:p>
        </w:tc>
        <w:tc>
          <w:tcPr>
            <w:tcW w:w="80" w:type="pct"/>
            <w:tcBorders>
              <w:top w:val="nil"/>
              <w:left w:val="nil"/>
              <w:bottom w:val="nil"/>
              <w:right w:val="nil"/>
            </w:tcBorders>
            <w:shd w:val="clear" w:color="auto" w:fill="auto"/>
            <w:noWrap/>
            <w:vAlign w:val="bottom"/>
            <w:hideMark/>
          </w:tcPr>
          <w:p w14:paraId="4B5FF26B"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3AE3DE8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18.8</w:t>
            </w:r>
          </w:p>
        </w:tc>
        <w:tc>
          <w:tcPr>
            <w:tcW w:w="223" w:type="pct"/>
            <w:tcBorders>
              <w:top w:val="nil"/>
              <w:left w:val="nil"/>
              <w:bottom w:val="nil"/>
              <w:right w:val="nil"/>
            </w:tcBorders>
            <w:shd w:val="clear" w:color="auto" w:fill="auto"/>
            <w:noWrap/>
            <w:vAlign w:val="bottom"/>
            <w:hideMark/>
          </w:tcPr>
          <w:p w14:paraId="52DD550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2.5</w:t>
            </w:r>
          </w:p>
        </w:tc>
        <w:tc>
          <w:tcPr>
            <w:tcW w:w="80" w:type="pct"/>
            <w:tcBorders>
              <w:top w:val="nil"/>
              <w:left w:val="nil"/>
              <w:bottom w:val="nil"/>
              <w:right w:val="nil"/>
            </w:tcBorders>
            <w:shd w:val="clear" w:color="auto" w:fill="auto"/>
            <w:noWrap/>
            <w:vAlign w:val="bottom"/>
            <w:hideMark/>
          </w:tcPr>
          <w:p w14:paraId="101317C1"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4782FB6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11.0</w:t>
            </w:r>
          </w:p>
        </w:tc>
        <w:tc>
          <w:tcPr>
            <w:tcW w:w="223" w:type="pct"/>
            <w:tcBorders>
              <w:top w:val="nil"/>
              <w:left w:val="nil"/>
              <w:bottom w:val="nil"/>
              <w:right w:val="nil"/>
            </w:tcBorders>
            <w:shd w:val="clear" w:color="auto" w:fill="auto"/>
            <w:noWrap/>
            <w:vAlign w:val="bottom"/>
            <w:hideMark/>
          </w:tcPr>
          <w:p w14:paraId="06F3E31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0.9</w:t>
            </w:r>
          </w:p>
        </w:tc>
        <w:tc>
          <w:tcPr>
            <w:tcW w:w="80" w:type="pct"/>
            <w:tcBorders>
              <w:top w:val="nil"/>
              <w:left w:val="nil"/>
              <w:bottom w:val="nil"/>
              <w:right w:val="nil"/>
            </w:tcBorders>
            <w:shd w:val="clear" w:color="auto" w:fill="auto"/>
            <w:noWrap/>
            <w:vAlign w:val="bottom"/>
            <w:hideMark/>
          </w:tcPr>
          <w:p w14:paraId="555C553B"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523E8AC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18.6</w:t>
            </w:r>
          </w:p>
        </w:tc>
        <w:tc>
          <w:tcPr>
            <w:tcW w:w="223" w:type="pct"/>
            <w:tcBorders>
              <w:top w:val="nil"/>
              <w:left w:val="nil"/>
              <w:bottom w:val="nil"/>
              <w:right w:val="nil"/>
            </w:tcBorders>
            <w:shd w:val="clear" w:color="auto" w:fill="auto"/>
            <w:noWrap/>
            <w:vAlign w:val="bottom"/>
            <w:hideMark/>
          </w:tcPr>
          <w:p w14:paraId="445EE60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0.6</w:t>
            </w:r>
          </w:p>
        </w:tc>
        <w:tc>
          <w:tcPr>
            <w:tcW w:w="80" w:type="pct"/>
            <w:tcBorders>
              <w:top w:val="nil"/>
              <w:left w:val="nil"/>
              <w:bottom w:val="nil"/>
              <w:right w:val="nil"/>
            </w:tcBorders>
            <w:shd w:val="clear" w:color="auto" w:fill="auto"/>
            <w:noWrap/>
            <w:vAlign w:val="bottom"/>
            <w:hideMark/>
          </w:tcPr>
          <w:p w14:paraId="07ABB6C6"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618F72B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17.3</w:t>
            </w:r>
          </w:p>
        </w:tc>
        <w:tc>
          <w:tcPr>
            <w:tcW w:w="223" w:type="pct"/>
            <w:tcBorders>
              <w:top w:val="nil"/>
              <w:left w:val="nil"/>
              <w:bottom w:val="nil"/>
              <w:right w:val="nil"/>
            </w:tcBorders>
            <w:shd w:val="clear" w:color="auto" w:fill="auto"/>
            <w:noWrap/>
            <w:vAlign w:val="bottom"/>
            <w:hideMark/>
          </w:tcPr>
          <w:p w14:paraId="572FC2F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0.8</w:t>
            </w:r>
          </w:p>
        </w:tc>
        <w:tc>
          <w:tcPr>
            <w:tcW w:w="80" w:type="pct"/>
            <w:tcBorders>
              <w:top w:val="nil"/>
              <w:left w:val="nil"/>
              <w:bottom w:val="nil"/>
              <w:right w:val="nil"/>
            </w:tcBorders>
            <w:shd w:val="clear" w:color="auto" w:fill="auto"/>
            <w:noWrap/>
            <w:vAlign w:val="bottom"/>
            <w:hideMark/>
          </w:tcPr>
          <w:p w14:paraId="5E56A52A"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3D0B21A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18.5</w:t>
            </w:r>
          </w:p>
        </w:tc>
        <w:tc>
          <w:tcPr>
            <w:tcW w:w="223" w:type="pct"/>
            <w:tcBorders>
              <w:top w:val="nil"/>
              <w:left w:val="nil"/>
              <w:bottom w:val="nil"/>
              <w:right w:val="nil"/>
            </w:tcBorders>
            <w:shd w:val="clear" w:color="auto" w:fill="auto"/>
            <w:noWrap/>
            <w:vAlign w:val="bottom"/>
            <w:hideMark/>
          </w:tcPr>
          <w:p w14:paraId="6F163AD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1.4</w:t>
            </w:r>
          </w:p>
        </w:tc>
      </w:tr>
      <w:tr w:rsidR="00B82177" w:rsidRPr="00B82177" w14:paraId="295C26F8" w14:textId="77777777" w:rsidTr="00B82177">
        <w:trPr>
          <w:trHeight w:val="240"/>
        </w:trPr>
        <w:tc>
          <w:tcPr>
            <w:tcW w:w="327" w:type="pct"/>
            <w:tcBorders>
              <w:top w:val="nil"/>
              <w:left w:val="nil"/>
              <w:bottom w:val="nil"/>
              <w:right w:val="nil"/>
            </w:tcBorders>
            <w:shd w:val="clear" w:color="auto" w:fill="auto"/>
            <w:noWrap/>
            <w:vAlign w:val="center"/>
            <w:hideMark/>
          </w:tcPr>
          <w:p w14:paraId="0F2B7165"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MnO</w:t>
            </w:r>
          </w:p>
        </w:tc>
        <w:tc>
          <w:tcPr>
            <w:tcW w:w="419" w:type="pct"/>
            <w:tcBorders>
              <w:top w:val="nil"/>
              <w:left w:val="nil"/>
              <w:bottom w:val="nil"/>
              <w:right w:val="nil"/>
            </w:tcBorders>
            <w:shd w:val="clear" w:color="auto" w:fill="auto"/>
            <w:noWrap/>
            <w:vAlign w:val="bottom"/>
            <w:hideMark/>
          </w:tcPr>
          <w:p w14:paraId="10A9D6C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123" w:type="pct"/>
            <w:tcBorders>
              <w:top w:val="nil"/>
              <w:left w:val="nil"/>
              <w:bottom w:val="nil"/>
              <w:right w:val="nil"/>
            </w:tcBorders>
            <w:shd w:val="clear" w:color="auto" w:fill="auto"/>
            <w:noWrap/>
            <w:vAlign w:val="bottom"/>
            <w:hideMark/>
          </w:tcPr>
          <w:p w14:paraId="5EA26FA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18A168AE"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033991F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11" w:type="pct"/>
            <w:tcBorders>
              <w:top w:val="nil"/>
              <w:left w:val="nil"/>
              <w:bottom w:val="nil"/>
              <w:right w:val="nil"/>
            </w:tcBorders>
            <w:shd w:val="clear" w:color="auto" w:fill="auto"/>
            <w:noWrap/>
            <w:vAlign w:val="bottom"/>
            <w:hideMark/>
          </w:tcPr>
          <w:p w14:paraId="52A241E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35C7B841"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49F464F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3FD218E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7A12CA42"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3DE62C7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424530B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736BBC7E"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072B14F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1ACF8CC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2757F08E"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73B437A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63C7C0C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013AAA39"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2A0F4B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0.2</w:t>
            </w:r>
          </w:p>
        </w:tc>
        <w:tc>
          <w:tcPr>
            <w:tcW w:w="223" w:type="pct"/>
            <w:tcBorders>
              <w:top w:val="nil"/>
              <w:left w:val="nil"/>
              <w:bottom w:val="nil"/>
              <w:right w:val="nil"/>
            </w:tcBorders>
            <w:shd w:val="clear" w:color="auto" w:fill="auto"/>
            <w:noWrap/>
            <w:vAlign w:val="bottom"/>
            <w:hideMark/>
          </w:tcPr>
          <w:p w14:paraId="33D9108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r>
      <w:tr w:rsidR="00B82177" w:rsidRPr="00B82177" w14:paraId="617D8453" w14:textId="77777777" w:rsidTr="00B82177">
        <w:trPr>
          <w:trHeight w:val="240"/>
        </w:trPr>
        <w:tc>
          <w:tcPr>
            <w:tcW w:w="327" w:type="pct"/>
            <w:tcBorders>
              <w:top w:val="nil"/>
              <w:left w:val="nil"/>
              <w:bottom w:val="nil"/>
              <w:right w:val="nil"/>
            </w:tcBorders>
            <w:shd w:val="clear" w:color="auto" w:fill="auto"/>
            <w:noWrap/>
            <w:vAlign w:val="center"/>
            <w:hideMark/>
          </w:tcPr>
          <w:p w14:paraId="4F4FD1B5"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MgO</w:t>
            </w:r>
          </w:p>
        </w:tc>
        <w:tc>
          <w:tcPr>
            <w:tcW w:w="419" w:type="pct"/>
            <w:tcBorders>
              <w:top w:val="nil"/>
              <w:left w:val="nil"/>
              <w:bottom w:val="nil"/>
              <w:right w:val="nil"/>
            </w:tcBorders>
            <w:shd w:val="clear" w:color="auto" w:fill="auto"/>
            <w:noWrap/>
            <w:vAlign w:val="bottom"/>
            <w:hideMark/>
          </w:tcPr>
          <w:p w14:paraId="442CEFE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18.0</w:t>
            </w:r>
          </w:p>
        </w:tc>
        <w:tc>
          <w:tcPr>
            <w:tcW w:w="123" w:type="pct"/>
            <w:tcBorders>
              <w:top w:val="nil"/>
              <w:left w:val="nil"/>
              <w:bottom w:val="nil"/>
              <w:right w:val="nil"/>
            </w:tcBorders>
            <w:shd w:val="clear" w:color="auto" w:fill="auto"/>
            <w:noWrap/>
            <w:vAlign w:val="bottom"/>
            <w:hideMark/>
          </w:tcPr>
          <w:p w14:paraId="0AFB96D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70D71CA8"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077355B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13.8</w:t>
            </w:r>
          </w:p>
        </w:tc>
        <w:tc>
          <w:tcPr>
            <w:tcW w:w="211" w:type="pct"/>
            <w:tcBorders>
              <w:top w:val="nil"/>
              <w:left w:val="nil"/>
              <w:bottom w:val="nil"/>
              <w:right w:val="nil"/>
            </w:tcBorders>
            <w:shd w:val="clear" w:color="auto" w:fill="auto"/>
            <w:noWrap/>
            <w:vAlign w:val="bottom"/>
            <w:hideMark/>
          </w:tcPr>
          <w:p w14:paraId="6EAC0A8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1.1</w:t>
            </w:r>
          </w:p>
        </w:tc>
        <w:tc>
          <w:tcPr>
            <w:tcW w:w="80" w:type="pct"/>
            <w:tcBorders>
              <w:top w:val="nil"/>
              <w:left w:val="nil"/>
              <w:bottom w:val="nil"/>
              <w:right w:val="nil"/>
            </w:tcBorders>
            <w:shd w:val="clear" w:color="auto" w:fill="auto"/>
            <w:noWrap/>
            <w:vAlign w:val="bottom"/>
            <w:hideMark/>
          </w:tcPr>
          <w:p w14:paraId="591D781F"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5A96206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13.6</w:t>
            </w:r>
          </w:p>
        </w:tc>
        <w:tc>
          <w:tcPr>
            <w:tcW w:w="223" w:type="pct"/>
            <w:tcBorders>
              <w:top w:val="nil"/>
              <w:left w:val="nil"/>
              <w:bottom w:val="nil"/>
              <w:right w:val="nil"/>
            </w:tcBorders>
            <w:shd w:val="clear" w:color="auto" w:fill="auto"/>
            <w:noWrap/>
            <w:vAlign w:val="bottom"/>
            <w:hideMark/>
          </w:tcPr>
          <w:p w14:paraId="4C65821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1.7</w:t>
            </w:r>
          </w:p>
        </w:tc>
        <w:tc>
          <w:tcPr>
            <w:tcW w:w="80" w:type="pct"/>
            <w:tcBorders>
              <w:top w:val="nil"/>
              <w:left w:val="nil"/>
              <w:bottom w:val="nil"/>
              <w:right w:val="nil"/>
            </w:tcBorders>
            <w:shd w:val="clear" w:color="auto" w:fill="auto"/>
            <w:noWrap/>
            <w:vAlign w:val="bottom"/>
            <w:hideMark/>
          </w:tcPr>
          <w:p w14:paraId="6D3C2CBA"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388CD84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19.8</w:t>
            </w:r>
          </w:p>
        </w:tc>
        <w:tc>
          <w:tcPr>
            <w:tcW w:w="223" w:type="pct"/>
            <w:tcBorders>
              <w:top w:val="nil"/>
              <w:left w:val="nil"/>
              <w:bottom w:val="nil"/>
              <w:right w:val="nil"/>
            </w:tcBorders>
            <w:shd w:val="clear" w:color="auto" w:fill="auto"/>
            <w:noWrap/>
            <w:vAlign w:val="bottom"/>
            <w:hideMark/>
          </w:tcPr>
          <w:p w14:paraId="0E50F2A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0.9</w:t>
            </w:r>
          </w:p>
        </w:tc>
        <w:tc>
          <w:tcPr>
            <w:tcW w:w="80" w:type="pct"/>
            <w:tcBorders>
              <w:top w:val="nil"/>
              <w:left w:val="nil"/>
              <w:bottom w:val="nil"/>
              <w:right w:val="nil"/>
            </w:tcBorders>
            <w:shd w:val="clear" w:color="auto" w:fill="auto"/>
            <w:noWrap/>
            <w:vAlign w:val="bottom"/>
            <w:hideMark/>
          </w:tcPr>
          <w:p w14:paraId="527AD879"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DCF7CF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14.8</w:t>
            </w:r>
          </w:p>
        </w:tc>
        <w:tc>
          <w:tcPr>
            <w:tcW w:w="223" w:type="pct"/>
            <w:tcBorders>
              <w:top w:val="nil"/>
              <w:left w:val="nil"/>
              <w:bottom w:val="nil"/>
              <w:right w:val="nil"/>
            </w:tcBorders>
            <w:shd w:val="clear" w:color="auto" w:fill="auto"/>
            <w:noWrap/>
            <w:vAlign w:val="bottom"/>
            <w:hideMark/>
          </w:tcPr>
          <w:p w14:paraId="2BF8DB0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0.6</w:t>
            </w:r>
          </w:p>
        </w:tc>
        <w:tc>
          <w:tcPr>
            <w:tcW w:w="80" w:type="pct"/>
            <w:tcBorders>
              <w:top w:val="nil"/>
              <w:left w:val="nil"/>
              <w:bottom w:val="nil"/>
              <w:right w:val="nil"/>
            </w:tcBorders>
            <w:shd w:val="clear" w:color="auto" w:fill="auto"/>
            <w:noWrap/>
            <w:vAlign w:val="bottom"/>
            <w:hideMark/>
          </w:tcPr>
          <w:p w14:paraId="04F68AB6"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0134175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16.4</w:t>
            </w:r>
          </w:p>
        </w:tc>
        <w:tc>
          <w:tcPr>
            <w:tcW w:w="223" w:type="pct"/>
            <w:tcBorders>
              <w:top w:val="nil"/>
              <w:left w:val="nil"/>
              <w:bottom w:val="nil"/>
              <w:right w:val="nil"/>
            </w:tcBorders>
            <w:shd w:val="clear" w:color="auto" w:fill="auto"/>
            <w:noWrap/>
            <w:vAlign w:val="bottom"/>
            <w:hideMark/>
          </w:tcPr>
          <w:p w14:paraId="466F8F4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0.8</w:t>
            </w:r>
          </w:p>
        </w:tc>
        <w:tc>
          <w:tcPr>
            <w:tcW w:w="80" w:type="pct"/>
            <w:tcBorders>
              <w:top w:val="nil"/>
              <w:left w:val="nil"/>
              <w:bottom w:val="nil"/>
              <w:right w:val="nil"/>
            </w:tcBorders>
            <w:shd w:val="clear" w:color="auto" w:fill="auto"/>
            <w:noWrap/>
            <w:vAlign w:val="bottom"/>
            <w:hideMark/>
          </w:tcPr>
          <w:p w14:paraId="40D7DB74"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340AB57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14.3</w:t>
            </w:r>
          </w:p>
        </w:tc>
        <w:tc>
          <w:tcPr>
            <w:tcW w:w="223" w:type="pct"/>
            <w:tcBorders>
              <w:top w:val="nil"/>
              <w:left w:val="nil"/>
              <w:bottom w:val="nil"/>
              <w:right w:val="nil"/>
            </w:tcBorders>
            <w:shd w:val="clear" w:color="auto" w:fill="auto"/>
            <w:noWrap/>
            <w:vAlign w:val="bottom"/>
            <w:hideMark/>
          </w:tcPr>
          <w:p w14:paraId="19E0D5F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0.9</w:t>
            </w:r>
          </w:p>
        </w:tc>
      </w:tr>
      <w:tr w:rsidR="00B82177" w:rsidRPr="00B82177" w14:paraId="36A4C578" w14:textId="77777777" w:rsidTr="00B82177">
        <w:trPr>
          <w:trHeight w:val="240"/>
        </w:trPr>
        <w:tc>
          <w:tcPr>
            <w:tcW w:w="327" w:type="pct"/>
            <w:tcBorders>
              <w:top w:val="nil"/>
              <w:left w:val="nil"/>
              <w:bottom w:val="nil"/>
              <w:right w:val="nil"/>
            </w:tcBorders>
            <w:shd w:val="clear" w:color="auto" w:fill="auto"/>
            <w:noWrap/>
            <w:vAlign w:val="center"/>
            <w:hideMark/>
          </w:tcPr>
          <w:p w14:paraId="274A604F"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CaO</w:t>
            </w:r>
          </w:p>
        </w:tc>
        <w:tc>
          <w:tcPr>
            <w:tcW w:w="419" w:type="pct"/>
            <w:tcBorders>
              <w:top w:val="nil"/>
              <w:left w:val="nil"/>
              <w:bottom w:val="nil"/>
              <w:right w:val="nil"/>
            </w:tcBorders>
            <w:shd w:val="clear" w:color="auto" w:fill="auto"/>
            <w:noWrap/>
            <w:vAlign w:val="bottom"/>
            <w:hideMark/>
          </w:tcPr>
          <w:p w14:paraId="6B5D8FB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123" w:type="pct"/>
            <w:tcBorders>
              <w:top w:val="nil"/>
              <w:left w:val="nil"/>
              <w:bottom w:val="nil"/>
              <w:right w:val="nil"/>
            </w:tcBorders>
            <w:shd w:val="clear" w:color="auto" w:fill="auto"/>
            <w:noWrap/>
            <w:vAlign w:val="bottom"/>
            <w:hideMark/>
          </w:tcPr>
          <w:p w14:paraId="7F5F313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01F05E82"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7D664C0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11" w:type="pct"/>
            <w:tcBorders>
              <w:top w:val="nil"/>
              <w:left w:val="nil"/>
              <w:bottom w:val="nil"/>
              <w:right w:val="nil"/>
            </w:tcBorders>
            <w:shd w:val="clear" w:color="auto" w:fill="auto"/>
            <w:noWrap/>
            <w:vAlign w:val="bottom"/>
            <w:hideMark/>
          </w:tcPr>
          <w:p w14:paraId="587EDE1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161A0DF7"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009683C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2949B12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0B1EBCF4"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3543A50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7F200C6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0B8976DF"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33A20CF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6AD87CA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0E3213F8"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3234BEB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2C85B0C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1FDC6A0A"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65DCB2A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5EBDE91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r>
      <w:tr w:rsidR="00B82177" w:rsidRPr="00B82177" w14:paraId="480F0A4C" w14:textId="77777777" w:rsidTr="00B82177">
        <w:trPr>
          <w:trHeight w:val="240"/>
        </w:trPr>
        <w:tc>
          <w:tcPr>
            <w:tcW w:w="327" w:type="pct"/>
            <w:tcBorders>
              <w:top w:val="nil"/>
              <w:left w:val="nil"/>
              <w:bottom w:val="nil"/>
              <w:right w:val="nil"/>
            </w:tcBorders>
            <w:shd w:val="clear" w:color="auto" w:fill="auto"/>
            <w:noWrap/>
            <w:vAlign w:val="center"/>
            <w:hideMark/>
          </w:tcPr>
          <w:p w14:paraId="6A384E74"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Na</w:t>
            </w:r>
            <w:r w:rsidRPr="00B82177">
              <w:rPr>
                <w:rFonts w:eastAsia="Times New Roman"/>
                <w:sz w:val="18"/>
                <w:szCs w:val="18"/>
                <w:vertAlign w:val="subscript"/>
                <w:lang w:val="fr-FR" w:eastAsia="fr-FR"/>
              </w:rPr>
              <w:t>2</w:t>
            </w:r>
            <w:r w:rsidRPr="00B82177">
              <w:rPr>
                <w:rFonts w:eastAsia="Times New Roman"/>
                <w:sz w:val="18"/>
                <w:szCs w:val="18"/>
                <w:lang w:val="fr-FR" w:eastAsia="fr-FR"/>
              </w:rPr>
              <w:t>O</w:t>
            </w:r>
          </w:p>
        </w:tc>
        <w:tc>
          <w:tcPr>
            <w:tcW w:w="419" w:type="pct"/>
            <w:tcBorders>
              <w:top w:val="nil"/>
              <w:left w:val="nil"/>
              <w:bottom w:val="nil"/>
              <w:right w:val="nil"/>
            </w:tcBorders>
            <w:shd w:val="clear" w:color="auto" w:fill="auto"/>
            <w:noWrap/>
            <w:vAlign w:val="bottom"/>
            <w:hideMark/>
          </w:tcPr>
          <w:p w14:paraId="0D26AB6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123" w:type="pct"/>
            <w:tcBorders>
              <w:top w:val="nil"/>
              <w:left w:val="nil"/>
              <w:bottom w:val="nil"/>
              <w:right w:val="nil"/>
            </w:tcBorders>
            <w:shd w:val="clear" w:color="auto" w:fill="auto"/>
            <w:noWrap/>
            <w:vAlign w:val="bottom"/>
            <w:hideMark/>
          </w:tcPr>
          <w:p w14:paraId="1F89900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7B66B2E1"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2DE9623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11" w:type="pct"/>
            <w:tcBorders>
              <w:top w:val="nil"/>
              <w:left w:val="nil"/>
              <w:bottom w:val="nil"/>
              <w:right w:val="nil"/>
            </w:tcBorders>
            <w:shd w:val="clear" w:color="auto" w:fill="auto"/>
            <w:noWrap/>
            <w:vAlign w:val="bottom"/>
            <w:hideMark/>
          </w:tcPr>
          <w:p w14:paraId="6D6AABC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304CE788"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115B182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6EBAA8D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09ED53E6"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70B84CC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696697A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1FD3E8D0"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1F97279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04D59B6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11B77AF7"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6F5003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4016177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2A8E459C"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2F11394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42D031B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r>
      <w:tr w:rsidR="00B82177" w:rsidRPr="00B82177" w14:paraId="6A8A2FD9" w14:textId="77777777" w:rsidTr="00B82177">
        <w:trPr>
          <w:trHeight w:val="240"/>
        </w:trPr>
        <w:tc>
          <w:tcPr>
            <w:tcW w:w="327" w:type="pct"/>
            <w:tcBorders>
              <w:top w:val="nil"/>
              <w:left w:val="nil"/>
              <w:bottom w:val="nil"/>
              <w:right w:val="nil"/>
            </w:tcBorders>
            <w:shd w:val="clear" w:color="auto" w:fill="auto"/>
            <w:noWrap/>
            <w:vAlign w:val="center"/>
            <w:hideMark/>
          </w:tcPr>
          <w:p w14:paraId="040AEBE4"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K</w:t>
            </w:r>
            <w:r w:rsidRPr="00B82177">
              <w:rPr>
                <w:rFonts w:eastAsia="Times New Roman"/>
                <w:sz w:val="18"/>
                <w:szCs w:val="18"/>
                <w:vertAlign w:val="subscript"/>
                <w:lang w:val="fr-FR" w:eastAsia="fr-FR"/>
              </w:rPr>
              <w:t>2</w:t>
            </w:r>
            <w:r w:rsidRPr="00B82177">
              <w:rPr>
                <w:rFonts w:eastAsia="Times New Roman"/>
                <w:sz w:val="18"/>
                <w:szCs w:val="18"/>
                <w:lang w:val="fr-FR" w:eastAsia="fr-FR"/>
              </w:rPr>
              <w:t>O</w:t>
            </w:r>
          </w:p>
        </w:tc>
        <w:tc>
          <w:tcPr>
            <w:tcW w:w="419" w:type="pct"/>
            <w:tcBorders>
              <w:top w:val="nil"/>
              <w:left w:val="nil"/>
              <w:bottom w:val="nil"/>
              <w:right w:val="nil"/>
            </w:tcBorders>
            <w:shd w:val="clear" w:color="auto" w:fill="auto"/>
            <w:noWrap/>
            <w:vAlign w:val="bottom"/>
            <w:hideMark/>
          </w:tcPr>
          <w:p w14:paraId="32083AF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123" w:type="pct"/>
            <w:tcBorders>
              <w:top w:val="nil"/>
              <w:left w:val="nil"/>
              <w:bottom w:val="nil"/>
              <w:right w:val="nil"/>
            </w:tcBorders>
            <w:shd w:val="clear" w:color="auto" w:fill="auto"/>
            <w:noWrap/>
            <w:vAlign w:val="bottom"/>
            <w:hideMark/>
          </w:tcPr>
          <w:p w14:paraId="00CB8F0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1C3A7282"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0947A7D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11" w:type="pct"/>
            <w:tcBorders>
              <w:top w:val="nil"/>
              <w:left w:val="nil"/>
              <w:bottom w:val="nil"/>
              <w:right w:val="nil"/>
            </w:tcBorders>
            <w:shd w:val="clear" w:color="auto" w:fill="auto"/>
            <w:noWrap/>
            <w:vAlign w:val="bottom"/>
            <w:hideMark/>
          </w:tcPr>
          <w:p w14:paraId="1CFEB47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725D2043"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79AB9E4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47E46D5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2143E1E6"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443E03F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1A2B7C5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114DEC60"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7571DF6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2C93C1D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3B812084"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63C92AA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3775A26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36E3440C"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7B64DE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37D7BD6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r>
      <w:tr w:rsidR="00B82177" w:rsidRPr="00B82177" w14:paraId="4443F325" w14:textId="77777777" w:rsidTr="00B82177">
        <w:trPr>
          <w:trHeight w:val="240"/>
        </w:trPr>
        <w:tc>
          <w:tcPr>
            <w:tcW w:w="327" w:type="pct"/>
            <w:tcBorders>
              <w:top w:val="nil"/>
              <w:left w:val="nil"/>
              <w:bottom w:val="nil"/>
              <w:right w:val="nil"/>
            </w:tcBorders>
            <w:shd w:val="clear" w:color="auto" w:fill="auto"/>
            <w:noWrap/>
            <w:vAlign w:val="center"/>
            <w:hideMark/>
          </w:tcPr>
          <w:p w14:paraId="525A7557"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Cr</w:t>
            </w:r>
            <w:r w:rsidRPr="00B82177">
              <w:rPr>
                <w:rFonts w:eastAsia="Times New Roman"/>
                <w:sz w:val="18"/>
                <w:szCs w:val="18"/>
                <w:vertAlign w:val="subscript"/>
                <w:lang w:val="fr-FR" w:eastAsia="fr-FR"/>
              </w:rPr>
              <w:t>2</w:t>
            </w:r>
            <w:r w:rsidRPr="00B82177">
              <w:rPr>
                <w:rFonts w:eastAsia="Times New Roman"/>
                <w:sz w:val="18"/>
                <w:szCs w:val="18"/>
                <w:lang w:val="fr-FR" w:eastAsia="fr-FR"/>
              </w:rPr>
              <w:t>O</w:t>
            </w:r>
            <w:r w:rsidRPr="00B82177">
              <w:rPr>
                <w:rFonts w:eastAsia="Times New Roman"/>
                <w:sz w:val="18"/>
                <w:szCs w:val="18"/>
                <w:vertAlign w:val="subscript"/>
                <w:lang w:val="fr-FR" w:eastAsia="fr-FR"/>
              </w:rPr>
              <w:t>3</w:t>
            </w:r>
          </w:p>
        </w:tc>
        <w:tc>
          <w:tcPr>
            <w:tcW w:w="419" w:type="pct"/>
            <w:tcBorders>
              <w:top w:val="nil"/>
              <w:left w:val="nil"/>
              <w:bottom w:val="nil"/>
              <w:right w:val="nil"/>
            </w:tcBorders>
            <w:shd w:val="clear" w:color="auto" w:fill="auto"/>
            <w:noWrap/>
            <w:vAlign w:val="bottom"/>
            <w:hideMark/>
          </w:tcPr>
          <w:p w14:paraId="73547ED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8.8</w:t>
            </w:r>
          </w:p>
        </w:tc>
        <w:tc>
          <w:tcPr>
            <w:tcW w:w="123" w:type="pct"/>
            <w:tcBorders>
              <w:top w:val="nil"/>
              <w:left w:val="nil"/>
              <w:bottom w:val="nil"/>
              <w:right w:val="nil"/>
            </w:tcBorders>
            <w:shd w:val="clear" w:color="auto" w:fill="auto"/>
            <w:noWrap/>
            <w:vAlign w:val="bottom"/>
            <w:hideMark/>
          </w:tcPr>
          <w:p w14:paraId="0B920D9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7D1F2E0B"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303648F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28.1</w:t>
            </w:r>
          </w:p>
        </w:tc>
        <w:tc>
          <w:tcPr>
            <w:tcW w:w="211" w:type="pct"/>
            <w:tcBorders>
              <w:top w:val="nil"/>
              <w:left w:val="nil"/>
              <w:bottom w:val="nil"/>
              <w:right w:val="nil"/>
            </w:tcBorders>
            <w:shd w:val="clear" w:color="auto" w:fill="auto"/>
            <w:noWrap/>
            <w:vAlign w:val="bottom"/>
            <w:hideMark/>
          </w:tcPr>
          <w:p w14:paraId="2D99239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3.2</w:t>
            </w:r>
          </w:p>
        </w:tc>
        <w:tc>
          <w:tcPr>
            <w:tcW w:w="80" w:type="pct"/>
            <w:tcBorders>
              <w:top w:val="nil"/>
              <w:left w:val="nil"/>
              <w:bottom w:val="nil"/>
              <w:right w:val="nil"/>
            </w:tcBorders>
            <w:shd w:val="clear" w:color="auto" w:fill="auto"/>
            <w:noWrap/>
            <w:vAlign w:val="bottom"/>
            <w:hideMark/>
          </w:tcPr>
          <w:p w14:paraId="66F709C1"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2E3E304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28.2</w:t>
            </w:r>
          </w:p>
        </w:tc>
        <w:tc>
          <w:tcPr>
            <w:tcW w:w="223" w:type="pct"/>
            <w:tcBorders>
              <w:top w:val="nil"/>
              <w:left w:val="nil"/>
              <w:bottom w:val="nil"/>
              <w:right w:val="nil"/>
            </w:tcBorders>
            <w:shd w:val="clear" w:color="auto" w:fill="auto"/>
            <w:noWrap/>
            <w:vAlign w:val="bottom"/>
            <w:hideMark/>
          </w:tcPr>
          <w:p w14:paraId="22CE83E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3.4</w:t>
            </w:r>
          </w:p>
        </w:tc>
        <w:tc>
          <w:tcPr>
            <w:tcW w:w="80" w:type="pct"/>
            <w:tcBorders>
              <w:top w:val="nil"/>
              <w:left w:val="nil"/>
              <w:bottom w:val="nil"/>
              <w:right w:val="nil"/>
            </w:tcBorders>
            <w:shd w:val="clear" w:color="auto" w:fill="auto"/>
            <w:noWrap/>
            <w:vAlign w:val="bottom"/>
            <w:hideMark/>
          </w:tcPr>
          <w:p w14:paraId="67A74800"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1782175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12.4</w:t>
            </w:r>
          </w:p>
        </w:tc>
        <w:tc>
          <w:tcPr>
            <w:tcW w:w="223" w:type="pct"/>
            <w:tcBorders>
              <w:top w:val="nil"/>
              <w:left w:val="nil"/>
              <w:bottom w:val="nil"/>
              <w:right w:val="nil"/>
            </w:tcBorders>
            <w:shd w:val="clear" w:color="auto" w:fill="auto"/>
            <w:noWrap/>
            <w:vAlign w:val="bottom"/>
            <w:hideMark/>
          </w:tcPr>
          <w:p w14:paraId="74C661A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4.1</w:t>
            </w:r>
          </w:p>
        </w:tc>
        <w:tc>
          <w:tcPr>
            <w:tcW w:w="80" w:type="pct"/>
            <w:tcBorders>
              <w:top w:val="nil"/>
              <w:left w:val="nil"/>
              <w:bottom w:val="nil"/>
              <w:right w:val="nil"/>
            </w:tcBorders>
            <w:shd w:val="clear" w:color="auto" w:fill="auto"/>
            <w:noWrap/>
            <w:vAlign w:val="bottom"/>
            <w:hideMark/>
          </w:tcPr>
          <w:p w14:paraId="799D704D"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27EA26F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28.2</w:t>
            </w:r>
          </w:p>
        </w:tc>
        <w:tc>
          <w:tcPr>
            <w:tcW w:w="223" w:type="pct"/>
            <w:tcBorders>
              <w:top w:val="nil"/>
              <w:left w:val="nil"/>
              <w:bottom w:val="nil"/>
              <w:right w:val="nil"/>
            </w:tcBorders>
            <w:shd w:val="clear" w:color="auto" w:fill="auto"/>
            <w:noWrap/>
            <w:vAlign w:val="bottom"/>
            <w:hideMark/>
          </w:tcPr>
          <w:p w14:paraId="5CE6C33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1.8</w:t>
            </w:r>
          </w:p>
        </w:tc>
        <w:tc>
          <w:tcPr>
            <w:tcW w:w="80" w:type="pct"/>
            <w:tcBorders>
              <w:top w:val="nil"/>
              <w:left w:val="nil"/>
              <w:bottom w:val="nil"/>
              <w:right w:val="nil"/>
            </w:tcBorders>
            <w:shd w:val="clear" w:color="auto" w:fill="auto"/>
            <w:noWrap/>
            <w:vAlign w:val="bottom"/>
            <w:hideMark/>
          </w:tcPr>
          <w:p w14:paraId="1BDB6F12"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C40BC7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21.3</w:t>
            </w:r>
          </w:p>
        </w:tc>
        <w:tc>
          <w:tcPr>
            <w:tcW w:w="223" w:type="pct"/>
            <w:tcBorders>
              <w:top w:val="nil"/>
              <w:left w:val="nil"/>
              <w:bottom w:val="nil"/>
              <w:right w:val="nil"/>
            </w:tcBorders>
            <w:shd w:val="clear" w:color="auto" w:fill="auto"/>
            <w:noWrap/>
            <w:vAlign w:val="bottom"/>
            <w:hideMark/>
          </w:tcPr>
          <w:p w14:paraId="6A8ADA2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1.7</w:t>
            </w:r>
          </w:p>
        </w:tc>
        <w:tc>
          <w:tcPr>
            <w:tcW w:w="80" w:type="pct"/>
            <w:tcBorders>
              <w:top w:val="nil"/>
              <w:left w:val="nil"/>
              <w:bottom w:val="nil"/>
              <w:right w:val="nil"/>
            </w:tcBorders>
            <w:shd w:val="clear" w:color="auto" w:fill="auto"/>
            <w:noWrap/>
            <w:vAlign w:val="bottom"/>
            <w:hideMark/>
          </w:tcPr>
          <w:p w14:paraId="6BE0CBFC"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29FE620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30.5</w:t>
            </w:r>
          </w:p>
        </w:tc>
        <w:tc>
          <w:tcPr>
            <w:tcW w:w="223" w:type="pct"/>
            <w:tcBorders>
              <w:top w:val="nil"/>
              <w:left w:val="nil"/>
              <w:bottom w:val="nil"/>
              <w:right w:val="nil"/>
            </w:tcBorders>
            <w:shd w:val="clear" w:color="auto" w:fill="auto"/>
            <w:noWrap/>
            <w:vAlign w:val="bottom"/>
            <w:hideMark/>
          </w:tcPr>
          <w:p w14:paraId="1F02AA1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1.8</w:t>
            </w:r>
          </w:p>
        </w:tc>
      </w:tr>
      <w:tr w:rsidR="00B82177" w:rsidRPr="00B82177" w14:paraId="6372C29B" w14:textId="77777777" w:rsidTr="00B82177">
        <w:trPr>
          <w:trHeight w:val="240"/>
        </w:trPr>
        <w:tc>
          <w:tcPr>
            <w:tcW w:w="327" w:type="pct"/>
            <w:tcBorders>
              <w:top w:val="nil"/>
              <w:left w:val="nil"/>
              <w:bottom w:val="nil"/>
              <w:right w:val="nil"/>
            </w:tcBorders>
            <w:shd w:val="clear" w:color="auto" w:fill="auto"/>
            <w:noWrap/>
            <w:vAlign w:val="center"/>
            <w:hideMark/>
          </w:tcPr>
          <w:p w14:paraId="7DD3B485"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NiO</w:t>
            </w:r>
          </w:p>
        </w:tc>
        <w:tc>
          <w:tcPr>
            <w:tcW w:w="419" w:type="pct"/>
            <w:tcBorders>
              <w:top w:val="nil"/>
              <w:left w:val="nil"/>
              <w:bottom w:val="nil"/>
              <w:right w:val="nil"/>
            </w:tcBorders>
            <w:shd w:val="clear" w:color="auto" w:fill="auto"/>
            <w:noWrap/>
            <w:vAlign w:val="bottom"/>
            <w:hideMark/>
          </w:tcPr>
          <w:p w14:paraId="3DC1499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0.3</w:t>
            </w:r>
          </w:p>
        </w:tc>
        <w:tc>
          <w:tcPr>
            <w:tcW w:w="123" w:type="pct"/>
            <w:tcBorders>
              <w:top w:val="nil"/>
              <w:left w:val="nil"/>
              <w:bottom w:val="nil"/>
              <w:right w:val="nil"/>
            </w:tcBorders>
            <w:shd w:val="clear" w:color="auto" w:fill="auto"/>
            <w:noWrap/>
            <w:vAlign w:val="bottom"/>
            <w:hideMark/>
          </w:tcPr>
          <w:p w14:paraId="3B31796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740A4F4F"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4A91781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0.2</w:t>
            </w:r>
          </w:p>
        </w:tc>
        <w:tc>
          <w:tcPr>
            <w:tcW w:w="211" w:type="pct"/>
            <w:tcBorders>
              <w:top w:val="nil"/>
              <w:left w:val="nil"/>
              <w:bottom w:val="nil"/>
              <w:right w:val="nil"/>
            </w:tcBorders>
            <w:shd w:val="clear" w:color="auto" w:fill="auto"/>
            <w:noWrap/>
            <w:vAlign w:val="bottom"/>
            <w:hideMark/>
          </w:tcPr>
          <w:p w14:paraId="49B8137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80" w:type="pct"/>
            <w:tcBorders>
              <w:top w:val="nil"/>
              <w:left w:val="nil"/>
              <w:bottom w:val="nil"/>
              <w:right w:val="nil"/>
            </w:tcBorders>
            <w:shd w:val="clear" w:color="auto" w:fill="auto"/>
            <w:noWrap/>
            <w:vAlign w:val="bottom"/>
            <w:hideMark/>
          </w:tcPr>
          <w:p w14:paraId="35CECC24"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597A3EB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0.2</w:t>
            </w:r>
          </w:p>
        </w:tc>
        <w:tc>
          <w:tcPr>
            <w:tcW w:w="223" w:type="pct"/>
            <w:tcBorders>
              <w:top w:val="nil"/>
              <w:left w:val="nil"/>
              <w:bottom w:val="nil"/>
              <w:right w:val="nil"/>
            </w:tcBorders>
            <w:shd w:val="clear" w:color="auto" w:fill="auto"/>
            <w:noWrap/>
            <w:vAlign w:val="bottom"/>
            <w:hideMark/>
          </w:tcPr>
          <w:p w14:paraId="41C5EBA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80" w:type="pct"/>
            <w:tcBorders>
              <w:top w:val="nil"/>
              <w:left w:val="nil"/>
              <w:bottom w:val="nil"/>
              <w:right w:val="nil"/>
            </w:tcBorders>
            <w:shd w:val="clear" w:color="auto" w:fill="auto"/>
            <w:noWrap/>
            <w:vAlign w:val="bottom"/>
            <w:hideMark/>
          </w:tcPr>
          <w:p w14:paraId="60EEE77F"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4833CDF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0.3</w:t>
            </w:r>
          </w:p>
        </w:tc>
        <w:tc>
          <w:tcPr>
            <w:tcW w:w="223" w:type="pct"/>
            <w:tcBorders>
              <w:top w:val="nil"/>
              <w:left w:val="nil"/>
              <w:bottom w:val="nil"/>
              <w:right w:val="nil"/>
            </w:tcBorders>
            <w:shd w:val="clear" w:color="auto" w:fill="auto"/>
            <w:noWrap/>
            <w:vAlign w:val="bottom"/>
            <w:hideMark/>
          </w:tcPr>
          <w:p w14:paraId="0670C2D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2EEE6FBE"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0C419F1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0.2</w:t>
            </w:r>
          </w:p>
        </w:tc>
        <w:tc>
          <w:tcPr>
            <w:tcW w:w="223" w:type="pct"/>
            <w:tcBorders>
              <w:top w:val="nil"/>
              <w:left w:val="nil"/>
              <w:bottom w:val="nil"/>
              <w:right w:val="nil"/>
            </w:tcBorders>
            <w:shd w:val="clear" w:color="auto" w:fill="auto"/>
            <w:noWrap/>
            <w:vAlign w:val="bottom"/>
            <w:hideMark/>
          </w:tcPr>
          <w:p w14:paraId="4C822C9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38F5B63C"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55CEEA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0.2</w:t>
            </w:r>
          </w:p>
        </w:tc>
        <w:tc>
          <w:tcPr>
            <w:tcW w:w="223" w:type="pct"/>
            <w:tcBorders>
              <w:top w:val="nil"/>
              <w:left w:val="nil"/>
              <w:bottom w:val="nil"/>
              <w:right w:val="nil"/>
            </w:tcBorders>
            <w:shd w:val="clear" w:color="auto" w:fill="auto"/>
            <w:noWrap/>
            <w:vAlign w:val="bottom"/>
            <w:hideMark/>
          </w:tcPr>
          <w:p w14:paraId="193CEBEB"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51334906"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37853CE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0.1</w:t>
            </w:r>
          </w:p>
        </w:tc>
        <w:tc>
          <w:tcPr>
            <w:tcW w:w="223" w:type="pct"/>
            <w:tcBorders>
              <w:top w:val="nil"/>
              <w:left w:val="nil"/>
              <w:bottom w:val="nil"/>
              <w:right w:val="nil"/>
            </w:tcBorders>
            <w:shd w:val="clear" w:color="auto" w:fill="auto"/>
            <w:noWrap/>
            <w:vAlign w:val="bottom"/>
            <w:hideMark/>
          </w:tcPr>
          <w:p w14:paraId="0D7F307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r>
      <w:tr w:rsidR="00B82177" w:rsidRPr="00B82177" w14:paraId="7B409946" w14:textId="77777777" w:rsidTr="00B82177">
        <w:trPr>
          <w:trHeight w:val="240"/>
        </w:trPr>
        <w:tc>
          <w:tcPr>
            <w:tcW w:w="327" w:type="pct"/>
            <w:tcBorders>
              <w:top w:val="nil"/>
              <w:left w:val="nil"/>
              <w:bottom w:val="nil"/>
              <w:right w:val="nil"/>
            </w:tcBorders>
            <w:shd w:val="clear" w:color="auto" w:fill="auto"/>
            <w:noWrap/>
            <w:vAlign w:val="center"/>
            <w:hideMark/>
          </w:tcPr>
          <w:p w14:paraId="44A0A6CD"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Cl</w:t>
            </w:r>
          </w:p>
        </w:tc>
        <w:tc>
          <w:tcPr>
            <w:tcW w:w="419" w:type="pct"/>
            <w:tcBorders>
              <w:top w:val="nil"/>
              <w:left w:val="nil"/>
              <w:bottom w:val="nil"/>
              <w:right w:val="nil"/>
            </w:tcBorders>
            <w:shd w:val="clear" w:color="auto" w:fill="auto"/>
            <w:noWrap/>
            <w:vAlign w:val="bottom"/>
            <w:hideMark/>
          </w:tcPr>
          <w:p w14:paraId="622BCEE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123" w:type="pct"/>
            <w:tcBorders>
              <w:top w:val="nil"/>
              <w:left w:val="nil"/>
              <w:bottom w:val="nil"/>
              <w:right w:val="nil"/>
            </w:tcBorders>
            <w:shd w:val="clear" w:color="auto" w:fill="auto"/>
            <w:noWrap/>
            <w:vAlign w:val="bottom"/>
            <w:hideMark/>
          </w:tcPr>
          <w:p w14:paraId="45AE4CB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4AC2C50D"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2D0E6E1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11" w:type="pct"/>
            <w:tcBorders>
              <w:top w:val="nil"/>
              <w:left w:val="nil"/>
              <w:bottom w:val="nil"/>
              <w:right w:val="nil"/>
            </w:tcBorders>
            <w:shd w:val="clear" w:color="auto" w:fill="auto"/>
            <w:noWrap/>
            <w:vAlign w:val="bottom"/>
            <w:hideMark/>
          </w:tcPr>
          <w:p w14:paraId="1DA3726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2268BCC6"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271ECC3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638D8DCE"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488615A4"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5AF90D7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1F85923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62477D4E"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6B9F090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4F2B314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470D7C6E"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6B6B5E6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11126CF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80" w:type="pct"/>
            <w:tcBorders>
              <w:top w:val="nil"/>
              <w:left w:val="nil"/>
              <w:bottom w:val="nil"/>
              <w:right w:val="nil"/>
            </w:tcBorders>
            <w:shd w:val="clear" w:color="auto" w:fill="auto"/>
            <w:noWrap/>
            <w:vAlign w:val="bottom"/>
            <w:hideMark/>
          </w:tcPr>
          <w:p w14:paraId="0AEB12D4"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773E135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c>
          <w:tcPr>
            <w:tcW w:w="223" w:type="pct"/>
            <w:tcBorders>
              <w:top w:val="nil"/>
              <w:left w:val="nil"/>
              <w:bottom w:val="nil"/>
              <w:right w:val="nil"/>
            </w:tcBorders>
            <w:shd w:val="clear" w:color="auto" w:fill="auto"/>
            <w:noWrap/>
            <w:vAlign w:val="bottom"/>
            <w:hideMark/>
          </w:tcPr>
          <w:p w14:paraId="2379305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0.0</w:t>
            </w:r>
          </w:p>
        </w:tc>
      </w:tr>
      <w:tr w:rsidR="00B82177" w:rsidRPr="00B82177" w14:paraId="3CB79CF0" w14:textId="77777777" w:rsidTr="00B82177">
        <w:trPr>
          <w:trHeight w:val="240"/>
        </w:trPr>
        <w:tc>
          <w:tcPr>
            <w:tcW w:w="327" w:type="pct"/>
            <w:tcBorders>
              <w:top w:val="nil"/>
              <w:left w:val="nil"/>
              <w:bottom w:val="nil"/>
              <w:right w:val="nil"/>
            </w:tcBorders>
            <w:shd w:val="clear" w:color="auto" w:fill="auto"/>
            <w:noWrap/>
            <w:vAlign w:val="center"/>
            <w:hideMark/>
          </w:tcPr>
          <w:p w14:paraId="7845158D"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Total</w:t>
            </w:r>
          </w:p>
        </w:tc>
        <w:tc>
          <w:tcPr>
            <w:tcW w:w="419" w:type="pct"/>
            <w:tcBorders>
              <w:top w:val="nil"/>
              <w:left w:val="nil"/>
              <w:bottom w:val="nil"/>
              <w:right w:val="nil"/>
            </w:tcBorders>
            <w:shd w:val="clear" w:color="auto" w:fill="auto"/>
            <w:noWrap/>
            <w:vAlign w:val="bottom"/>
            <w:hideMark/>
          </w:tcPr>
          <w:p w14:paraId="0D58BDA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99.2</w:t>
            </w:r>
          </w:p>
        </w:tc>
        <w:tc>
          <w:tcPr>
            <w:tcW w:w="123" w:type="pct"/>
            <w:tcBorders>
              <w:top w:val="nil"/>
              <w:left w:val="nil"/>
              <w:bottom w:val="nil"/>
              <w:right w:val="nil"/>
            </w:tcBorders>
            <w:shd w:val="clear" w:color="auto" w:fill="auto"/>
            <w:noWrap/>
            <w:vAlign w:val="bottom"/>
            <w:hideMark/>
          </w:tcPr>
          <w:p w14:paraId="206FA9A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76CB1452"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67D78CA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99.2</w:t>
            </w:r>
          </w:p>
        </w:tc>
        <w:tc>
          <w:tcPr>
            <w:tcW w:w="211" w:type="pct"/>
            <w:tcBorders>
              <w:top w:val="nil"/>
              <w:left w:val="nil"/>
              <w:bottom w:val="nil"/>
              <w:right w:val="nil"/>
            </w:tcBorders>
            <w:shd w:val="clear" w:color="auto" w:fill="auto"/>
            <w:noWrap/>
            <w:vAlign w:val="bottom"/>
            <w:hideMark/>
          </w:tcPr>
          <w:p w14:paraId="533B5D5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0.8</w:t>
            </w:r>
          </w:p>
        </w:tc>
        <w:tc>
          <w:tcPr>
            <w:tcW w:w="80" w:type="pct"/>
            <w:tcBorders>
              <w:top w:val="nil"/>
              <w:left w:val="nil"/>
              <w:bottom w:val="nil"/>
              <w:right w:val="nil"/>
            </w:tcBorders>
            <w:shd w:val="clear" w:color="auto" w:fill="auto"/>
            <w:noWrap/>
            <w:vAlign w:val="bottom"/>
            <w:hideMark/>
          </w:tcPr>
          <w:p w14:paraId="2778FD25"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679437C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98.4</w:t>
            </w:r>
          </w:p>
        </w:tc>
        <w:tc>
          <w:tcPr>
            <w:tcW w:w="223" w:type="pct"/>
            <w:tcBorders>
              <w:top w:val="nil"/>
              <w:left w:val="nil"/>
              <w:bottom w:val="nil"/>
              <w:right w:val="nil"/>
            </w:tcBorders>
            <w:shd w:val="clear" w:color="auto" w:fill="auto"/>
            <w:noWrap/>
            <w:vAlign w:val="bottom"/>
            <w:hideMark/>
          </w:tcPr>
          <w:p w14:paraId="3C2D98A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0.4</w:t>
            </w:r>
          </w:p>
        </w:tc>
        <w:tc>
          <w:tcPr>
            <w:tcW w:w="80" w:type="pct"/>
            <w:tcBorders>
              <w:top w:val="nil"/>
              <w:left w:val="nil"/>
              <w:bottom w:val="nil"/>
              <w:right w:val="nil"/>
            </w:tcBorders>
            <w:shd w:val="clear" w:color="auto" w:fill="auto"/>
            <w:noWrap/>
            <w:vAlign w:val="bottom"/>
            <w:hideMark/>
          </w:tcPr>
          <w:p w14:paraId="3C451435"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4125062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98.7</w:t>
            </w:r>
          </w:p>
        </w:tc>
        <w:tc>
          <w:tcPr>
            <w:tcW w:w="223" w:type="pct"/>
            <w:tcBorders>
              <w:top w:val="nil"/>
              <w:left w:val="nil"/>
              <w:bottom w:val="nil"/>
              <w:right w:val="nil"/>
            </w:tcBorders>
            <w:shd w:val="clear" w:color="auto" w:fill="auto"/>
            <w:noWrap/>
            <w:vAlign w:val="bottom"/>
            <w:hideMark/>
          </w:tcPr>
          <w:p w14:paraId="446ACCC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0.4</w:t>
            </w:r>
          </w:p>
        </w:tc>
        <w:tc>
          <w:tcPr>
            <w:tcW w:w="80" w:type="pct"/>
            <w:tcBorders>
              <w:top w:val="nil"/>
              <w:left w:val="nil"/>
              <w:bottom w:val="nil"/>
              <w:right w:val="nil"/>
            </w:tcBorders>
            <w:shd w:val="clear" w:color="auto" w:fill="auto"/>
            <w:noWrap/>
            <w:vAlign w:val="bottom"/>
            <w:hideMark/>
          </w:tcPr>
          <w:p w14:paraId="503EE5BA"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17FFFEF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98.5</w:t>
            </w:r>
          </w:p>
        </w:tc>
        <w:tc>
          <w:tcPr>
            <w:tcW w:w="223" w:type="pct"/>
            <w:tcBorders>
              <w:top w:val="nil"/>
              <w:left w:val="nil"/>
              <w:bottom w:val="nil"/>
              <w:right w:val="nil"/>
            </w:tcBorders>
            <w:shd w:val="clear" w:color="auto" w:fill="auto"/>
            <w:noWrap/>
            <w:vAlign w:val="bottom"/>
            <w:hideMark/>
          </w:tcPr>
          <w:p w14:paraId="52E42C6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0.5</w:t>
            </w:r>
          </w:p>
        </w:tc>
        <w:tc>
          <w:tcPr>
            <w:tcW w:w="80" w:type="pct"/>
            <w:tcBorders>
              <w:top w:val="nil"/>
              <w:left w:val="nil"/>
              <w:bottom w:val="nil"/>
              <w:right w:val="nil"/>
            </w:tcBorders>
            <w:shd w:val="clear" w:color="auto" w:fill="auto"/>
            <w:noWrap/>
            <w:vAlign w:val="bottom"/>
            <w:hideMark/>
          </w:tcPr>
          <w:p w14:paraId="1687745C"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6587AF3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99.3</w:t>
            </w:r>
          </w:p>
        </w:tc>
        <w:tc>
          <w:tcPr>
            <w:tcW w:w="223" w:type="pct"/>
            <w:tcBorders>
              <w:top w:val="nil"/>
              <w:left w:val="nil"/>
              <w:bottom w:val="nil"/>
              <w:right w:val="nil"/>
            </w:tcBorders>
            <w:shd w:val="clear" w:color="auto" w:fill="auto"/>
            <w:noWrap/>
            <w:vAlign w:val="bottom"/>
            <w:hideMark/>
          </w:tcPr>
          <w:p w14:paraId="2159708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0.3</w:t>
            </w:r>
          </w:p>
        </w:tc>
        <w:tc>
          <w:tcPr>
            <w:tcW w:w="80" w:type="pct"/>
            <w:tcBorders>
              <w:top w:val="nil"/>
              <w:left w:val="nil"/>
              <w:bottom w:val="nil"/>
              <w:right w:val="nil"/>
            </w:tcBorders>
            <w:shd w:val="clear" w:color="auto" w:fill="auto"/>
            <w:noWrap/>
            <w:vAlign w:val="bottom"/>
            <w:hideMark/>
          </w:tcPr>
          <w:p w14:paraId="7F3EB093"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2308E6D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99.8</w:t>
            </w:r>
          </w:p>
        </w:tc>
        <w:tc>
          <w:tcPr>
            <w:tcW w:w="223" w:type="pct"/>
            <w:tcBorders>
              <w:top w:val="nil"/>
              <w:left w:val="nil"/>
              <w:bottom w:val="nil"/>
              <w:right w:val="nil"/>
            </w:tcBorders>
            <w:shd w:val="clear" w:color="auto" w:fill="auto"/>
            <w:noWrap/>
            <w:vAlign w:val="bottom"/>
            <w:hideMark/>
          </w:tcPr>
          <w:p w14:paraId="278BE40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0.3</w:t>
            </w:r>
          </w:p>
        </w:tc>
      </w:tr>
      <w:tr w:rsidR="00B82177" w:rsidRPr="00B82177" w14:paraId="10B3938A" w14:textId="77777777" w:rsidTr="00B82177">
        <w:trPr>
          <w:trHeight w:val="240"/>
        </w:trPr>
        <w:tc>
          <w:tcPr>
            <w:tcW w:w="327" w:type="pct"/>
            <w:tcBorders>
              <w:top w:val="nil"/>
              <w:left w:val="nil"/>
              <w:bottom w:val="nil"/>
              <w:right w:val="nil"/>
            </w:tcBorders>
            <w:shd w:val="clear" w:color="auto" w:fill="auto"/>
            <w:noWrap/>
            <w:vAlign w:val="bottom"/>
            <w:hideMark/>
          </w:tcPr>
          <w:p w14:paraId="6B0C6619"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X</w:t>
            </w:r>
            <w:r w:rsidRPr="00B82177">
              <w:rPr>
                <w:rFonts w:eastAsia="Times New Roman"/>
                <w:sz w:val="18"/>
                <w:szCs w:val="18"/>
                <w:vertAlign w:val="subscript"/>
                <w:lang w:val="fr-FR" w:eastAsia="fr-FR"/>
              </w:rPr>
              <w:t>Mg</w:t>
            </w:r>
          </w:p>
        </w:tc>
        <w:tc>
          <w:tcPr>
            <w:tcW w:w="419" w:type="pct"/>
            <w:tcBorders>
              <w:top w:val="nil"/>
              <w:left w:val="nil"/>
              <w:bottom w:val="nil"/>
              <w:right w:val="nil"/>
            </w:tcBorders>
            <w:shd w:val="clear" w:color="auto" w:fill="auto"/>
            <w:noWrap/>
            <w:vAlign w:val="bottom"/>
            <w:hideMark/>
          </w:tcPr>
          <w:p w14:paraId="55B5AECA"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67.6</w:t>
            </w:r>
          </w:p>
        </w:tc>
        <w:tc>
          <w:tcPr>
            <w:tcW w:w="123" w:type="pct"/>
            <w:tcBorders>
              <w:top w:val="nil"/>
              <w:left w:val="nil"/>
              <w:bottom w:val="nil"/>
              <w:right w:val="nil"/>
            </w:tcBorders>
            <w:shd w:val="clear" w:color="auto" w:fill="auto"/>
            <w:noWrap/>
            <w:vAlign w:val="bottom"/>
            <w:hideMark/>
          </w:tcPr>
          <w:p w14:paraId="35FF4FD4"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nil"/>
              <w:right w:val="nil"/>
            </w:tcBorders>
            <w:shd w:val="clear" w:color="auto" w:fill="auto"/>
            <w:noWrap/>
            <w:vAlign w:val="bottom"/>
            <w:hideMark/>
          </w:tcPr>
          <w:p w14:paraId="1EA646B1" w14:textId="77777777" w:rsidR="00B82177" w:rsidRPr="00B82177" w:rsidRDefault="00B82177" w:rsidP="00B82177">
            <w:pPr>
              <w:jc w:val="center"/>
              <w:rPr>
                <w:rFonts w:eastAsia="Times New Roman"/>
                <w:color w:val="000000"/>
                <w:sz w:val="18"/>
                <w:szCs w:val="18"/>
                <w:lang w:val="fr-FR" w:eastAsia="fr-FR"/>
              </w:rPr>
            </w:pPr>
          </w:p>
        </w:tc>
        <w:tc>
          <w:tcPr>
            <w:tcW w:w="434" w:type="pct"/>
            <w:tcBorders>
              <w:top w:val="nil"/>
              <w:left w:val="nil"/>
              <w:bottom w:val="nil"/>
              <w:right w:val="nil"/>
            </w:tcBorders>
            <w:shd w:val="clear" w:color="auto" w:fill="auto"/>
            <w:noWrap/>
            <w:vAlign w:val="bottom"/>
            <w:hideMark/>
          </w:tcPr>
          <w:p w14:paraId="6BF2C37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56.1</w:t>
            </w:r>
          </w:p>
        </w:tc>
        <w:tc>
          <w:tcPr>
            <w:tcW w:w="211" w:type="pct"/>
            <w:tcBorders>
              <w:top w:val="nil"/>
              <w:left w:val="nil"/>
              <w:bottom w:val="nil"/>
              <w:right w:val="nil"/>
            </w:tcBorders>
            <w:shd w:val="clear" w:color="auto" w:fill="auto"/>
            <w:noWrap/>
            <w:vAlign w:val="bottom"/>
            <w:hideMark/>
          </w:tcPr>
          <w:p w14:paraId="5B42DF1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3.6</w:t>
            </w:r>
          </w:p>
        </w:tc>
        <w:tc>
          <w:tcPr>
            <w:tcW w:w="80" w:type="pct"/>
            <w:tcBorders>
              <w:top w:val="nil"/>
              <w:left w:val="nil"/>
              <w:bottom w:val="nil"/>
              <w:right w:val="nil"/>
            </w:tcBorders>
            <w:shd w:val="clear" w:color="auto" w:fill="auto"/>
            <w:noWrap/>
            <w:vAlign w:val="bottom"/>
            <w:hideMark/>
          </w:tcPr>
          <w:p w14:paraId="2F763EAB"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664EE582"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56.4</w:t>
            </w:r>
          </w:p>
        </w:tc>
        <w:tc>
          <w:tcPr>
            <w:tcW w:w="223" w:type="pct"/>
            <w:tcBorders>
              <w:top w:val="nil"/>
              <w:left w:val="nil"/>
              <w:bottom w:val="nil"/>
              <w:right w:val="nil"/>
            </w:tcBorders>
            <w:shd w:val="clear" w:color="auto" w:fill="auto"/>
            <w:noWrap/>
            <w:vAlign w:val="bottom"/>
            <w:hideMark/>
          </w:tcPr>
          <w:p w14:paraId="7BC79FB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6.4</w:t>
            </w:r>
          </w:p>
        </w:tc>
        <w:tc>
          <w:tcPr>
            <w:tcW w:w="80" w:type="pct"/>
            <w:tcBorders>
              <w:top w:val="nil"/>
              <w:left w:val="nil"/>
              <w:bottom w:val="nil"/>
              <w:right w:val="nil"/>
            </w:tcBorders>
            <w:shd w:val="clear" w:color="auto" w:fill="auto"/>
            <w:noWrap/>
            <w:vAlign w:val="bottom"/>
            <w:hideMark/>
          </w:tcPr>
          <w:p w14:paraId="34461F9F" w14:textId="77777777" w:rsidR="00B82177" w:rsidRPr="00B82177" w:rsidRDefault="00B82177" w:rsidP="00B82177">
            <w:pPr>
              <w:jc w:val="center"/>
              <w:rPr>
                <w:rFonts w:eastAsia="Times New Roman"/>
                <w:color w:val="000000"/>
                <w:sz w:val="18"/>
                <w:szCs w:val="18"/>
                <w:lang w:val="fr-FR" w:eastAsia="fr-FR"/>
              </w:rPr>
            </w:pPr>
          </w:p>
        </w:tc>
        <w:tc>
          <w:tcPr>
            <w:tcW w:w="379" w:type="pct"/>
            <w:tcBorders>
              <w:top w:val="nil"/>
              <w:left w:val="nil"/>
              <w:bottom w:val="nil"/>
              <w:right w:val="nil"/>
            </w:tcBorders>
            <w:shd w:val="clear" w:color="auto" w:fill="auto"/>
            <w:noWrap/>
            <w:vAlign w:val="bottom"/>
            <w:hideMark/>
          </w:tcPr>
          <w:p w14:paraId="0137D3D5"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76.2</w:t>
            </w:r>
          </w:p>
        </w:tc>
        <w:tc>
          <w:tcPr>
            <w:tcW w:w="223" w:type="pct"/>
            <w:tcBorders>
              <w:top w:val="nil"/>
              <w:left w:val="nil"/>
              <w:bottom w:val="nil"/>
              <w:right w:val="nil"/>
            </w:tcBorders>
            <w:shd w:val="clear" w:color="auto" w:fill="auto"/>
            <w:noWrap/>
            <w:vAlign w:val="bottom"/>
            <w:hideMark/>
          </w:tcPr>
          <w:p w14:paraId="55C6474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2.3</w:t>
            </w:r>
          </w:p>
        </w:tc>
        <w:tc>
          <w:tcPr>
            <w:tcW w:w="80" w:type="pct"/>
            <w:tcBorders>
              <w:top w:val="nil"/>
              <w:left w:val="nil"/>
              <w:bottom w:val="nil"/>
              <w:right w:val="nil"/>
            </w:tcBorders>
            <w:shd w:val="clear" w:color="auto" w:fill="auto"/>
            <w:noWrap/>
            <w:vAlign w:val="bottom"/>
            <w:hideMark/>
          </w:tcPr>
          <w:p w14:paraId="32A951C7"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24B2FC3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58.7</w:t>
            </w:r>
          </w:p>
        </w:tc>
        <w:tc>
          <w:tcPr>
            <w:tcW w:w="223" w:type="pct"/>
            <w:tcBorders>
              <w:top w:val="nil"/>
              <w:left w:val="nil"/>
              <w:bottom w:val="nil"/>
              <w:right w:val="nil"/>
            </w:tcBorders>
            <w:shd w:val="clear" w:color="auto" w:fill="auto"/>
            <w:noWrap/>
            <w:vAlign w:val="bottom"/>
            <w:hideMark/>
          </w:tcPr>
          <w:p w14:paraId="018270F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1.7</w:t>
            </w:r>
          </w:p>
        </w:tc>
        <w:tc>
          <w:tcPr>
            <w:tcW w:w="80" w:type="pct"/>
            <w:tcBorders>
              <w:top w:val="nil"/>
              <w:left w:val="nil"/>
              <w:bottom w:val="nil"/>
              <w:right w:val="nil"/>
            </w:tcBorders>
            <w:shd w:val="clear" w:color="auto" w:fill="auto"/>
            <w:noWrap/>
            <w:vAlign w:val="bottom"/>
            <w:hideMark/>
          </w:tcPr>
          <w:p w14:paraId="0433B8C7"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4F445AF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62.7</w:t>
            </w:r>
          </w:p>
        </w:tc>
        <w:tc>
          <w:tcPr>
            <w:tcW w:w="223" w:type="pct"/>
            <w:tcBorders>
              <w:top w:val="nil"/>
              <w:left w:val="nil"/>
              <w:bottom w:val="nil"/>
              <w:right w:val="nil"/>
            </w:tcBorders>
            <w:shd w:val="clear" w:color="auto" w:fill="auto"/>
            <w:noWrap/>
            <w:vAlign w:val="bottom"/>
            <w:hideMark/>
          </w:tcPr>
          <w:p w14:paraId="0C63D08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2.2</w:t>
            </w:r>
          </w:p>
        </w:tc>
        <w:tc>
          <w:tcPr>
            <w:tcW w:w="80" w:type="pct"/>
            <w:tcBorders>
              <w:top w:val="nil"/>
              <w:left w:val="nil"/>
              <w:bottom w:val="nil"/>
              <w:right w:val="nil"/>
            </w:tcBorders>
            <w:shd w:val="clear" w:color="auto" w:fill="auto"/>
            <w:noWrap/>
            <w:vAlign w:val="bottom"/>
            <w:hideMark/>
          </w:tcPr>
          <w:p w14:paraId="6C435DC6" w14:textId="77777777" w:rsidR="00B82177" w:rsidRPr="00B82177" w:rsidRDefault="00B82177" w:rsidP="00B82177">
            <w:pPr>
              <w:jc w:val="center"/>
              <w:rPr>
                <w:rFonts w:eastAsia="Times New Roman"/>
                <w:sz w:val="18"/>
                <w:szCs w:val="18"/>
                <w:lang w:val="fr-FR" w:eastAsia="fr-FR"/>
              </w:rPr>
            </w:pPr>
          </w:p>
        </w:tc>
        <w:tc>
          <w:tcPr>
            <w:tcW w:w="379" w:type="pct"/>
            <w:tcBorders>
              <w:top w:val="nil"/>
              <w:left w:val="nil"/>
              <w:bottom w:val="nil"/>
              <w:right w:val="nil"/>
            </w:tcBorders>
            <w:shd w:val="clear" w:color="auto" w:fill="auto"/>
            <w:noWrap/>
            <w:vAlign w:val="bottom"/>
            <w:hideMark/>
          </w:tcPr>
          <w:p w14:paraId="6F715E8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57.7</w:t>
            </w:r>
          </w:p>
        </w:tc>
        <w:tc>
          <w:tcPr>
            <w:tcW w:w="223" w:type="pct"/>
            <w:tcBorders>
              <w:top w:val="nil"/>
              <w:left w:val="nil"/>
              <w:bottom w:val="nil"/>
              <w:right w:val="nil"/>
            </w:tcBorders>
            <w:shd w:val="clear" w:color="auto" w:fill="auto"/>
            <w:noWrap/>
            <w:vAlign w:val="bottom"/>
            <w:hideMark/>
          </w:tcPr>
          <w:p w14:paraId="6B43522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3.3</w:t>
            </w:r>
          </w:p>
        </w:tc>
      </w:tr>
      <w:tr w:rsidR="00B82177" w:rsidRPr="00B82177" w14:paraId="78803D81" w14:textId="77777777" w:rsidTr="00B82177">
        <w:trPr>
          <w:trHeight w:val="240"/>
        </w:trPr>
        <w:tc>
          <w:tcPr>
            <w:tcW w:w="327" w:type="pct"/>
            <w:tcBorders>
              <w:top w:val="nil"/>
              <w:left w:val="nil"/>
              <w:bottom w:val="single" w:sz="4" w:space="0" w:color="auto"/>
              <w:right w:val="nil"/>
            </w:tcBorders>
            <w:shd w:val="clear" w:color="auto" w:fill="auto"/>
            <w:noWrap/>
            <w:vAlign w:val="bottom"/>
            <w:hideMark/>
          </w:tcPr>
          <w:p w14:paraId="542FC1DD"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X</w:t>
            </w:r>
            <w:r w:rsidRPr="00B82177">
              <w:rPr>
                <w:rFonts w:eastAsia="Times New Roman"/>
                <w:sz w:val="18"/>
                <w:szCs w:val="18"/>
                <w:vertAlign w:val="subscript"/>
                <w:lang w:val="fr-FR" w:eastAsia="fr-FR"/>
              </w:rPr>
              <w:t>Cr</w:t>
            </w:r>
          </w:p>
        </w:tc>
        <w:tc>
          <w:tcPr>
            <w:tcW w:w="419" w:type="pct"/>
            <w:tcBorders>
              <w:top w:val="nil"/>
              <w:left w:val="nil"/>
              <w:bottom w:val="single" w:sz="4" w:space="0" w:color="auto"/>
              <w:right w:val="nil"/>
            </w:tcBorders>
            <w:shd w:val="clear" w:color="auto" w:fill="auto"/>
            <w:noWrap/>
            <w:vAlign w:val="bottom"/>
            <w:hideMark/>
          </w:tcPr>
          <w:p w14:paraId="472D25F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9.4</w:t>
            </w:r>
          </w:p>
        </w:tc>
        <w:tc>
          <w:tcPr>
            <w:tcW w:w="123" w:type="pct"/>
            <w:tcBorders>
              <w:top w:val="nil"/>
              <w:left w:val="nil"/>
              <w:bottom w:val="single" w:sz="4" w:space="0" w:color="auto"/>
              <w:right w:val="nil"/>
            </w:tcBorders>
            <w:shd w:val="clear" w:color="auto" w:fill="auto"/>
            <w:noWrap/>
            <w:vAlign w:val="bottom"/>
            <w:hideMark/>
          </w:tcPr>
          <w:p w14:paraId="2A17013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w:t>
            </w:r>
          </w:p>
        </w:tc>
        <w:tc>
          <w:tcPr>
            <w:tcW w:w="80" w:type="pct"/>
            <w:tcBorders>
              <w:top w:val="nil"/>
              <w:left w:val="nil"/>
              <w:bottom w:val="single" w:sz="4" w:space="0" w:color="auto"/>
              <w:right w:val="nil"/>
            </w:tcBorders>
            <w:shd w:val="clear" w:color="auto" w:fill="auto"/>
            <w:noWrap/>
            <w:vAlign w:val="bottom"/>
            <w:hideMark/>
          </w:tcPr>
          <w:p w14:paraId="4F95D466"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434" w:type="pct"/>
            <w:tcBorders>
              <w:top w:val="nil"/>
              <w:left w:val="nil"/>
              <w:bottom w:val="single" w:sz="4" w:space="0" w:color="auto"/>
              <w:right w:val="nil"/>
            </w:tcBorders>
            <w:shd w:val="clear" w:color="auto" w:fill="auto"/>
            <w:noWrap/>
            <w:vAlign w:val="bottom"/>
            <w:hideMark/>
          </w:tcPr>
          <w:p w14:paraId="420222D9"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33.7</w:t>
            </w:r>
          </w:p>
        </w:tc>
        <w:tc>
          <w:tcPr>
            <w:tcW w:w="211" w:type="pct"/>
            <w:tcBorders>
              <w:top w:val="nil"/>
              <w:left w:val="nil"/>
              <w:bottom w:val="single" w:sz="4" w:space="0" w:color="auto"/>
              <w:right w:val="nil"/>
            </w:tcBorders>
            <w:shd w:val="clear" w:color="auto" w:fill="auto"/>
            <w:noWrap/>
            <w:vAlign w:val="bottom"/>
            <w:hideMark/>
          </w:tcPr>
          <w:p w14:paraId="66FFB7D8"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4.6</w:t>
            </w:r>
          </w:p>
        </w:tc>
        <w:tc>
          <w:tcPr>
            <w:tcW w:w="80" w:type="pct"/>
            <w:tcBorders>
              <w:top w:val="nil"/>
              <w:left w:val="nil"/>
              <w:bottom w:val="single" w:sz="4" w:space="0" w:color="auto"/>
              <w:right w:val="nil"/>
            </w:tcBorders>
            <w:shd w:val="clear" w:color="auto" w:fill="auto"/>
            <w:noWrap/>
            <w:vAlign w:val="bottom"/>
            <w:hideMark/>
          </w:tcPr>
          <w:p w14:paraId="7B3CD19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379" w:type="pct"/>
            <w:tcBorders>
              <w:top w:val="nil"/>
              <w:left w:val="nil"/>
              <w:bottom w:val="single" w:sz="4" w:space="0" w:color="auto"/>
              <w:right w:val="nil"/>
            </w:tcBorders>
            <w:shd w:val="clear" w:color="auto" w:fill="auto"/>
            <w:noWrap/>
            <w:vAlign w:val="bottom"/>
            <w:hideMark/>
          </w:tcPr>
          <w:p w14:paraId="6740FB1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33.9</w:t>
            </w:r>
          </w:p>
        </w:tc>
        <w:tc>
          <w:tcPr>
            <w:tcW w:w="223" w:type="pct"/>
            <w:tcBorders>
              <w:top w:val="nil"/>
              <w:left w:val="nil"/>
              <w:bottom w:val="single" w:sz="4" w:space="0" w:color="auto"/>
              <w:right w:val="nil"/>
            </w:tcBorders>
            <w:shd w:val="clear" w:color="auto" w:fill="auto"/>
            <w:noWrap/>
            <w:vAlign w:val="bottom"/>
            <w:hideMark/>
          </w:tcPr>
          <w:p w14:paraId="42EEC4E1"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5.3</w:t>
            </w:r>
          </w:p>
        </w:tc>
        <w:tc>
          <w:tcPr>
            <w:tcW w:w="80" w:type="pct"/>
            <w:tcBorders>
              <w:top w:val="nil"/>
              <w:left w:val="nil"/>
              <w:bottom w:val="single" w:sz="4" w:space="0" w:color="auto"/>
              <w:right w:val="nil"/>
            </w:tcBorders>
            <w:shd w:val="clear" w:color="auto" w:fill="auto"/>
            <w:noWrap/>
            <w:vAlign w:val="bottom"/>
            <w:hideMark/>
          </w:tcPr>
          <w:p w14:paraId="5D03C5C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 </w:t>
            </w:r>
          </w:p>
        </w:tc>
        <w:tc>
          <w:tcPr>
            <w:tcW w:w="379" w:type="pct"/>
            <w:tcBorders>
              <w:top w:val="nil"/>
              <w:left w:val="nil"/>
              <w:bottom w:val="single" w:sz="4" w:space="0" w:color="auto"/>
              <w:right w:val="nil"/>
            </w:tcBorders>
            <w:shd w:val="clear" w:color="auto" w:fill="auto"/>
            <w:noWrap/>
            <w:vAlign w:val="bottom"/>
            <w:hideMark/>
          </w:tcPr>
          <w:p w14:paraId="74C8300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13.2</w:t>
            </w:r>
          </w:p>
        </w:tc>
        <w:tc>
          <w:tcPr>
            <w:tcW w:w="223" w:type="pct"/>
            <w:tcBorders>
              <w:top w:val="nil"/>
              <w:left w:val="nil"/>
              <w:bottom w:val="single" w:sz="4" w:space="0" w:color="auto"/>
              <w:right w:val="nil"/>
            </w:tcBorders>
            <w:shd w:val="clear" w:color="auto" w:fill="auto"/>
            <w:noWrap/>
            <w:vAlign w:val="bottom"/>
            <w:hideMark/>
          </w:tcPr>
          <w:p w14:paraId="3EE82FC0"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4.5</w:t>
            </w:r>
          </w:p>
        </w:tc>
        <w:tc>
          <w:tcPr>
            <w:tcW w:w="80" w:type="pct"/>
            <w:tcBorders>
              <w:top w:val="nil"/>
              <w:left w:val="nil"/>
              <w:bottom w:val="single" w:sz="4" w:space="0" w:color="auto"/>
              <w:right w:val="nil"/>
            </w:tcBorders>
            <w:shd w:val="clear" w:color="auto" w:fill="auto"/>
            <w:noWrap/>
            <w:vAlign w:val="bottom"/>
            <w:hideMark/>
          </w:tcPr>
          <w:p w14:paraId="6C7CA819"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379" w:type="pct"/>
            <w:tcBorders>
              <w:top w:val="nil"/>
              <w:left w:val="nil"/>
              <w:bottom w:val="single" w:sz="4" w:space="0" w:color="auto"/>
              <w:right w:val="nil"/>
            </w:tcBorders>
            <w:shd w:val="clear" w:color="auto" w:fill="auto"/>
            <w:noWrap/>
            <w:vAlign w:val="bottom"/>
            <w:hideMark/>
          </w:tcPr>
          <w:p w14:paraId="0549AEA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34.5</w:t>
            </w:r>
          </w:p>
        </w:tc>
        <w:tc>
          <w:tcPr>
            <w:tcW w:w="223" w:type="pct"/>
            <w:tcBorders>
              <w:top w:val="nil"/>
              <w:left w:val="nil"/>
              <w:bottom w:val="single" w:sz="4" w:space="0" w:color="auto"/>
              <w:right w:val="nil"/>
            </w:tcBorders>
            <w:shd w:val="clear" w:color="auto" w:fill="auto"/>
            <w:noWrap/>
            <w:vAlign w:val="bottom"/>
            <w:hideMark/>
          </w:tcPr>
          <w:p w14:paraId="76BD57E3"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2.8</w:t>
            </w:r>
          </w:p>
        </w:tc>
        <w:tc>
          <w:tcPr>
            <w:tcW w:w="80" w:type="pct"/>
            <w:tcBorders>
              <w:top w:val="nil"/>
              <w:left w:val="nil"/>
              <w:bottom w:val="single" w:sz="4" w:space="0" w:color="auto"/>
              <w:right w:val="nil"/>
            </w:tcBorders>
            <w:shd w:val="clear" w:color="auto" w:fill="auto"/>
            <w:noWrap/>
            <w:vAlign w:val="bottom"/>
            <w:hideMark/>
          </w:tcPr>
          <w:p w14:paraId="58E193E7"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379" w:type="pct"/>
            <w:tcBorders>
              <w:top w:val="nil"/>
              <w:left w:val="nil"/>
              <w:bottom w:val="single" w:sz="4" w:space="0" w:color="auto"/>
              <w:right w:val="nil"/>
            </w:tcBorders>
            <w:shd w:val="clear" w:color="auto" w:fill="auto"/>
            <w:noWrap/>
            <w:vAlign w:val="bottom"/>
            <w:hideMark/>
          </w:tcPr>
          <w:p w14:paraId="60F3E93F"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24.8</w:t>
            </w:r>
          </w:p>
        </w:tc>
        <w:tc>
          <w:tcPr>
            <w:tcW w:w="223" w:type="pct"/>
            <w:tcBorders>
              <w:top w:val="nil"/>
              <w:left w:val="nil"/>
              <w:bottom w:val="single" w:sz="4" w:space="0" w:color="auto"/>
              <w:right w:val="nil"/>
            </w:tcBorders>
            <w:shd w:val="clear" w:color="auto" w:fill="auto"/>
            <w:noWrap/>
            <w:vAlign w:val="bottom"/>
            <w:hideMark/>
          </w:tcPr>
          <w:p w14:paraId="0847F80C"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2.6</w:t>
            </w:r>
          </w:p>
        </w:tc>
        <w:tc>
          <w:tcPr>
            <w:tcW w:w="80" w:type="pct"/>
            <w:tcBorders>
              <w:top w:val="nil"/>
              <w:left w:val="nil"/>
              <w:bottom w:val="single" w:sz="4" w:space="0" w:color="auto"/>
              <w:right w:val="nil"/>
            </w:tcBorders>
            <w:shd w:val="clear" w:color="auto" w:fill="auto"/>
            <w:noWrap/>
            <w:vAlign w:val="bottom"/>
            <w:hideMark/>
          </w:tcPr>
          <w:p w14:paraId="4C0395E3" w14:textId="77777777" w:rsidR="00B82177" w:rsidRPr="00B82177" w:rsidRDefault="00B82177" w:rsidP="00B82177">
            <w:pPr>
              <w:jc w:val="center"/>
              <w:rPr>
                <w:rFonts w:eastAsia="Times New Roman"/>
                <w:sz w:val="18"/>
                <w:szCs w:val="18"/>
                <w:lang w:val="fr-FR" w:eastAsia="fr-FR"/>
              </w:rPr>
            </w:pPr>
            <w:r w:rsidRPr="00B82177">
              <w:rPr>
                <w:rFonts w:eastAsia="Times New Roman"/>
                <w:sz w:val="18"/>
                <w:szCs w:val="18"/>
                <w:lang w:val="fr-FR" w:eastAsia="fr-FR"/>
              </w:rPr>
              <w:t> </w:t>
            </w:r>
          </w:p>
        </w:tc>
        <w:tc>
          <w:tcPr>
            <w:tcW w:w="379" w:type="pct"/>
            <w:tcBorders>
              <w:top w:val="nil"/>
              <w:left w:val="nil"/>
              <w:bottom w:val="single" w:sz="4" w:space="0" w:color="auto"/>
              <w:right w:val="nil"/>
            </w:tcBorders>
            <w:shd w:val="clear" w:color="auto" w:fill="auto"/>
            <w:noWrap/>
            <w:vAlign w:val="bottom"/>
            <w:hideMark/>
          </w:tcPr>
          <w:p w14:paraId="409A01C7"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36.5</w:t>
            </w:r>
          </w:p>
        </w:tc>
        <w:tc>
          <w:tcPr>
            <w:tcW w:w="223" w:type="pct"/>
            <w:tcBorders>
              <w:top w:val="nil"/>
              <w:left w:val="nil"/>
              <w:bottom w:val="single" w:sz="4" w:space="0" w:color="auto"/>
              <w:right w:val="nil"/>
            </w:tcBorders>
            <w:shd w:val="clear" w:color="auto" w:fill="auto"/>
            <w:noWrap/>
            <w:vAlign w:val="bottom"/>
            <w:hideMark/>
          </w:tcPr>
          <w:p w14:paraId="6F4300BD" w14:textId="77777777" w:rsidR="00B82177" w:rsidRPr="00B82177" w:rsidRDefault="00B82177" w:rsidP="00B82177">
            <w:pPr>
              <w:jc w:val="center"/>
              <w:rPr>
                <w:rFonts w:eastAsia="Times New Roman"/>
                <w:color w:val="000000"/>
                <w:sz w:val="18"/>
                <w:szCs w:val="18"/>
                <w:lang w:val="fr-FR" w:eastAsia="fr-FR"/>
              </w:rPr>
            </w:pPr>
            <w:r w:rsidRPr="00B82177">
              <w:rPr>
                <w:rFonts w:eastAsia="Times New Roman"/>
                <w:color w:val="000000"/>
                <w:sz w:val="18"/>
                <w:szCs w:val="18"/>
                <w:lang w:val="fr-FR" w:eastAsia="fr-FR"/>
              </w:rPr>
              <w:t>3.0</w:t>
            </w:r>
          </w:p>
        </w:tc>
      </w:tr>
    </w:tbl>
    <w:p w14:paraId="32CE2EA9" w14:textId="77777777" w:rsidR="00B82177" w:rsidRDefault="00B82177" w:rsidP="008E3798">
      <w:pPr>
        <w:spacing w:after="120"/>
        <w:jc w:val="both"/>
        <w:rPr>
          <w:sz w:val="24"/>
          <w:szCs w:val="24"/>
        </w:rPr>
      </w:pPr>
    </w:p>
    <w:p w14:paraId="0F01B76A" w14:textId="77777777" w:rsidR="00B82177" w:rsidRDefault="00B82177" w:rsidP="008E3798">
      <w:pPr>
        <w:spacing w:after="120"/>
        <w:jc w:val="both"/>
        <w:rPr>
          <w:sz w:val="24"/>
          <w:szCs w:val="24"/>
        </w:rPr>
      </w:pPr>
    </w:p>
    <w:p w14:paraId="4FE6134E" w14:textId="77777777" w:rsidR="00B82177" w:rsidRDefault="00B82177" w:rsidP="008E3798">
      <w:pPr>
        <w:spacing w:after="120"/>
        <w:jc w:val="both"/>
        <w:rPr>
          <w:sz w:val="24"/>
          <w:szCs w:val="24"/>
        </w:rPr>
      </w:pPr>
    </w:p>
    <w:p w14:paraId="487F8136" w14:textId="77777777" w:rsidR="00B82177" w:rsidRDefault="00B82177" w:rsidP="008E3798">
      <w:pPr>
        <w:spacing w:after="120"/>
        <w:jc w:val="both"/>
        <w:rPr>
          <w:sz w:val="24"/>
          <w:szCs w:val="24"/>
        </w:rPr>
        <w:sectPr w:rsidR="00B82177" w:rsidSect="006D6761">
          <w:pgSz w:w="15840" w:h="12240" w:orient="landscape"/>
          <w:pgMar w:top="1440" w:right="1440" w:bottom="1440" w:left="1440" w:header="432" w:footer="720" w:gutter="0"/>
          <w:cols w:space="720"/>
          <w:docGrid w:linePitch="360"/>
        </w:sectPr>
      </w:pPr>
    </w:p>
    <w:p w14:paraId="688DB6EB" w14:textId="11731D5F" w:rsidR="00E84C0F" w:rsidRDefault="00E84C0F" w:rsidP="008E3798">
      <w:pPr>
        <w:spacing w:after="120"/>
        <w:jc w:val="both"/>
        <w:rPr>
          <w:sz w:val="24"/>
          <w:szCs w:val="24"/>
        </w:rPr>
      </w:pPr>
    </w:p>
    <w:p w14:paraId="718509DD" w14:textId="743482F0" w:rsidR="00E62F63" w:rsidRDefault="00E62F63" w:rsidP="008E3798">
      <w:pPr>
        <w:spacing w:after="120"/>
        <w:jc w:val="both"/>
        <w:rPr>
          <w:sz w:val="24"/>
          <w:szCs w:val="24"/>
        </w:rPr>
      </w:pPr>
      <w:r>
        <w:rPr>
          <w:noProof/>
          <w:sz w:val="24"/>
          <w:szCs w:val="24"/>
          <w:lang w:val="en-GB" w:eastAsia="en-GB"/>
        </w:rPr>
        <w:drawing>
          <wp:inline distT="0" distB="0" distL="0" distR="0" wp14:anchorId="56963708" wp14:editId="20C91D20">
            <wp:extent cx="4343400" cy="4506741"/>
            <wp:effectExtent l="0" t="0" r="0" b="0"/>
            <wp:docPr id="10" name="Image 10" descr="Sans titre:Users:MarinePaquet:Documents:PhD:Sujet Basaltes - Stage M2:Papiers:Majeurs &amp; Traces:Figures:Mg#SP_Cr#_TiO2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ans titre:Users:MarinePaquet:Documents:PhD:Sujet Basaltes - Stage M2:Papiers:Majeurs &amp; Traces:Figures:Mg#SP_Cr#_TiO2_final.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44293" cy="4507668"/>
                    </a:xfrm>
                    <a:prstGeom prst="rect">
                      <a:avLst/>
                    </a:prstGeom>
                    <a:noFill/>
                    <a:ln>
                      <a:noFill/>
                    </a:ln>
                  </pic:spPr>
                </pic:pic>
              </a:graphicData>
            </a:graphic>
          </wp:inline>
        </w:drawing>
      </w:r>
    </w:p>
    <w:p w14:paraId="17D84D76" w14:textId="0F5C22BC" w:rsidR="00E62F63" w:rsidRPr="00E62F63" w:rsidRDefault="00E62F63" w:rsidP="008E3798">
      <w:pPr>
        <w:spacing w:after="120"/>
        <w:jc w:val="both"/>
        <w:rPr>
          <w:sz w:val="32"/>
          <w:szCs w:val="24"/>
        </w:rPr>
      </w:pPr>
      <w:proofErr w:type="gramStart"/>
      <w:r w:rsidRPr="00AC4D88">
        <w:rPr>
          <w:b/>
          <w:sz w:val="24"/>
        </w:rPr>
        <w:t xml:space="preserve">Figure </w:t>
      </w:r>
      <w:r>
        <w:rPr>
          <w:b/>
          <w:sz w:val="24"/>
        </w:rPr>
        <w:t>10</w:t>
      </w:r>
      <w:r w:rsidRPr="00AC4D88">
        <w:rPr>
          <w:sz w:val="24"/>
        </w:rPr>
        <w:t>.</w:t>
      </w:r>
      <w:proofErr w:type="gramEnd"/>
      <w:r>
        <w:rPr>
          <w:sz w:val="24"/>
        </w:rPr>
        <w:t xml:space="preserve"> </w:t>
      </w:r>
      <w:proofErr w:type="gramStart"/>
      <w:r w:rsidRPr="00E62F63">
        <w:rPr>
          <w:sz w:val="24"/>
        </w:rPr>
        <w:t>Spinel major element composition in samples of the plagioclase-bearing ultramafic to gabbroic suite.</w:t>
      </w:r>
      <w:proofErr w:type="gramEnd"/>
      <w:r w:rsidRPr="00E62F63">
        <w:rPr>
          <w:sz w:val="24"/>
        </w:rPr>
        <w:t xml:space="preserve"> </w:t>
      </w:r>
      <w:r w:rsidRPr="00E62F63">
        <w:rPr>
          <w:b/>
          <w:sz w:val="24"/>
        </w:rPr>
        <w:t>(a)</w:t>
      </w:r>
      <w:r w:rsidRPr="00E62F63">
        <w:rPr>
          <w:sz w:val="24"/>
        </w:rPr>
        <w:t xml:space="preserve"> Cr# as a function of Mg#. </w:t>
      </w:r>
      <w:r w:rsidRPr="00E62F63">
        <w:rPr>
          <w:b/>
          <w:sz w:val="24"/>
        </w:rPr>
        <w:t>(b)</w:t>
      </w:r>
      <w:r w:rsidRPr="00E62F63">
        <w:rPr>
          <w:sz w:val="24"/>
        </w:rPr>
        <w:t xml:space="preserve"> TiO</w:t>
      </w:r>
      <w:r w:rsidRPr="00E62F63">
        <w:rPr>
          <w:sz w:val="24"/>
          <w:vertAlign w:val="subscript"/>
        </w:rPr>
        <w:t>2</w:t>
      </w:r>
      <w:r w:rsidRPr="00E62F63">
        <w:rPr>
          <w:sz w:val="24"/>
        </w:rPr>
        <w:t xml:space="preserve"> content as a function of Mg#. Diamond data point corresponds to the average composition of several spinel grains in each sample (n values in Table </w:t>
      </w:r>
      <w:r w:rsidR="00EC21E5">
        <w:rPr>
          <w:sz w:val="24"/>
        </w:rPr>
        <w:t>9</w:t>
      </w:r>
      <w:r w:rsidRPr="00E62F63">
        <w:rPr>
          <w:sz w:val="24"/>
        </w:rPr>
        <w:t xml:space="preserve">). Error bars: ±1 std. </w:t>
      </w:r>
      <w:proofErr w:type="gramStart"/>
      <w:r w:rsidRPr="00E62F63">
        <w:rPr>
          <w:sz w:val="24"/>
        </w:rPr>
        <w:t>Same</w:t>
      </w:r>
      <w:proofErr w:type="gramEnd"/>
      <w:r w:rsidRPr="00E62F63">
        <w:rPr>
          <w:sz w:val="24"/>
        </w:rPr>
        <w:t xml:space="preserve"> symbols as in Figure 8a. Spinels in </w:t>
      </w:r>
      <w:r w:rsidR="00E55178">
        <w:rPr>
          <w:sz w:val="24"/>
        </w:rPr>
        <w:t>the</w:t>
      </w:r>
      <w:r w:rsidR="00E55178" w:rsidRPr="00E62F63">
        <w:rPr>
          <w:sz w:val="24"/>
        </w:rPr>
        <w:t xml:space="preserve"> </w:t>
      </w:r>
      <w:r w:rsidRPr="00E62F63">
        <w:rPr>
          <w:sz w:val="24"/>
        </w:rPr>
        <w:t>samples describe the whole range defined by the spinels in residual plagioclase-free peridotites from the SWIR and in troctolites from the MAR, with an increase of Cr#, and TiO</w:t>
      </w:r>
      <w:r w:rsidRPr="00E62F63">
        <w:rPr>
          <w:sz w:val="24"/>
          <w:vertAlign w:val="subscript"/>
        </w:rPr>
        <w:t>2</w:t>
      </w:r>
      <w:r w:rsidRPr="00E62F63">
        <w:rPr>
          <w:sz w:val="24"/>
        </w:rPr>
        <w:t xml:space="preserve"> content as the Mg# decreases.</w:t>
      </w:r>
    </w:p>
    <w:p w14:paraId="06ECE7FF" w14:textId="77777777" w:rsidR="00E62F63" w:rsidRPr="00022B05" w:rsidRDefault="00E62F63" w:rsidP="008E3798">
      <w:pPr>
        <w:spacing w:after="120"/>
        <w:jc w:val="both"/>
        <w:rPr>
          <w:sz w:val="24"/>
          <w:szCs w:val="24"/>
        </w:rPr>
      </w:pPr>
    </w:p>
    <w:p w14:paraId="40AF2F2C" w14:textId="4DBB73DB" w:rsidR="008E3798" w:rsidRPr="00022B05" w:rsidRDefault="008A10A8" w:rsidP="008E3798">
      <w:pPr>
        <w:pStyle w:val="Heading-Secondary"/>
      </w:pPr>
      <w:r>
        <w:t>5</w:t>
      </w:r>
      <w:r w:rsidR="008E3798" w:rsidRPr="00022B05">
        <w:t xml:space="preserve">.3 </w:t>
      </w:r>
      <w:r w:rsidR="00871A3F">
        <w:t>Mineral t</w:t>
      </w:r>
      <w:r w:rsidR="008E3798" w:rsidRPr="00022B05">
        <w:t>race element</w:t>
      </w:r>
      <w:r w:rsidR="00871A3F">
        <w:t xml:space="preserve"> composition</w:t>
      </w:r>
    </w:p>
    <w:p w14:paraId="2FA84106" w14:textId="260DAECB" w:rsidR="008E3798" w:rsidRPr="00022B05" w:rsidRDefault="008E3798" w:rsidP="008E3798">
      <w:pPr>
        <w:spacing w:after="120"/>
        <w:jc w:val="both"/>
        <w:rPr>
          <w:sz w:val="24"/>
        </w:rPr>
      </w:pPr>
      <w:r w:rsidRPr="00022B05">
        <w:rPr>
          <w:sz w:val="24"/>
        </w:rPr>
        <w:tab/>
      </w:r>
      <w:proofErr w:type="gramStart"/>
      <w:r w:rsidR="00290D4D" w:rsidRPr="00120E5F">
        <w:rPr>
          <w:rStyle w:val="Strong"/>
          <w:b w:val="0"/>
          <w:sz w:val="24"/>
          <w:szCs w:val="24"/>
          <w:u w:val="single"/>
        </w:rPr>
        <w:t>Clinopyroxene</w:t>
      </w:r>
      <w:r w:rsidR="00290D4D">
        <w:rPr>
          <w:rStyle w:val="Strong"/>
          <w:b w:val="0"/>
          <w:sz w:val="24"/>
          <w:szCs w:val="24"/>
          <w:u w:val="single"/>
        </w:rPr>
        <w:t>.</w:t>
      </w:r>
      <w:proofErr w:type="gramEnd"/>
      <w:r w:rsidR="00290D4D" w:rsidRPr="00022B05">
        <w:rPr>
          <w:sz w:val="24"/>
        </w:rPr>
        <w:t xml:space="preserve"> </w:t>
      </w:r>
      <w:r w:rsidRPr="00022B05">
        <w:rPr>
          <w:sz w:val="24"/>
        </w:rPr>
        <w:t>Clinopyroxenes in the plagioclase-bearing ultramafic to gabbroic suite</w:t>
      </w:r>
      <w:r w:rsidRPr="00022B05" w:rsidDel="009506A6">
        <w:rPr>
          <w:sz w:val="24"/>
        </w:rPr>
        <w:t xml:space="preserve"> </w:t>
      </w:r>
      <w:r w:rsidRPr="00022B05">
        <w:rPr>
          <w:sz w:val="24"/>
        </w:rPr>
        <w:t>have LREE-depleted REE patterns, with (La/Sm</w:t>
      </w:r>
      <w:proofErr w:type="gramStart"/>
      <w:r w:rsidRPr="00022B05">
        <w:rPr>
          <w:sz w:val="24"/>
        </w:rPr>
        <w:t>)</w:t>
      </w:r>
      <w:r w:rsidRPr="001D0C5C">
        <w:rPr>
          <w:sz w:val="24"/>
          <w:vertAlign w:val="subscript"/>
        </w:rPr>
        <w:t>n</w:t>
      </w:r>
      <w:proofErr w:type="gramEnd"/>
      <w:r w:rsidRPr="00022B05">
        <w:rPr>
          <w:sz w:val="24"/>
        </w:rPr>
        <w:t xml:space="preserve"> between 0.01 and 0.</w:t>
      </w:r>
      <w:r w:rsidR="001D0C5C" w:rsidRPr="00022B05">
        <w:rPr>
          <w:sz w:val="24"/>
        </w:rPr>
        <w:t>1</w:t>
      </w:r>
      <w:r w:rsidR="001D0C5C">
        <w:rPr>
          <w:sz w:val="24"/>
        </w:rPr>
        <w:t>6</w:t>
      </w:r>
      <w:r w:rsidR="001D0C5C" w:rsidRPr="00022B05">
        <w:rPr>
          <w:sz w:val="24"/>
        </w:rPr>
        <w:t xml:space="preserve"> </w:t>
      </w:r>
      <w:r w:rsidRPr="00022B05">
        <w:rPr>
          <w:sz w:val="24"/>
        </w:rPr>
        <w:t xml:space="preserve">(Figure 11a, Table </w:t>
      </w:r>
      <w:r w:rsidR="00EC21E5">
        <w:rPr>
          <w:sz w:val="24"/>
        </w:rPr>
        <w:t>10</w:t>
      </w:r>
      <w:r w:rsidRPr="00022B05">
        <w:rPr>
          <w:sz w:val="24"/>
        </w:rPr>
        <w:t>). The HREE part of these patterns is nearly flat, with (Sm/Yb</w:t>
      </w:r>
      <w:proofErr w:type="gramStart"/>
      <w:r w:rsidRPr="00022B05">
        <w:rPr>
          <w:sz w:val="24"/>
        </w:rPr>
        <w:t>)</w:t>
      </w:r>
      <w:r w:rsidRPr="001D0C5C">
        <w:rPr>
          <w:sz w:val="24"/>
          <w:vertAlign w:val="subscript"/>
        </w:rPr>
        <w:t>n</w:t>
      </w:r>
      <w:proofErr w:type="gramEnd"/>
      <w:r w:rsidRPr="00022B05">
        <w:rPr>
          <w:sz w:val="24"/>
        </w:rPr>
        <w:t xml:space="preserve"> ratios between 0.79 and 0.9</w:t>
      </w:r>
      <w:r w:rsidR="001D0C5C">
        <w:rPr>
          <w:sz w:val="24"/>
        </w:rPr>
        <w:t>1</w:t>
      </w:r>
      <w:r w:rsidRPr="00022B05">
        <w:rPr>
          <w:sz w:val="24"/>
        </w:rPr>
        <w:t>. These clinopyroxene REE patterns are enriched in LREE relative to plagioclase-free residual lherzolites from the same region ((La/Sm</w:t>
      </w:r>
      <w:proofErr w:type="gramStart"/>
      <w:r w:rsidRPr="00022B05">
        <w:rPr>
          <w:sz w:val="24"/>
        </w:rPr>
        <w:t>)</w:t>
      </w:r>
      <w:r w:rsidRPr="00022B05">
        <w:rPr>
          <w:sz w:val="24"/>
          <w:vertAlign w:val="subscript"/>
        </w:rPr>
        <w:t>n</w:t>
      </w:r>
      <w:proofErr w:type="gramEnd"/>
      <w:r w:rsidRPr="00022B05">
        <w:rPr>
          <w:sz w:val="24"/>
        </w:rPr>
        <w:t xml:space="preserve"> from 0.009 to 0.035; </w:t>
      </w:r>
      <w:r w:rsidR="001123EC" w:rsidRPr="00022B05">
        <w:rPr>
          <w:rStyle w:val="Strong"/>
          <w:b w:val="0"/>
          <w:sz w:val="24"/>
          <w:szCs w:val="24"/>
        </w:rPr>
        <w:t>[</w:t>
      </w:r>
      <w:r w:rsidR="001123EC" w:rsidRPr="00022B05">
        <w:rPr>
          <w:rStyle w:val="Strong"/>
          <w:b w:val="0"/>
          <w:i/>
          <w:sz w:val="24"/>
          <w:szCs w:val="24"/>
        </w:rPr>
        <w:t>Seyler et al.</w:t>
      </w:r>
      <w:r w:rsidR="001123EC" w:rsidRPr="00022B05">
        <w:rPr>
          <w:rStyle w:val="Strong"/>
          <w:b w:val="0"/>
          <w:sz w:val="24"/>
          <w:szCs w:val="24"/>
        </w:rPr>
        <w:t>, 2011]</w:t>
      </w:r>
      <w:r w:rsidRPr="00022B05">
        <w:rPr>
          <w:sz w:val="24"/>
        </w:rPr>
        <w:t xml:space="preserve">). </w:t>
      </w:r>
      <w:r w:rsidRPr="00022B05">
        <w:rPr>
          <w:rStyle w:val="Strong"/>
          <w:b w:val="0"/>
          <w:sz w:val="24"/>
        </w:rPr>
        <w:t xml:space="preserve">Clinopyroxenes in the plagioclase-bearing lherzolites and websterites </w:t>
      </w:r>
      <w:r w:rsidRPr="00022B05">
        <w:rPr>
          <w:sz w:val="24"/>
        </w:rPr>
        <w:t>have very similar patterns, with no Eu anomaly</w:t>
      </w:r>
      <w:r w:rsidRPr="00022B05">
        <w:rPr>
          <w:rStyle w:val="Strong"/>
          <w:b w:val="0"/>
          <w:sz w:val="24"/>
        </w:rPr>
        <w:t xml:space="preserve">. They are more depleted than clinopyroxenes from most analyzed troctolites, olivine gabbros and gabbros (Figure 11a). </w:t>
      </w:r>
      <w:r w:rsidRPr="00022B05">
        <w:rPr>
          <w:sz w:val="24"/>
        </w:rPr>
        <w:t xml:space="preserve">These plagioclase-rich lithologies have </w:t>
      </w:r>
      <w:r w:rsidRPr="00022B05">
        <w:rPr>
          <w:sz w:val="24"/>
        </w:rPr>
        <w:lastRenderedPageBreak/>
        <w:t xml:space="preserve">parallel REE patterns with distinct Eu anomalies. They also have </w:t>
      </w:r>
      <w:r w:rsidR="00871F27">
        <w:rPr>
          <w:sz w:val="24"/>
        </w:rPr>
        <w:t>higher Sr and Zr contents (9.8 to 25.4</w:t>
      </w:r>
      <w:r w:rsidR="00B628D2">
        <w:rPr>
          <w:sz w:val="24"/>
        </w:rPr>
        <w:t xml:space="preserve"> ppm for Sr; 8.</w:t>
      </w:r>
      <w:r w:rsidR="000C65EF">
        <w:rPr>
          <w:sz w:val="24"/>
        </w:rPr>
        <w:t xml:space="preserve">3 </w:t>
      </w:r>
      <w:r w:rsidR="00B628D2">
        <w:rPr>
          <w:sz w:val="24"/>
        </w:rPr>
        <w:t>to 24.2</w:t>
      </w:r>
      <w:r w:rsidRPr="00022B05">
        <w:rPr>
          <w:sz w:val="24"/>
        </w:rPr>
        <w:t xml:space="preserve"> ppm for Zr) than the analyzed plagioclase-bearing </w:t>
      </w:r>
      <w:r w:rsidR="00B628D2">
        <w:rPr>
          <w:sz w:val="24"/>
        </w:rPr>
        <w:t>websterite and lherzolite (5.5 ppm and 6.2 ppm respectively for Sr; 7.</w:t>
      </w:r>
      <w:r w:rsidR="000C65EF">
        <w:rPr>
          <w:sz w:val="24"/>
        </w:rPr>
        <w:t xml:space="preserve">7 </w:t>
      </w:r>
      <w:r w:rsidR="00B628D2">
        <w:rPr>
          <w:sz w:val="24"/>
        </w:rPr>
        <w:t>ppm and 8.7</w:t>
      </w:r>
      <w:r w:rsidRPr="00022B05">
        <w:rPr>
          <w:sz w:val="24"/>
        </w:rPr>
        <w:t xml:space="preserve"> ppm respectively for Zr; Table 8). The highest Sr contents correspond to the lowest Zr contents, and to the most depleted REE patterns.</w:t>
      </w:r>
    </w:p>
    <w:p w14:paraId="64D3603D" w14:textId="7C2D6D85" w:rsidR="008E3798" w:rsidRDefault="008E3798" w:rsidP="008E3798">
      <w:pPr>
        <w:spacing w:after="120"/>
        <w:jc w:val="both"/>
        <w:rPr>
          <w:sz w:val="24"/>
        </w:rPr>
      </w:pPr>
      <w:r w:rsidRPr="00022B05">
        <w:rPr>
          <w:sz w:val="24"/>
        </w:rPr>
        <w:tab/>
      </w:r>
      <w:proofErr w:type="gramStart"/>
      <w:r w:rsidR="00290D4D">
        <w:rPr>
          <w:rStyle w:val="Strong"/>
          <w:b w:val="0"/>
          <w:sz w:val="24"/>
          <w:szCs w:val="24"/>
          <w:u w:val="single"/>
        </w:rPr>
        <w:t>Orth</w:t>
      </w:r>
      <w:r w:rsidR="00290D4D" w:rsidRPr="00120E5F">
        <w:rPr>
          <w:rStyle w:val="Strong"/>
          <w:b w:val="0"/>
          <w:sz w:val="24"/>
          <w:szCs w:val="24"/>
          <w:u w:val="single"/>
        </w:rPr>
        <w:t>opyroxene</w:t>
      </w:r>
      <w:r w:rsidR="00290D4D">
        <w:rPr>
          <w:rStyle w:val="Strong"/>
          <w:b w:val="0"/>
          <w:sz w:val="24"/>
          <w:szCs w:val="24"/>
          <w:u w:val="single"/>
        </w:rPr>
        <w:t>.</w:t>
      </w:r>
      <w:proofErr w:type="gramEnd"/>
      <w:r w:rsidR="00290D4D" w:rsidRPr="00022B05">
        <w:rPr>
          <w:sz w:val="24"/>
        </w:rPr>
        <w:t xml:space="preserve"> </w:t>
      </w:r>
      <w:r w:rsidRPr="00022B05">
        <w:rPr>
          <w:sz w:val="24"/>
        </w:rPr>
        <w:t xml:space="preserve">Orthopyroxenes have LREE-depleted patterns, characterized by a steep decrease from HREE to LREE (Figure 11a, Table </w:t>
      </w:r>
      <w:r w:rsidR="00EC21E5">
        <w:rPr>
          <w:sz w:val="24"/>
        </w:rPr>
        <w:t>10</w:t>
      </w:r>
      <w:r w:rsidRPr="00022B05">
        <w:rPr>
          <w:sz w:val="24"/>
        </w:rPr>
        <w:t xml:space="preserve">). These patterns are similar in all the analyzed rock types (plagioclase-bearing lherzolites, plagioclase-bearing websterites, troctolites, olivine gabbros, and gabbros) and also similar to the REE composition of orthopyroxenes from plagioclase-free residual lherzolites from the same region </w:t>
      </w:r>
      <w:r w:rsidR="001123EC" w:rsidRPr="00022B05">
        <w:rPr>
          <w:rStyle w:val="Strong"/>
          <w:b w:val="0"/>
          <w:sz w:val="24"/>
          <w:szCs w:val="24"/>
        </w:rPr>
        <w:t>[</w:t>
      </w:r>
      <w:r w:rsidR="001123EC" w:rsidRPr="00022B05">
        <w:rPr>
          <w:rStyle w:val="Strong"/>
          <w:b w:val="0"/>
          <w:i/>
          <w:sz w:val="24"/>
          <w:szCs w:val="24"/>
        </w:rPr>
        <w:t>Seyler et al.</w:t>
      </w:r>
      <w:r w:rsidR="001123EC" w:rsidRPr="00022B05">
        <w:rPr>
          <w:rStyle w:val="Strong"/>
          <w:b w:val="0"/>
          <w:sz w:val="24"/>
          <w:szCs w:val="24"/>
        </w:rPr>
        <w:t>, 2011]</w:t>
      </w:r>
      <w:r w:rsidRPr="00022B05">
        <w:rPr>
          <w:sz w:val="24"/>
        </w:rPr>
        <w:t xml:space="preserve">. Orthopyroxenes in </w:t>
      </w:r>
      <w:r w:rsidR="00E55178">
        <w:rPr>
          <w:sz w:val="24"/>
        </w:rPr>
        <w:t>the</w:t>
      </w:r>
      <w:r w:rsidR="00E55178" w:rsidRPr="00022B05">
        <w:rPr>
          <w:sz w:val="24"/>
        </w:rPr>
        <w:t xml:space="preserve"> </w:t>
      </w:r>
      <w:r w:rsidRPr="00022B05">
        <w:rPr>
          <w:sz w:val="24"/>
        </w:rPr>
        <w:t>plagioclase-bearing samples also have positive anomalies in Zr and Ti which are typical in orthopyrox</w:t>
      </w:r>
      <w:r w:rsidR="001123EC" w:rsidRPr="00022B05">
        <w:rPr>
          <w:sz w:val="24"/>
        </w:rPr>
        <w:t>enes from residual peridotites [</w:t>
      </w:r>
      <w:r w:rsidR="001123EC" w:rsidRPr="00022B05">
        <w:rPr>
          <w:i/>
          <w:sz w:val="24"/>
        </w:rPr>
        <w:t>Rampone et al.</w:t>
      </w:r>
      <w:r w:rsidR="001123EC" w:rsidRPr="00022B05">
        <w:rPr>
          <w:sz w:val="24"/>
        </w:rPr>
        <w:t>, 1991]</w:t>
      </w:r>
      <w:r w:rsidRPr="00022B05">
        <w:rPr>
          <w:sz w:val="24"/>
        </w:rPr>
        <w:t>.</w:t>
      </w:r>
    </w:p>
    <w:p w14:paraId="5E6F1FB4" w14:textId="77777777" w:rsidR="00E62F63" w:rsidRDefault="00E62F63" w:rsidP="008E3798">
      <w:pPr>
        <w:spacing w:after="120"/>
        <w:jc w:val="both"/>
        <w:rPr>
          <w:sz w:val="24"/>
        </w:rPr>
      </w:pPr>
    </w:p>
    <w:p w14:paraId="68201661" w14:textId="26EAB604" w:rsidR="00E62F63" w:rsidRDefault="00E62F63" w:rsidP="008E3798">
      <w:pPr>
        <w:spacing w:after="120"/>
        <w:jc w:val="both"/>
        <w:rPr>
          <w:sz w:val="24"/>
        </w:rPr>
      </w:pPr>
      <w:r>
        <w:rPr>
          <w:noProof/>
          <w:sz w:val="24"/>
          <w:lang w:val="en-GB" w:eastAsia="en-GB"/>
        </w:rPr>
        <w:drawing>
          <wp:inline distT="0" distB="0" distL="0" distR="0" wp14:anchorId="0D656329" wp14:editId="394CD85D">
            <wp:extent cx="3810000" cy="4762500"/>
            <wp:effectExtent l="0" t="0" r="0" b="12700"/>
            <wp:docPr id="11" name="Image 11" descr="Sans titre:Users:MarinePaquet:Documents:PhD:Sujet Basaltes - Stage M2:Papiers:Majeurs &amp; Traces:Figures:REE_peridotites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ans titre:Users:MarinePaquet:Documents:PhD:Sujet Basaltes - Stage M2:Papiers:Majeurs &amp; Traces:Figures:REE_peridotites_final.jpg"/>
                    <pic:cNvPicPr>
                      <a:picLocks noChangeAspect="1" noChangeArrowheads="1"/>
                    </pic:cNvPicPr>
                  </pic:nvPicPr>
                  <pic:blipFill rotWithShape="1">
                    <a:blip r:embed="rId24">
                      <a:extLst>
                        <a:ext uri="{28A0092B-C50C-407E-A947-70E740481C1C}">
                          <a14:useLocalDpi xmlns:a14="http://schemas.microsoft.com/office/drawing/2010/main" val="0"/>
                        </a:ext>
                      </a:extLst>
                    </a:blip>
                    <a:srcRect l="27465" b="36263"/>
                    <a:stretch/>
                  </pic:blipFill>
                  <pic:spPr bwMode="auto">
                    <a:xfrm>
                      <a:off x="0" y="0"/>
                      <a:ext cx="3810000" cy="4762500"/>
                    </a:xfrm>
                    <a:prstGeom prst="rect">
                      <a:avLst/>
                    </a:prstGeom>
                    <a:noFill/>
                    <a:ln>
                      <a:noFill/>
                    </a:ln>
                    <a:extLst>
                      <a:ext uri="{53640926-AAD7-44D8-BBD7-CCE9431645EC}">
                        <a14:shadowObscured xmlns:a14="http://schemas.microsoft.com/office/drawing/2010/main"/>
                      </a:ext>
                    </a:extLst>
                  </pic:spPr>
                </pic:pic>
              </a:graphicData>
            </a:graphic>
          </wp:inline>
        </w:drawing>
      </w:r>
    </w:p>
    <w:p w14:paraId="405A334E" w14:textId="7DE7BC90" w:rsidR="00A52F4F" w:rsidRDefault="00E62F63" w:rsidP="008E3798">
      <w:pPr>
        <w:spacing w:after="120"/>
        <w:jc w:val="both"/>
        <w:rPr>
          <w:sz w:val="24"/>
          <w:szCs w:val="24"/>
        </w:rPr>
      </w:pPr>
      <w:proofErr w:type="gramStart"/>
      <w:r w:rsidRPr="00AC4D88">
        <w:rPr>
          <w:b/>
          <w:sz w:val="24"/>
        </w:rPr>
        <w:t xml:space="preserve">Figure </w:t>
      </w:r>
      <w:r>
        <w:rPr>
          <w:b/>
          <w:sz w:val="24"/>
        </w:rPr>
        <w:t>11</w:t>
      </w:r>
      <w:r w:rsidRPr="00AC4D88">
        <w:rPr>
          <w:sz w:val="24"/>
        </w:rPr>
        <w:t>.</w:t>
      </w:r>
      <w:proofErr w:type="gramEnd"/>
      <w:r>
        <w:rPr>
          <w:sz w:val="24"/>
        </w:rPr>
        <w:t xml:space="preserve"> </w:t>
      </w:r>
      <w:r w:rsidRPr="00E62F63">
        <w:rPr>
          <w:sz w:val="24"/>
        </w:rPr>
        <w:t xml:space="preserve">Chondrites-normalized Rare Earth Element (REE) diagrams for clinopyroxenes and orthopyroxenes </w:t>
      </w:r>
      <w:r w:rsidRPr="00E62F63">
        <w:rPr>
          <w:b/>
          <w:sz w:val="24"/>
        </w:rPr>
        <w:t>(a)</w:t>
      </w:r>
      <w:r w:rsidRPr="00E62F63">
        <w:rPr>
          <w:sz w:val="24"/>
        </w:rPr>
        <w:t xml:space="preserve">, and for plagioclases </w:t>
      </w:r>
      <w:r w:rsidRPr="00E62F63">
        <w:rPr>
          <w:b/>
          <w:sz w:val="24"/>
        </w:rPr>
        <w:t>(b)</w:t>
      </w:r>
      <w:r w:rsidRPr="00E62F63">
        <w:rPr>
          <w:sz w:val="24"/>
        </w:rPr>
        <w:t xml:space="preserve"> in samples of the plagioclase-bearing ultramafic to gabbroic suite</w:t>
      </w:r>
      <w:r w:rsidR="001D711C">
        <w:rPr>
          <w:sz w:val="24"/>
        </w:rPr>
        <w:t xml:space="preserve"> for</w:t>
      </w:r>
      <w:r w:rsidR="001D711C" w:rsidRPr="00E62F63">
        <w:rPr>
          <w:sz w:val="24"/>
        </w:rPr>
        <w:t xml:space="preserve"> </w:t>
      </w:r>
      <w:r w:rsidR="001D711C">
        <w:rPr>
          <w:sz w:val="24"/>
        </w:rPr>
        <w:t xml:space="preserve">the </w:t>
      </w:r>
      <w:r w:rsidRPr="00E62F63">
        <w:rPr>
          <w:sz w:val="24"/>
        </w:rPr>
        <w:t xml:space="preserve">61°-65°E SWIR region. Each line corresponds to the average composition of several grains (n values in Table </w:t>
      </w:r>
      <w:r w:rsidR="00EC21E5">
        <w:rPr>
          <w:sz w:val="24"/>
        </w:rPr>
        <w:t>10</w:t>
      </w:r>
      <w:r w:rsidRPr="00E62F63">
        <w:rPr>
          <w:sz w:val="24"/>
        </w:rPr>
        <w:t xml:space="preserve">) in each sample. </w:t>
      </w:r>
      <w:proofErr w:type="gramStart"/>
      <w:r w:rsidRPr="00E62F63">
        <w:rPr>
          <w:sz w:val="24"/>
        </w:rPr>
        <w:t xml:space="preserve">Normalizing values of </w:t>
      </w:r>
      <w:r w:rsidRPr="00E62F63">
        <w:rPr>
          <w:i/>
          <w:sz w:val="24"/>
        </w:rPr>
        <w:t xml:space="preserve">McDonough and </w:t>
      </w:r>
      <w:r w:rsidRPr="00E62F63">
        <w:rPr>
          <w:i/>
          <w:sz w:val="24"/>
        </w:rPr>
        <w:lastRenderedPageBreak/>
        <w:t>Sun</w:t>
      </w:r>
      <w:r w:rsidRPr="00E62F63">
        <w:rPr>
          <w:sz w:val="24"/>
        </w:rPr>
        <w:t xml:space="preserve"> </w:t>
      </w:r>
      <w:r>
        <w:rPr>
          <w:sz w:val="24"/>
        </w:rPr>
        <w:t>[1995]</w:t>
      </w:r>
      <w:r w:rsidRPr="00E62F63">
        <w:rPr>
          <w:sz w:val="24"/>
        </w:rPr>
        <w:t>.</w:t>
      </w:r>
      <w:proofErr w:type="gramEnd"/>
      <w:r w:rsidRPr="00E62F63">
        <w:rPr>
          <w:sz w:val="24"/>
        </w:rPr>
        <w:t xml:space="preserve"> Data are colored according to modal mineralogy of the sample: plagioclase-bearing lherzolites in green, plagioclase-bearing</w:t>
      </w:r>
      <w:r w:rsidRPr="00E62F63" w:rsidDel="009D039D">
        <w:rPr>
          <w:sz w:val="24"/>
        </w:rPr>
        <w:t xml:space="preserve"> </w:t>
      </w:r>
      <w:r w:rsidRPr="00E62F63">
        <w:rPr>
          <w:sz w:val="24"/>
        </w:rPr>
        <w:t xml:space="preserve">websterites in purple, troctolites, olivine gabbros and gabbros in blue. </w:t>
      </w:r>
      <w:proofErr w:type="gramStart"/>
      <w:r w:rsidRPr="00E62F63">
        <w:rPr>
          <w:sz w:val="24"/>
        </w:rPr>
        <w:t xml:space="preserve">Thin grey lines in </w:t>
      </w:r>
      <w:r w:rsidRPr="00E62F63">
        <w:rPr>
          <w:b/>
          <w:sz w:val="24"/>
        </w:rPr>
        <w:t>(a)</w:t>
      </w:r>
      <w:r w:rsidRPr="00E62F63">
        <w:rPr>
          <w:sz w:val="24"/>
        </w:rPr>
        <w:t xml:space="preserve"> show the composition of clinopyroxenes and orthopyroxenes in plagioclase-free ultramafic rocks from the same region </w:t>
      </w:r>
      <w:r>
        <w:rPr>
          <w:sz w:val="24"/>
        </w:rPr>
        <w:t>[</w:t>
      </w:r>
      <w:r w:rsidRPr="00E62F63">
        <w:rPr>
          <w:i/>
          <w:sz w:val="24"/>
        </w:rPr>
        <w:t>Seyler et al.</w:t>
      </w:r>
      <w:r>
        <w:rPr>
          <w:sz w:val="24"/>
        </w:rPr>
        <w:t>, 2011]</w:t>
      </w:r>
      <w:r w:rsidRPr="00E62F63">
        <w:rPr>
          <w:sz w:val="24"/>
        </w:rPr>
        <w:t>.</w:t>
      </w:r>
      <w:proofErr w:type="gramEnd"/>
      <w:r w:rsidRPr="00E62F63">
        <w:rPr>
          <w:sz w:val="24"/>
        </w:rPr>
        <w:t xml:space="preserve"> Orthopyroxenes in </w:t>
      </w:r>
      <w:r w:rsidR="00E55178">
        <w:rPr>
          <w:sz w:val="24"/>
        </w:rPr>
        <w:t>the</w:t>
      </w:r>
      <w:r w:rsidRPr="00E62F63">
        <w:rPr>
          <w:sz w:val="24"/>
        </w:rPr>
        <w:t xml:space="preserve"> plagioclase-bearing samples ha</w:t>
      </w:r>
      <w:r w:rsidR="00E55178">
        <w:rPr>
          <w:sz w:val="24"/>
        </w:rPr>
        <w:t>ve</w:t>
      </w:r>
      <w:r w:rsidRPr="00E62F63">
        <w:rPr>
          <w:sz w:val="24"/>
        </w:rPr>
        <w:t xml:space="preserve"> LREE-depleted compositions similar to orthopyroxenes in these plagioclase-free samples. By contrast, clinopyroxenes compositions</w:t>
      </w:r>
      <w:r w:rsidR="00E55178">
        <w:rPr>
          <w:sz w:val="24"/>
        </w:rPr>
        <w:t xml:space="preserve"> in the plagioclase-bearing </w:t>
      </w:r>
      <w:r w:rsidR="00D844B8">
        <w:rPr>
          <w:sz w:val="24"/>
        </w:rPr>
        <w:t xml:space="preserve">ultramafic to gabbroic rock </w:t>
      </w:r>
      <w:r w:rsidR="00D844B8" w:rsidRPr="00F4779D">
        <w:rPr>
          <w:sz w:val="24"/>
          <w:szCs w:val="24"/>
        </w:rPr>
        <w:t>suite</w:t>
      </w:r>
      <w:r w:rsidRPr="00F4779D">
        <w:rPr>
          <w:sz w:val="24"/>
          <w:szCs w:val="24"/>
        </w:rPr>
        <w:t xml:space="preserve"> are enriched in LREE compared to clinopyroxenes in plagioclase-free samples. Plagioclase REE diagrams have been measured only in the plagioclase-rich rock types (troctolites, olivine gabbros and gabbros).</w:t>
      </w:r>
    </w:p>
    <w:p w14:paraId="39059655" w14:textId="77777777" w:rsidR="00A52F4F" w:rsidRDefault="00A52F4F" w:rsidP="008E3798">
      <w:pPr>
        <w:spacing w:after="120"/>
        <w:jc w:val="both"/>
        <w:rPr>
          <w:sz w:val="24"/>
          <w:szCs w:val="24"/>
        </w:rPr>
      </w:pPr>
    </w:p>
    <w:p w14:paraId="67FFD07B" w14:textId="77777777" w:rsidR="00A52F4F" w:rsidRDefault="00A52F4F" w:rsidP="008E3798">
      <w:pPr>
        <w:spacing w:after="120"/>
        <w:jc w:val="both"/>
        <w:rPr>
          <w:sz w:val="24"/>
          <w:szCs w:val="24"/>
        </w:rPr>
        <w:sectPr w:rsidR="00A52F4F" w:rsidSect="00D03150">
          <w:pgSz w:w="12240" w:h="15840"/>
          <w:pgMar w:top="1440" w:right="1440" w:bottom="1440" w:left="1440" w:header="432" w:footer="720" w:gutter="0"/>
          <w:cols w:space="720"/>
          <w:docGrid w:linePitch="360"/>
        </w:sectPr>
      </w:pPr>
    </w:p>
    <w:p w14:paraId="14D10210" w14:textId="640BD246" w:rsidR="00A52F4F" w:rsidRDefault="00A52F4F" w:rsidP="008E3798">
      <w:pPr>
        <w:spacing w:after="120"/>
        <w:jc w:val="both"/>
        <w:rPr>
          <w:sz w:val="24"/>
          <w:szCs w:val="24"/>
        </w:rPr>
      </w:pPr>
      <w:proofErr w:type="gramStart"/>
      <w:r w:rsidRPr="00E84C0F">
        <w:rPr>
          <w:b/>
          <w:sz w:val="24"/>
          <w:szCs w:val="24"/>
        </w:rPr>
        <w:lastRenderedPageBreak/>
        <w:t xml:space="preserve">Table </w:t>
      </w:r>
      <w:r>
        <w:rPr>
          <w:b/>
          <w:sz w:val="24"/>
          <w:szCs w:val="24"/>
        </w:rPr>
        <w:t>10</w:t>
      </w:r>
      <w:r w:rsidRPr="00E84C0F">
        <w:rPr>
          <w:b/>
          <w:sz w:val="24"/>
          <w:szCs w:val="24"/>
        </w:rPr>
        <w:t>.</w:t>
      </w:r>
      <w:proofErr w:type="gramEnd"/>
      <w:r w:rsidRPr="00E84C0F">
        <w:rPr>
          <w:sz w:val="24"/>
          <w:szCs w:val="24"/>
        </w:rPr>
        <w:t xml:space="preserve"> </w:t>
      </w:r>
      <w:r w:rsidRPr="00E84C0F">
        <w:rPr>
          <w:color w:val="000000"/>
          <w:sz w:val="24"/>
          <w:szCs w:val="24"/>
        </w:rPr>
        <w:t xml:space="preserve">Trace element compositions (ppm) of clinopyroxenes, orthopyroxenes and plagioclases of plagioclase-bearing ultramafic rocks. </w:t>
      </w:r>
      <w:proofErr w:type="gramStart"/>
      <w:r w:rsidRPr="00E84C0F">
        <w:rPr>
          <w:color w:val="000000"/>
          <w:sz w:val="24"/>
          <w:szCs w:val="24"/>
        </w:rPr>
        <w:t>Average composition of several grains in each sample.</w:t>
      </w:r>
      <w:proofErr w:type="gramEnd"/>
      <w:r w:rsidRPr="00E84C0F">
        <w:rPr>
          <w:color w:val="000000"/>
          <w:sz w:val="24"/>
          <w:szCs w:val="24"/>
        </w:rPr>
        <w:t xml:space="preserve"> Error bars: ±1 </w:t>
      </w:r>
      <w:proofErr w:type="gramStart"/>
      <w:r w:rsidRPr="00E84C0F">
        <w:rPr>
          <w:color w:val="000000"/>
          <w:sz w:val="24"/>
          <w:szCs w:val="24"/>
        </w:rPr>
        <w:t>std</w:t>
      </w:r>
      <w:proofErr w:type="gramEnd"/>
      <w:r w:rsidRPr="00E84C0F">
        <w:rPr>
          <w:color w:val="000000"/>
          <w:sz w:val="24"/>
          <w:szCs w:val="24"/>
        </w:rPr>
        <w:t>.</w:t>
      </w:r>
    </w:p>
    <w:tbl>
      <w:tblPr>
        <w:tblW w:w="11232" w:type="dxa"/>
        <w:tblInd w:w="55" w:type="dxa"/>
        <w:tblLayout w:type="fixed"/>
        <w:tblCellMar>
          <w:left w:w="70" w:type="dxa"/>
          <w:right w:w="70" w:type="dxa"/>
        </w:tblCellMar>
        <w:tblLook w:val="04A0" w:firstRow="1" w:lastRow="0" w:firstColumn="1" w:lastColumn="0" w:noHBand="0" w:noVBand="1"/>
      </w:tblPr>
      <w:tblGrid>
        <w:gridCol w:w="719"/>
        <w:gridCol w:w="785"/>
        <w:gridCol w:w="785"/>
        <w:gridCol w:w="160"/>
        <w:gridCol w:w="650"/>
        <w:gridCol w:w="650"/>
        <w:gridCol w:w="160"/>
        <w:gridCol w:w="890"/>
        <w:gridCol w:w="740"/>
        <w:gridCol w:w="160"/>
        <w:gridCol w:w="894"/>
        <w:gridCol w:w="219"/>
        <w:gridCol w:w="160"/>
        <w:gridCol w:w="737"/>
        <w:gridCol w:w="585"/>
        <w:gridCol w:w="160"/>
        <w:gridCol w:w="902"/>
        <w:gridCol w:w="747"/>
        <w:gridCol w:w="160"/>
        <w:gridCol w:w="747"/>
        <w:gridCol w:w="222"/>
      </w:tblGrid>
      <w:tr w:rsidR="00685D45" w:rsidRPr="00685D45" w14:paraId="735B7615" w14:textId="77777777" w:rsidTr="00BC735C">
        <w:trPr>
          <w:cantSplit/>
          <w:trHeight w:val="20"/>
        </w:trPr>
        <w:tc>
          <w:tcPr>
            <w:tcW w:w="719" w:type="dxa"/>
            <w:tcBorders>
              <w:top w:val="single" w:sz="4" w:space="0" w:color="auto"/>
              <w:left w:val="nil"/>
              <w:bottom w:val="nil"/>
              <w:right w:val="nil"/>
            </w:tcBorders>
            <w:shd w:val="clear" w:color="auto" w:fill="auto"/>
            <w:noWrap/>
            <w:vAlign w:val="center"/>
            <w:hideMark/>
          </w:tcPr>
          <w:p w14:paraId="6400E679" w14:textId="77777777" w:rsidR="00685D45" w:rsidRPr="001F338C" w:rsidRDefault="00685D45" w:rsidP="00685D45">
            <w:pPr>
              <w:jc w:val="center"/>
              <w:rPr>
                <w:rFonts w:eastAsia="Times New Roman"/>
                <w:color w:val="000000"/>
                <w:sz w:val="18"/>
                <w:szCs w:val="18"/>
                <w:lang w:val="en-GB" w:eastAsia="fr-FR"/>
                <w:rPrChange w:id="63" w:author="Daniele" w:date="2016-04-03T18:31:00Z">
                  <w:rPr>
                    <w:rFonts w:eastAsia="Times New Roman"/>
                    <w:color w:val="000000"/>
                    <w:sz w:val="18"/>
                    <w:szCs w:val="18"/>
                    <w:lang w:val="fr-FR" w:eastAsia="fr-FR"/>
                  </w:rPr>
                </w:rPrChange>
              </w:rPr>
            </w:pPr>
            <w:r w:rsidRPr="001F338C">
              <w:rPr>
                <w:rFonts w:eastAsia="Times New Roman"/>
                <w:color w:val="000000"/>
                <w:sz w:val="18"/>
                <w:szCs w:val="18"/>
                <w:lang w:val="en-GB" w:eastAsia="fr-FR"/>
                <w:rPrChange w:id="64" w:author="Daniele" w:date="2016-04-03T18:31:00Z">
                  <w:rPr>
                    <w:rFonts w:eastAsia="Times New Roman"/>
                    <w:color w:val="000000"/>
                    <w:sz w:val="18"/>
                    <w:szCs w:val="18"/>
                    <w:lang w:val="fr-FR" w:eastAsia="fr-FR"/>
                  </w:rPr>
                </w:rPrChange>
              </w:rPr>
              <w:t> </w:t>
            </w:r>
          </w:p>
        </w:tc>
        <w:tc>
          <w:tcPr>
            <w:tcW w:w="3030" w:type="dxa"/>
            <w:gridSpan w:val="5"/>
            <w:tcBorders>
              <w:top w:val="single" w:sz="4" w:space="0" w:color="auto"/>
              <w:left w:val="nil"/>
              <w:bottom w:val="single" w:sz="4" w:space="0" w:color="auto"/>
              <w:right w:val="nil"/>
            </w:tcBorders>
            <w:shd w:val="clear" w:color="auto" w:fill="auto"/>
            <w:noWrap/>
            <w:vAlign w:val="bottom"/>
            <w:hideMark/>
          </w:tcPr>
          <w:p w14:paraId="1196A81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SMS6-2-1</w:t>
            </w:r>
          </w:p>
        </w:tc>
        <w:tc>
          <w:tcPr>
            <w:tcW w:w="160" w:type="dxa"/>
            <w:tcBorders>
              <w:top w:val="single" w:sz="4" w:space="0" w:color="auto"/>
              <w:left w:val="nil"/>
              <w:bottom w:val="nil"/>
              <w:right w:val="nil"/>
            </w:tcBorders>
            <w:shd w:val="clear" w:color="auto" w:fill="auto"/>
            <w:noWrap/>
            <w:vAlign w:val="bottom"/>
            <w:hideMark/>
          </w:tcPr>
          <w:p w14:paraId="5BBA748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4385" w:type="dxa"/>
            <w:gridSpan w:val="8"/>
            <w:tcBorders>
              <w:top w:val="single" w:sz="4" w:space="0" w:color="auto"/>
              <w:left w:val="nil"/>
              <w:bottom w:val="single" w:sz="4" w:space="0" w:color="auto"/>
              <w:right w:val="nil"/>
            </w:tcBorders>
            <w:shd w:val="clear" w:color="auto" w:fill="auto"/>
            <w:noWrap/>
            <w:vAlign w:val="bottom"/>
            <w:hideMark/>
          </w:tcPr>
          <w:p w14:paraId="1B1575E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SMS15-3-20</w:t>
            </w:r>
          </w:p>
        </w:tc>
        <w:tc>
          <w:tcPr>
            <w:tcW w:w="160" w:type="dxa"/>
            <w:tcBorders>
              <w:top w:val="single" w:sz="4" w:space="0" w:color="auto"/>
              <w:left w:val="nil"/>
              <w:bottom w:val="nil"/>
              <w:right w:val="nil"/>
            </w:tcBorders>
            <w:shd w:val="clear" w:color="auto" w:fill="auto"/>
            <w:noWrap/>
            <w:vAlign w:val="bottom"/>
            <w:hideMark/>
          </w:tcPr>
          <w:p w14:paraId="2157DE8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2778" w:type="dxa"/>
            <w:gridSpan w:val="5"/>
            <w:tcBorders>
              <w:top w:val="single" w:sz="4" w:space="0" w:color="auto"/>
              <w:left w:val="nil"/>
              <w:bottom w:val="nil"/>
              <w:right w:val="nil"/>
            </w:tcBorders>
            <w:shd w:val="clear" w:color="auto" w:fill="auto"/>
            <w:noWrap/>
            <w:vAlign w:val="bottom"/>
            <w:hideMark/>
          </w:tcPr>
          <w:p w14:paraId="42FFC35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SMS21-3-1</w:t>
            </w:r>
          </w:p>
        </w:tc>
      </w:tr>
      <w:tr w:rsidR="00685D45" w:rsidRPr="00685D45" w14:paraId="58DCB7BC" w14:textId="77777777" w:rsidTr="00BC735C">
        <w:trPr>
          <w:cantSplit/>
          <w:trHeight w:val="20"/>
        </w:trPr>
        <w:tc>
          <w:tcPr>
            <w:tcW w:w="719" w:type="dxa"/>
            <w:tcBorders>
              <w:top w:val="nil"/>
              <w:left w:val="nil"/>
              <w:bottom w:val="nil"/>
              <w:right w:val="nil"/>
            </w:tcBorders>
            <w:shd w:val="clear" w:color="auto" w:fill="auto"/>
            <w:noWrap/>
            <w:vAlign w:val="center"/>
            <w:hideMark/>
          </w:tcPr>
          <w:p w14:paraId="16CE087B" w14:textId="77777777" w:rsidR="00685D45" w:rsidRPr="00685D45" w:rsidRDefault="00685D45" w:rsidP="00685D45">
            <w:pPr>
              <w:jc w:val="center"/>
              <w:rPr>
                <w:rFonts w:eastAsia="Times New Roman"/>
                <w:color w:val="000000"/>
                <w:sz w:val="18"/>
                <w:szCs w:val="18"/>
                <w:lang w:val="fr-FR" w:eastAsia="fr-FR"/>
              </w:rPr>
            </w:pPr>
          </w:p>
        </w:tc>
        <w:tc>
          <w:tcPr>
            <w:tcW w:w="1570" w:type="dxa"/>
            <w:gridSpan w:val="2"/>
            <w:tcBorders>
              <w:top w:val="single" w:sz="4" w:space="0" w:color="auto"/>
              <w:left w:val="nil"/>
              <w:bottom w:val="single" w:sz="4" w:space="0" w:color="auto"/>
              <w:right w:val="nil"/>
            </w:tcBorders>
            <w:shd w:val="clear" w:color="auto" w:fill="auto"/>
            <w:noWrap/>
            <w:vAlign w:val="bottom"/>
            <w:hideMark/>
          </w:tcPr>
          <w:p w14:paraId="79280C1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Cpx</w:t>
            </w:r>
          </w:p>
        </w:tc>
        <w:tc>
          <w:tcPr>
            <w:tcW w:w="160" w:type="dxa"/>
            <w:tcBorders>
              <w:top w:val="nil"/>
              <w:left w:val="nil"/>
              <w:bottom w:val="nil"/>
              <w:right w:val="nil"/>
            </w:tcBorders>
            <w:shd w:val="clear" w:color="auto" w:fill="auto"/>
            <w:noWrap/>
            <w:vAlign w:val="bottom"/>
            <w:hideMark/>
          </w:tcPr>
          <w:p w14:paraId="1065553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1300" w:type="dxa"/>
            <w:gridSpan w:val="2"/>
            <w:tcBorders>
              <w:top w:val="single" w:sz="4" w:space="0" w:color="auto"/>
              <w:left w:val="nil"/>
              <w:bottom w:val="single" w:sz="4" w:space="0" w:color="auto"/>
              <w:right w:val="nil"/>
            </w:tcBorders>
            <w:shd w:val="clear" w:color="auto" w:fill="auto"/>
            <w:noWrap/>
            <w:vAlign w:val="bottom"/>
            <w:hideMark/>
          </w:tcPr>
          <w:p w14:paraId="1A828D3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Pl</w:t>
            </w:r>
          </w:p>
        </w:tc>
        <w:tc>
          <w:tcPr>
            <w:tcW w:w="160" w:type="dxa"/>
            <w:tcBorders>
              <w:top w:val="nil"/>
              <w:left w:val="nil"/>
              <w:bottom w:val="nil"/>
              <w:right w:val="nil"/>
            </w:tcBorders>
            <w:shd w:val="clear" w:color="auto" w:fill="auto"/>
            <w:noWrap/>
            <w:vAlign w:val="bottom"/>
            <w:hideMark/>
          </w:tcPr>
          <w:p w14:paraId="1D709BAD" w14:textId="77777777" w:rsidR="00685D45" w:rsidRPr="00685D45" w:rsidRDefault="00685D45" w:rsidP="00685D45">
            <w:pPr>
              <w:jc w:val="center"/>
              <w:rPr>
                <w:rFonts w:eastAsia="Times New Roman"/>
                <w:color w:val="000000"/>
                <w:sz w:val="18"/>
                <w:szCs w:val="18"/>
                <w:lang w:val="fr-FR" w:eastAsia="fr-FR"/>
              </w:rPr>
            </w:pPr>
          </w:p>
        </w:tc>
        <w:tc>
          <w:tcPr>
            <w:tcW w:w="1630" w:type="dxa"/>
            <w:gridSpan w:val="2"/>
            <w:tcBorders>
              <w:top w:val="single" w:sz="4" w:space="0" w:color="auto"/>
              <w:left w:val="nil"/>
              <w:bottom w:val="single" w:sz="4" w:space="0" w:color="auto"/>
              <w:right w:val="nil"/>
            </w:tcBorders>
            <w:shd w:val="clear" w:color="auto" w:fill="auto"/>
            <w:noWrap/>
            <w:vAlign w:val="bottom"/>
            <w:hideMark/>
          </w:tcPr>
          <w:p w14:paraId="0410F8C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Cpx</w:t>
            </w:r>
          </w:p>
        </w:tc>
        <w:tc>
          <w:tcPr>
            <w:tcW w:w="160" w:type="dxa"/>
            <w:tcBorders>
              <w:top w:val="nil"/>
              <w:left w:val="nil"/>
              <w:bottom w:val="nil"/>
              <w:right w:val="nil"/>
            </w:tcBorders>
            <w:shd w:val="clear" w:color="auto" w:fill="auto"/>
            <w:noWrap/>
            <w:vAlign w:val="bottom"/>
            <w:hideMark/>
          </w:tcPr>
          <w:p w14:paraId="1A24448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1113" w:type="dxa"/>
            <w:gridSpan w:val="2"/>
            <w:tcBorders>
              <w:top w:val="single" w:sz="4" w:space="0" w:color="auto"/>
              <w:left w:val="nil"/>
              <w:bottom w:val="single" w:sz="4" w:space="0" w:color="auto"/>
              <w:right w:val="nil"/>
            </w:tcBorders>
            <w:shd w:val="clear" w:color="auto" w:fill="auto"/>
            <w:noWrap/>
            <w:vAlign w:val="bottom"/>
            <w:hideMark/>
          </w:tcPr>
          <w:p w14:paraId="7C65DA4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Opx</w:t>
            </w:r>
          </w:p>
        </w:tc>
        <w:tc>
          <w:tcPr>
            <w:tcW w:w="160" w:type="dxa"/>
            <w:tcBorders>
              <w:top w:val="nil"/>
              <w:left w:val="nil"/>
              <w:bottom w:val="nil"/>
              <w:right w:val="nil"/>
            </w:tcBorders>
            <w:shd w:val="clear" w:color="auto" w:fill="auto"/>
            <w:noWrap/>
            <w:vAlign w:val="bottom"/>
            <w:hideMark/>
          </w:tcPr>
          <w:p w14:paraId="6A7339C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1322" w:type="dxa"/>
            <w:gridSpan w:val="2"/>
            <w:tcBorders>
              <w:top w:val="single" w:sz="4" w:space="0" w:color="auto"/>
              <w:left w:val="nil"/>
              <w:bottom w:val="single" w:sz="4" w:space="0" w:color="auto"/>
              <w:right w:val="nil"/>
            </w:tcBorders>
            <w:shd w:val="clear" w:color="auto" w:fill="auto"/>
            <w:noWrap/>
            <w:vAlign w:val="bottom"/>
            <w:hideMark/>
          </w:tcPr>
          <w:p w14:paraId="617C171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Pl</w:t>
            </w:r>
          </w:p>
        </w:tc>
        <w:tc>
          <w:tcPr>
            <w:tcW w:w="160" w:type="dxa"/>
            <w:tcBorders>
              <w:top w:val="nil"/>
              <w:left w:val="nil"/>
              <w:bottom w:val="nil"/>
              <w:right w:val="nil"/>
            </w:tcBorders>
            <w:shd w:val="clear" w:color="auto" w:fill="auto"/>
            <w:noWrap/>
            <w:vAlign w:val="bottom"/>
            <w:hideMark/>
          </w:tcPr>
          <w:p w14:paraId="708F26CB" w14:textId="77777777" w:rsidR="00685D45" w:rsidRPr="00685D45" w:rsidRDefault="00685D45" w:rsidP="00685D45">
            <w:pPr>
              <w:jc w:val="center"/>
              <w:rPr>
                <w:rFonts w:eastAsia="Times New Roman"/>
                <w:color w:val="000000"/>
                <w:sz w:val="18"/>
                <w:szCs w:val="18"/>
                <w:lang w:val="fr-FR" w:eastAsia="fr-FR"/>
              </w:rPr>
            </w:pPr>
          </w:p>
        </w:tc>
        <w:tc>
          <w:tcPr>
            <w:tcW w:w="1649" w:type="dxa"/>
            <w:gridSpan w:val="2"/>
            <w:tcBorders>
              <w:top w:val="single" w:sz="4" w:space="0" w:color="auto"/>
              <w:left w:val="nil"/>
              <w:bottom w:val="single" w:sz="4" w:space="0" w:color="auto"/>
              <w:right w:val="nil"/>
            </w:tcBorders>
            <w:shd w:val="clear" w:color="auto" w:fill="auto"/>
            <w:noWrap/>
            <w:vAlign w:val="bottom"/>
            <w:hideMark/>
          </w:tcPr>
          <w:p w14:paraId="3ED03E9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Cpx</w:t>
            </w:r>
          </w:p>
        </w:tc>
        <w:tc>
          <w:tcPr>
            <w:tcW w:w="160" w:type="dxa"/>
            <w:tcBorders>
              <w:top w:val="single" w:sz="4" w:space="0" w:color="auto"/>
              <w:left w:val="nil"/>
              <w:bottom w:val="nil"/>
              <w:right w:val="nil"/>
            </w:tcBorders>
            <w:shd w:val="clear" w:color="auto" w:fill="auto"/>
            <w:noWrap/>
            <w:vAlign w:val="bottom"/>
            <w:hideMark/>
          </w:tcPr>
          <w:p w14:paraId="55FE290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969" w:type="dxa"/>
            <w:gridSpan w:val="2"/>
            <w:tcBorders>
              <w:top w:val="single" w:sz="4" w:space="0" w:color="auto"/>
              <w:left w:val="nil"/>
              <w:bottom w:val="single" w:sz="4" w:space="0" w:color="auto"/>
              <w:right w:val="nil"/>
            </w:tcBorders>
            <w:shd w:val="clear" w:color="auto" w:fill="auto"/>
            <w:noWrap/>
            <w:vAlign w:val="bottom"/>
            <w:hideMark/>
          </w:tcPr>
          <w:p w14:paraId="1277F8C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Pl</w:t>
            </w:r>
          </w:p>
        </w:tc>
      </w:tr>
      <w:tr w:rsidR="00F5165C" w:rsidRPr="00685D45" w14:paraId="790B3E3B" w14:textId="77777777" w:rsidTr="008F535D">
        <w:trPr>
          <w:cantSplit/>
          <w:trHeight w:val="20"/>
        </w:trPr>
        <w:tc>
          <w:tcPr>
            <w:tcW w:w="719" w:type="dxa"/>
            <w:tcBorders>
              <w:top w:val="nil"/>
              <w:left w:val="nil"/>
              <w:bottom w:val="nil"/>
              <w:right w:val="nil"/>
            </w:tcBorders>
            <w:shd w:val="clear" w:color="auto" w:fill="auto"/>
            <w:noWrap/>
            <w:vAlign w:val="center"/>
            <w:hideMark/>
          </w:tcPr>
          <w:p w14:paraId="268186D5" w14:textId="77777777" w:rsidR="00F5165C" w:rsidRPr="00685D45" w:rsidRDefault="00F5165C" w:rsidP="00685D45">
            <w:pPr>
              <w:jc w:val="center"/>
              <w:rPr>
                <w:rFonts w:eastAsia="Times New Roman"/>
                <w:color w:val="000000"/>
                <w:sz w:val="18"/>
                <w:szCs w:val="18"/>
                <w:lang w:val="fr-FR" w:eastAsia="fr-FR"/>
              </w:rPr>
            </w:pPr>
          </w:p>
        </w:tc>
        <w:tc>
          <w:tcPr>
            <w:tcW w:w="1570" w:type="dxa"/>
            <w:gridSpan w:val="2"/>
            <w:tcBorders>
              <w:top w:val="nil"/>
              <w:left w:val="nil"/>
              <w:bottom w:val="nil"/>
              <w:right w:val="nil"/>
            </w:tcBorders>
            <w:shd w:val="clear" w:color="auto" w:fill="auto"/>
            <w:noWrap/>
            <w:vAlign w:val="bottom"/>
            <w:hideMark/>
          </w:tcPr>
          <w:p w14:paraId="72DE380B" w14:textId="6FB8A1AE" w:rsidR="00F5165C" w:rsidRPr="00685D45" w:rsidRDefault="00F5165C"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Core</w:t>
            </w:r>
          </w:p>
        </w:tc>
        <w:tc>
          <w:tcPr>
            <w:tcW w:w="160" w:type="dxa"/>
            <w:tcBorders>
              <w:top w:val="nil"/>
              <w:left w:val="nil"/>
              <w:bottom w:val="nil"/>
              <w:right w:val="nil"/>
            </w:tcBorders>
            <w:shd w:val="clear" w:color="auto" w:fill="auto"/>
            <w:noWrap/>
            <w:vAlign w:val="bottom"/>
            <w:hideMark/>
          </w:tcPr>
          <w:p w14:paraId="5218E8B1" w14:textId="77777777" w:rsidR="00F5165C" w:rsidRPr="00685D45" w:rsidRDefault="00F5165C" w:rsidP="00685D45">
            <w:pPr>
              <w:jc w:val="center"/>
              <w:rPr>
                <w:rFonts w:eastAsia="Times New Roman"/>
                <w:color w:val="000000"/>
                <w:sz w:val="18"/>
                <w:szCs w:val="18"/>
                <w:lang w:val="fr-FR" w:eastAsia="fr-FR"/>
              </w:rPr>
            </w:pPr>
          </w:p>
        </w:tc>
        <w:tc>
          <w:tcPr>
            <w:tcW w:w="1300" w:type="dxa"/>
            <w:gridSpan w:val="2"/>
            <w:tcBorders>
              <w:top w:val="nil"/>
              <w:left w:val="nil"/>
              <w:bottom w:val="nil"/>
              <w:right w:val="nil"/>
            </w:tcBorders>
            <w:shd w:val="clear" w:color="auto" w:fill="auto"/>
            <w:noWrap/>
            <w:vAlign w:val="bottom"/>
            <w:hideMark/>
          </w:tcPr>
          <w:p w14:paraId="453C134C" w14:textId="6939582B" w:rsidR="00F5165C" w:rsidRPr="00685D45" w:rsidRDefault="00F5165C"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Core</w:t>
            </w:r>
          </w:p>
        </w:tc>
        <w:tc>
          <w:tcPr>
            <w:tcW w:w="160" w:type="dxa"/>
            <w:tcBorders>
              <w:top w:val="nil"/>
              <w:left w:val="nil"/>
              <w:bottom w:val="nil"/>
              <w:right w:val="nil"/>
            </w:tcBorders>
            <w:shd w:val="clear" w:color="auto" w:fill="auto"/>
            <w:noWrap/>
            <w:vAlign w:val="bottom"/>
            <w:hideMark/>
          </w:tcPr>
          <w:p w14:paraId="2CBD2067" w14:textId="77777777" w:rsidR="00F5165C" w:rsidRPr="00685D45" w:rsidRDefault="00F5165C" w:rsidP="00685D45">
            <w:pPr>
              <w:jc w:val="center"/>
              <w:rPr>
                <w:rFonts w:eastAsia="Times New Roman"/>
                <w:color w:val="000000"/>
                <w:sz w:val="18"/>
                <w:szCs w:val="18"/>
                <w:lang w:val="fr-FR" w:eastAsia="fr-FR"/>
              </w:rPr>
            </w:pPr>
          </w:p>
        </w:tc>
        <w:tc>
          <w:tcPr>
            <w:tcW w:w="1630" w:type="dxa"/>
            <w:gridSpan w:val="2"/>
            <w:tcBorders>
              <w:top w:val="nil"/>
              <w:left w:val="nil"/>
              <w:bottom w:val="nil"/>
              <w:right w:val="nil"/>
            </w:tcBorders>
            <w:shd w:val="clear" w:color="auto" w:fill="auto"/>
            <w:noWrap/>
            <w:vAlign w:val="bottom"/>
            <w:hideMark/>
          </w:tcPr>
          <w:p w14:paraId="4831BC12" w14:textId="6E5A0855" w:rsidR="00F5165C" w:rsidRPr="00685D45" w:rsidRDefault="00F5165C"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Core</w:t>
            </w:r>
          </w:p>
        </w:tc>
        <w:tc>
          <w:tcPr>
            <w:tcW w:w="160" w:type="dxa"/>
            <w:tcBorders>
              <w:top w:val="nil"/>
              <w:left w:val="nil"/>
              <w:bottom w:val="nil"/>
              <w:right w:val="nil"/>
            </w:tcBorders>
            <w:shd w:val="clear" w:color="auto" w:fill="auto"/>
            <w:noWrap/>
            <w:vAlign w:val="bottom"/>
            <w:hideMark/>
          </w:tcPr>
          <w:p w14:paraId="3708DEF9" w14:textId="77777777" w:rsidR="00F5165C" w:rsidRPr="00685D45" w:rsidRDefault="00F5165C" w:rsidP="00685D45">
            <w:pPr>
              <w:jc w:val="center"/>
              <w:rPr>
                <w:rFonts w:eastAsia="Times New Roman"/>
                <w:color w:val="000000"/>
                <w:sz w:val="18"/>
                <w:szCs w:val="18"/>
                <w:lang w:val="fr-FR" w:eastAsia="fr-FR"/>
              </w:rPr>
            </w:pPr>
          </w:p>
        </w:tc>
        <w:tc>
          <w:tcPr>
            <w:tcW w:w="1113" w:type="dxa"/>
            <w:gridSpan w:val="2"/>
            <w:tcBorders>
              <w:top w:val="nil"/>
              <w:left w:val="nil"/>
              <w:bottom w:val="nil"/>
              <w:right w:val="nil"/>
            </w:tcBorders>
            <w:shd w:val="clear" w:color="auto" w:fill="auto"/>
            <w:noWrap/>
            <w:vAlign w:val="bottom"/>
            <w:hideMark/>
          </w:tcPr>
          <w:p w14:paraId="51197469" w14:textId="58CB1710" w:rsidR="00F5165C" w:rsidRPr="00685D45" w:rsidRDefault="00F5165C"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Core</w:t>
            </w:r>
          </w:p>
        </w:tc>
        <w:tc>
          <w:tcPr>
            <w:tcW w:w="160" w:type="dxa"/>
            <w:tcBorders>
              <w:top w:val="nil"/>
              <w:left w:val="nil"/>
              <w:bottom w:val="nil"/>
              <w:right w:val="nil"/>
            </w:tcBorders>
            <w:shd w:val="clear" w:color="auto" w:fill="auto"/>
            <w:noWrap/>
            <w:vAlign w:val="bottom"/>
            <w:hideMark/>
          </w:tcPr>
          <w:p w14:paraId="5893CF56" w14:textId="77777777" w:rsidR="00F5165C" w:rsidRPr="00685D45" w:rsidRDefault="00F5165C" w:rsidP="00685D45">
            <w:pPr>
              <w:jc w:val="center"/>
              <w:rPr>
                <w:rFonts w:eastAsia="Times New Roman"/>
                <w:color w:val="000000"/>
                <w:sz w:val="18"/>
                <w:szCs w:val="18"/>
                <w:lang w:val="fr-FR" w:eastAsia="fr-FR"/>
              </w:rPr>
            </w:pPr>
          </w:p>
        </w:tc>
        <w:tc>
          <w:tcPr>
            <w:tcW w:w="1322" w:type="dxa"/>
            <w:gridSpan w:val="2"/>
            <w:tcBorders>
              <w:top w:val="nil"/>
              <w:left w:val="nil"/>
              <w:bottom w:val="nil"/>
              <w:right w:val="nil"/>
            </w:tcBorders>
            <w:shd w:val="clear" w:color="auto" w:fill="auto"/>
            <w:noWrap/>
            <w:vAlign w:val="bottom"/>
            <w:hideMark/>
          </w:tcPr>
          <w:p w14:paraId="65888292" w14:textId="064B49E2" w:rsidR="00F5165C" w:rsidRPr="00685D45" w:rsidRDefault="00F5165C"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Core</w:t>
            </w:r>
          </w:p>
        </w:tc>
        <w:tc>
          <w:tcPr>
            <w:tcW w:w="160" w:type="dxa"/>
            <w:tcBorders>
              <w:top w:val="nil"/>
              <w:left w:val="nil"/>
              <w:bottom w:val="nil"/>
              <w:right w:val="nil"/>
            </w:tcBorders>
            <w:shd w:val="clear" w:color="auto" w:fill="auto"/>
            <w:noWrap/>
            <w:vAlign w:val="bottom"/>
            <w:hideMark/>
          </w:tcPr>
          <w:p w14:paraId="41060750" w14:textId="77777777" w:rsidR="00F5165C" w:rsidRPr="00685D45" w:rsidRDefault="00F5165C" w:rsidP="00685D45">
            <w:pPr>
              <w:jc w:val="center"/>
              <w:rPr>
                <w:rFonts w:eastAsia="Times New Roman"/>
                <w:color w:val="000000"/>
                <w:sz w:val="18"/>
                <w:szCs w:val="18"/>
                <w:lang w:val="fr-FR" w:eastAsia="fr-FR"/>
              </w:rPr>
            </w:pPr>
          </w:p>
        </w:tc>
        <w:tc>
          <w:tcPr>
            <w:tcW w:w="1649" w:type="dxa"/>
            <w:gridSpan w:val="2"/>
            <w:tcBorders>
              <w:top w:val="nil"/>
              <w:left w:val="nil"/>
              <w:bottom w:val="nil"/>
              <w:right w:val="nil"/>
            </w:tcBorders>
            <w:shd w:val="clear" w:color="auto" w:fill="auto"/>
            <w:noWrap/>
            <w:vAlign w:val="bottom"/>
            <w:hideMark/>
          </w:tcPr>
          <w:p w14:paraId="59D4AFA3" w14:textId="61BA72C0" w:rsidR="00F5165C" w:rsidRPr="00685D45" w:rsidRDefault="00F5165C"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Core</w:t>
            </w:r>
          </w:p>
        </w:tc>
        <w:tc>
          <w:tcPr>
            <w:tcW w:w="160" w:type="dxa"/>
            <w:tcBorders>
              <w:top w:val="nil"/>
              <w:left w:val="nil"/>
              <w:bottom w:val="nil"/>
              <w:right w:val="nil"/>
            </w:tcBorders>
            <w:shd w:val="clear" w:color="auto" w:fill="auto"/>
            <w:noWrap/>
            <w:vAlign w:val="bottom"/>
            <w:hideMark/>
          </w:tcPr>
          <w:p w14:paraId="4F62DDE0" w14:textId="77777777" w:rsidR="00F5165C" w:rsidRPr="00685D45" w:rsidRDefault="00F5165C" w:rsidP="00685D45">
            <w:pPr>
              <w:jc w:val="center"/>
              <w:rPr>
                <w:rFonts w:eastAsia="Times New Roman"/>
                <w:color w:val="000000"/>
                <w:sz w:val="18"/>
                <w:szCs w:val="18"/>
                <w:lang w:val="fr-FR" w:eastAsia="fr-FR"/>
              </w:rPr>
            </w:pPr>
          </w:p>
        </w:tc>
        <w:tc>
          <w:tcPr>
            <w:tcW w:w="969" w:type="dxa"/>
            <w:gridSpan w:val="2"/>
            <w:tcBorders>
              <w:top w:val="nil"/>
              <w:left w:val="nil"/>
              <w:bottom w:val="nil"/>
              <w:right w:val="nil"/>
            </w:tcBorders>
            <w:shd w:val="clear" w:color="auto" w:fill="auto"/>
            <w:noWrap/>
            <w:vAlign w:val="bottom"/>
            <w:hideMark/>
          </w:tcPr>
          <w:p w14:paraId="13E7304B" w14:textId="162BEA46" w:rsidR="00F5165C" w:rsidRPr="00685D45" w:rsidRDefault="00F5165C"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Core</w:t>
            </w:r>
          </w:p>
        </w:tc>
      </w:tr>
      <w:tr w:rsidR="00685D45" w:rsidRPr="00685D45" w14:paraId="2A273E4B" w14:textId="77777777" w:rsidTr="00F5165C">
        <w:trPr>
          <w:cantSplit/>
          <w:trHeight w:val="20"/>
        </w:trPr>
        <w:tc>
          <w:tcPr>
            <w:tcW w:w="719" w:type="dxa"/>
            <w:tcBorders>
              <w:top w:val="nil"/>
              <w:left w:val="nil"/>
              <w:bottom w:val="single" w:sz="4" w:space="0" w:color="auto"/>
              <w:right w:val="nil"/>
            </w:tcBorders>
            <w:shd w:val="clear" w:color="auto" w:fill="auto"/>
            <w:noWrap/>
            <w:vAlign w:val="center"/>
            <w:hideMark/>
          </w:tcPr>
          <w:p w14:paraId="3F5F4A01" w14:textId="447A8C49" w:rsidR="00685D45" w:rsidRPr="00685D45" w:rsidRDefault="00685D45" w:rsidP="00F5165C">
            <w:pPr>
              <w:jc w:val="center"/>
              <w:rPr>
                <w:rFonts w:eastAsia="Times New Roman"/>
                <w:color w:val="000000"/>
                <w:sz w:val="18"/>
                <w:szCs w:val="18"/>
                <w:lang w:val="fr-FR" w:eastAsia="fr-FR"/>
              </w:rPr>
            </w:pPr>
          </w:p>
        </w:tc>
        <w:tc>
          <w:tcPr>
            <w:tcW w:w="785" w:type="dxa"/>
            <w:tcBorders>
              <w:top w:val="nil"/>
              <w:left w:val="nil"/>
              <w:bottom w:val="single" w:sz="4" w:space="0" w:color="auto"/>
              <w:right w:val="nil"/>
            </w:tcBorders>
            <w:shd w:val="clear" w:color="auto" w:fill="auto"/>
            <w:noWrap/>
            <w:vAlign w:val="center"/>
            <w:hideMark/>
          </w:tcPr>
          <w:p w14:paraId="45A6E9D8" w14:textId="5A3154F2" w:rsidR="00685D45" w:rsidRPr="00685D45" w:rsidRDefault="005227D8" w:rsidP="00F5165C">
            <w:pPr>
              <w:jc w:val="center"/>
              <w:rPr>
                <w:rFonts w:eastAsia="Times New Roman"/>
                <w:color w:val="000000"/>
                <w:sz w:val="18"/>
                <w:szCs w:val="18"/>
                <w:lang w:val="fr-FR" w:eastAsia="fr-FR"/>
              </w:rPr>
            </w:pPr>
            <w:r>
              <w:rPr>
                <w:rFonts w:eastAsia="Times New Roman"/>
                <w:color w:val="000000"/>
                <w:sz w:val="18"/>
                <w:szCs w:val="18"/>
                <w:lang w:val="fr-FR" w:eastAsia="fr-FR"/>
              </w:rPr>
              <w:t>(</w:t>
            </w:r>
            <w:r w:rsidR="00685D45" w:rsidRPr="00685D45">
              <w:rPr>
                <w:rFonts w:eastAsia="Times New Roman"/>
                <w:color w:val="000000"/>
                <w:sz w:val="18"/>
                <w:szCs w:val="18"/>
                <w:lang w:val="fr-FR" w:eastAsia="fr-FR"/>
              </w:rPr>
              <w:t>n=11</w:t>
            </w:r>
            <w:r>
              <w:rPr>
                <w:rFonts w:eastAsia="Times New Roman"/>
                <w:color w:val="000000"/>
                <w:sz w:val="18"/>
                <w:szCs w:val="18"/>
                <w:lang w:val="fr-FR" w:eastAsia="fr-FR"/>
              </w:rPr>
              <w:t>)</w:t>
            </w:r>
          </w:p>
        </w:tc>
        <w:tc>
          <w:tcPr>
            <w:tcW w:w="785" w:type="dxa"/>
            <w:tcBorders>
              <w:top w:val="nil"/>
              <w:left w:val="nil"/>
              <w:bottom w:val="single" w:sz="4" w:space="0" w:color="auto"/>
              <w:right w:val="nil"/>
            </w:tcBorders>
            <w:shd w:val="clear" w:color="auto" w:fill="auto"/>
            <w:noWrap/>
            <w:vAlign w:val="center"/>
            <w:hideMark/>
          </w:tcPr>
          <w:p w14:paraId="2F65E95F" w14:textId="2DC73AD9" w:rsidR="00685D45" w:rsidRPr="00685D45" w:rsidRDefault="00F5165C" w:rsidP="00F5165C">
            <w:pPr>
              <w:jc w:val="center"/>
              <w:rPr>
                <w:rFonts w:ascii="Calibri" w:eastAsia="Times New Roman" w:hAnsi="Calibri"/>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single" w:sz="4" w:space="0" w:color="auto"/>
              <w:right w:val="nil"/>
            </w:tcBorders>
            <w:shd w:val="clear" w:color="auto" w:fill="auto"/>
            <w:noWrap/>
            <w:vAlign w:val="center"/>
            <w:hideMark/>
          </w:tcPr>
          <w:p w14:paraId="73B6BC8C" w14:textId="2C64AEE7" w:rsidR="00685D45" w:rsidRPr="00685D45" w:rsidRDefault="00685D45" w:rsidP="00F5165C">
            <w:pPr>
              <w:jc w:val="center"/>
              <w:rPr>
                <w:rFonts w:ascii="Calibri" w:eastAsia="Times New Roman" w:hAnsi="Calibri"/>
                <w:color w:val="000000"/>
                <w:sz w:val="18"/>
                <w:szCs w:val="18"/>
                <w:lang w:val="fr-FR" w:eastAsia="fr-FR"/>
              </w:rPr>
            </w:pPr>
          </w:p>
        </w:tc>
        <w:tc>
          <w:tcPr>
            <w:tcW w:w="650" w:type="dxa"/>
            <w:tcBorders>
              <w:top w:val="nil"/>
              <w:left w:val="nil"/>
              <w:bottom w:val="single" w:sz="4" w:space="0" w:color="auto"/>
              <w:right w:val="nil"/>
            </w:tcBorders>
            <w:shd w:val="clear" w:color="auto" w:fill="auto"/>
            <w:noWrap/>
            <w:vAlign w:val="center"/>
            <w:hideMark/>
          </w:tcPr>
          <w:p w14:paraId="446C3B4C" w14:textId="2FE5A594" w:rsidR="00685D45" w:rsidRPr="00685D45" w:rsidRDefault="005227D8" w:rsidP="00F5165C">
            <w:pPr>
              <w:jc w:val="center"/>
              <w:rPr>
                <w:rFonts w:eastAsia="Times New Roman"/>
                <w:color w:val="000000"/>
                <w:sz w:val="18"/>
                <w:szCs w:val="18"/>
                <w:lang w:val="fr-FR" w:eastAsia="fr-FR"/>
              </w:rPr>
            </w:pPr>
            <w:r>
              <w:rPr>
                <w:rFonts w:eastAsia="Times New Roman"/>
                <w:color w:val="000000"/>
                <w:sz w:val="18"/>
                <w:szCs w:val="18"/>
                <w:lang w:val="fr-FR" w:eastAsia="fr-FR"/>
              </w:rPr>
              <w:t>(</w:t>
            </w:r>
            <w:r w:rsidR="00685D45" w:rsidRPr="00685D45">
              <w:rPr>
                <w:rFonts w:eastAsia="Times New Roman"/>
                <w:color w:val="000000"/>
                <w:sz w:val="18"/>
                <w:szCs w:val="18"/>
                <w:lang w:val="fr-FR" w:eastAsia="fr-FR"/>
              </w:rPr>
              <w:t>n=2</w:t>
            </w:r>
            <w:r>
              <w:rPr>
                <w:rFonts w:eastAsia="Times New Roman"/>
                <w:color w:val="000000"/>
                <w:sz w:val="18"/>
                <w:szCs w:val="18"/>
                <w:lang w:val="fr-FR" w:eastAsia="fr-FR"/>
              </w:rPr>
              <w:t>)</w:t>
            </w:r>
          </w:p>
        </w:tc>
        <w:tc>
          <w:tcPr>
            <w:tcW w:w="650" w:type="dxa"/>
            <w:tcBorders>
              <w:top w:val="nil"/>
              <w:left w:val="nil"/>
              <w:bottom w:val="single" w:sz="4" w:space="0" w:color="auto"/>
              <w:right w:val="nil"/>
            </w:tcBorders>
            <w:shd w:val="clear" w:color="auto" w:fill="auto"/>
            <w:noWrap/>
            <w:vAlign w:val="center"/>
            <w:hideMark/>
          </w:tcPr>
          <w:p w14:paraId="072BB6F1" w14:textId="4F29723E" w:rsidR="00685D45" w:rsidRPr="00685D45" w:rsidRDefault="00F5165C" w:rsidP="00F5165C">
            <w:pPr>
              <w:jc w:val="center"/>
              <w:rPr>
                <w:rFonts w:ascii="Calibri" w:eastAsia="Times New Roman" w:hAnsi="Calibri"/>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single" w:sz="4" w:space="0" w:color="auto"/>
              <w:right w:val="nil"/>
            </w:tcBorders>
            <w:shd w:val="clear" w:color="auto" w:fill="auto"/>
            <w:noWrap/>
            <w:vAlign w:val="center"/>
            <w:hideMark/>
          </w:tcPr>
          <w:p w14:paraId="3315F758" w14:textId="2D969A5A" w:rsidR="00685D45" w:rsidRPr="00685D45" w:rsidRDefault="00685D45" w:rsidP="00F5165C">
            <w:pPr>
              <w:jc w:val="center"/>
              <w:rPr>
                <w:rFonts w:eastAsia="Times New Roman"/>
                <w:color w:val="000000"/>
                <w:sz w:val="18"/>
                <w:szCs w:val="18"/>
                <w:lang w:val="fr-FR" w:eastAsia="fr-FR"/>
              </w:rPr>
            </w:pPr>
          </w:p>
        </w:tc>
        <w:tc>
          <w:tcPr>
            <w:tcW w:w="890" w:type="dxa"/>
            <w:tcBorders>
              <w:top w:val="nil"/>
              <w:left w:val="nil"/>
              <w:bottom w:val="single" w:sz="4" w:space="0" w:color="auto"/>
              <w:right w:val="nil"/>
            </w:tcBorders>
            <w:shd w:val="clear" w:color="auto" w:fill="auto"/>
            <w:noWrap/>
            <w:vAlign w:val="center"/>
            <w:hideMark/>
          </w:tcPr>
          <w:p w14:paraId="6CBEC2DB" w14:textId="67698D9F" w:rsidR="00685D45" w:rsidRPr="00685D45" w:rsidRDefault="005227D8" w:rsidP="00F5165C">
            <w:pPr>
              <w:jc w:val="center"/>
              <w:rPr>
                <w:rFonts w:eastAsia="Times New Roman"/>
                <w:color w:val="000000"/>
                <w:sz w:val="18"/>
                <w:szCs w:val="18"/>
                <w:lang w:val="fr-FR" w:eastAsia="fr-FR"/>
              </w:rPr>
            </w:pPr>
            <w:r>
              <w:rPr>
                <w:rFonts w:eastAsia="Times New Roman"/>
                <w:color w:val="000000"/>
                <w:sz w:val="18"/>
                <w:szCs w:val="18"/>
                <w:lang w:val="fr-FR" w:eastAsia="fr-FR"/>
              </w:rPr>
              <w:t>(</w:t>
            </w:r>
            <w:r w:rsidR="00685D45" w:rsidRPr="00685D45">
              <w:rPr>
                <w:rFonts w:eastAsia="Times New Roman"/>
                <w:color w:val="000000"/>
                <w:sz w:val="18"/>
                <w:szCs w:val="18"/>
                <w:lang w:val="fr-FR" w:eastAsia="fr-FR"/>
              </w:rPr>
              <w:t>n=10</w:t>
            </w:r>
            <w:r>
              <w:rPr>
                <w:rFonts w:eastAsia="Times New Roman"/>
                <w:color w:val="000000"/>
                <w:sz w:val="18"/>
                <w:szCs w:val="18"/>
                <w:lang w:val="fr-FR" w:eastAsia="fr-FR"/>
              </w:rPr>
              <w:t>)</w:t>
            </w:r>
          </w:p>
        </w:tc>
        <w:tc>
          <w:tcPr>
            <w:tcW w:w="740" w:type="dxa"/>
            <w:tcBorders>
              <w:top w:val="nil"/>
              <w:left w:val="nil"/>
              <w:bottom w:val="single" w:sz="4" w:space="0" w:color="auto"/>
              <w:right w:val="nil"/>
            </w:tcBorders>
            <w:shd w:val="clear" w:color="auto" w:fill="auto"/>
            <w:noWrap/>
            <w:vAlign w:val="center"/>
            <w:hideMark/>
          </w:tcPr>
          <w:p w14:paraId="6D464E3B" w14:textId="0410A572" w:rsidR="00685D45" w:rsidRPr="00685D45" w:rsidRDefault="00F5165C" w:rsidP="00F5165C">
            <w:pPr>
              <w:jc w:val="center"/>
              <w:rPr>
                <w:rFonts w:ascii="Calibri" w:eastAsia="Times New Roman" w:hAnsi="Calibri"/>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single" w:sz="4" w:space="0" w:color="auto"/>
              <w:right w:val="nil"/>
            </w:tcBorders>
            <w:shd w:val="clear" w:color="auto" w:fill="auto"/>
            <w:noWrap/>
            <w:vAlign w:val="center"/>
            <w:hideMark/>
          </w:tcPr>
          <w:p w14:paraId="3D34253F" w14:textId="05AC3EA6" w:rsidR="00685D45" w:rsidRPr="00685D45" w:rsidRDefault="00685D45" w:rsidP="00F5165C">
            <w:pPr>
              <w:jc w:val="center"/>
              <w:rPr>
                <w:rFonts w:ascii="Calibri" w:eastAsia="Times New Roman" w:hAnsi="Calibri"/>
                <w:color w:val="000000"/>
                <w:sz w:val="18"/>
                <w:szCs w:val="18"/>
                <w:lang w:val="fr-FR" w:eastAsia="fr-FR"/>
              </w:rPr>
            </w:pPr>
          </w:p>
        </w:tc>
        <w:tc>
          <w:tcPr>
            <w:tcW w:w="894" w:type="dxa"/>
            <w:tcBorders>
              <w:top w:val="nil"/>
              <w:left w:val="nil"/>
              <w:bottom w:val="single" w:sz="4" w:space="0" w:color="auto"/>
              <w:right w:val="nil"/>
            </w:tcBorders>
            <w:shd w:val="clear" w:color="auto" w:fill="auto"/>
            <w:noWrap/>
            <w:vAlign w:val="center"/>
            <w:hideMark/>
          </w:tcPr>
          <w:p w14:paraId="1485A673" w14:textId="3E704D56" w:rsidR="00685D45" w:rsidRPr="00685D45" w:rsidRDefault="005227D8" w:rsidP="00F5165C">
            <w:pPr>
              <w:jc w:val="center"/>
              <w:rPr>
                <w:rFonts w:eastAsia="Times New Roman"/>
                <w:color w:val="000000"/>
                <w:sz w:val="18"/>
                <w:szCs w:val="18"/>
                <w:lang w:val="fr-FR" w:eastAsia="fr-FR"/>
              </w:rPr>
            </w:pPr>
            <w:r>
              <w:rPr>
                <w:rFonts w:eastAsia="Times New Roman"/>
                <w:color w:val="000000"/>
                <w:sz w:val="18"/>
                <w:szCs w:val="18"/>
                <w:lang w:val="fr-FR" w:eastAsia="fr-FR"/>
              </w:rPr>
              <w:t>(</w:t>
            </w:r>
            <w:r w:rsidR="00685D45" w:rsidRPr="00685D45">
              <w:rPr>
                <w:rFonts w:eastAsia="Times New Roman"/>
                <w:color w:val="000000"/>
                <w:sz w:val="18"/>
                <w:szCs w:val="18"/>
                <w:lang w:val="fr-FR" w:eastAsia="fr-FR"/>
              </w:rPr>
              <w:t>n=1</w:t>
            </w:r>
            <w:r>
              <w:rPr>
                <w:rFonts w:eastAsia="Times New Roman"/>
                <w:color w:val="000000"/>
                <w:sz w:val="18"/>
                <w:szCs w:val="18"/>
                <w:lang w:val="fr-FR" w:eastAsia="fr-FR"/>
              </w:rPr>
              <w:t>)</w:t>
            </w:r>
          </w:p>
        </w:tc>
        <w:tc>
          <w:tcPr>
            <w:tcW w:w="219" w:type="dxa"/>
            <w:tcBorders>
              <w:top w:val="nil"/>
              <w:left w:val="nil"/>
              <w:bottom w:val="single" w:sz="4" w:space="0" w:color="auto"/>
              <w:right w:val="nil"/>
            </w:tcBorders>
            <w:shd w:val="clear" w:color="auto" w:fill="auto"/>
            <w:noWrap/>
            <w:vAlign w:val="center"/>
            <w:hideMark/>
          </w:tcPr>
          <w:p w14:paraId="664F44F8" w14:textId="0DA7AFA1" w:rsidR="00685D45" w:rsidRPr="00685D45" w:rsidRDefault="00F5165C" w:rsidP="00F5165C">
            <w:pPr>
              <w:jc w:val="center"/>
              <w:rPr>
                <w:rFonts w:ascii="Calibri" w:eastAsia="Times New Roman" w:hAnsi="Calibri"/>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single" w:sz="4" w:space="0" w:color="auto"/>
              <w:right w:val="nil"/>
            </w:tcBorders>
            <w:shd w:val="clear" w:color="auto" w:fill="auto"/>
            <w:noWrap/>
            <w:vAlign w:val="center"/>
            <w:hideMark/>
          </w:tcPr>
          <w:p w14:paraId="0A15CAF8" w14:textId="3BEC1283" w:rsidR="00685D45" w:rsidRPr="00685D45" w:rsidRDefault="00685D45" w:rsidP="00F5165C">
            <w:pPr>
              <w:jc w:val="center"/>
              <w:rPr>
                <w:rFonts w:ascii="Calibri" w:eastAsia="Times New Roman" w:hAnsi="Calibri"/>
                <w:color w:val="000000"/>
                <w:sz w:val="18"/>
                <w:szCs w:val="18"/>
                <w:lang w:val="fr-FR" w:eastAsia="fr-FR"/>
              </w:rPr>
            </w:pPr>
          </w:p>
        </w:tc>
        <w:tc>
          <w:tcPr>
            <w:tcW w:w="737" w:type="dxa"/>
            <w:tcBorders>
              <w:top w:val="nil"/>
              <w:left w:val="nil"/>
              <w:bottom w:val="single" w:sz="4" w:space="0" w:color="auto"/>
              <w:right w:val="nil"/>
            </w:tcBorders>
            <w:shd w:val="clear" w:color="auto" w:fill="auto"/>
            <w:noWrap/>
            <w:vAlign w:val="center"/>
            <w:hideMark/>
          </w:tcPr>
          <w:p w14:paraId="01183CA7" w14:textId="2896C8A1" w:rsidR="00685D45" w:rsidRPr="00685D45" w:rsidRDefault="005227D8" w:rsidP="00F5165C">
            <w:pPr>
              <w:jc w:val="center"/>
              <w:rPr>
                <w:rFonts w:eastAsia="Times New Roman"/>
                <w:color w:val="000000"/>
                <w:sz w:val="18"/>
                <w:szCs w:val="18"/>
                <w:lang w:val="fr-FR" w:eastAsia="fr-FR"/>
              </w:rPr>
            </w:pPr>
            <w:r>
              <w:rPr>
                <w:rFonts w:eastAsia="Times New Roman"/>
                <w:color w:val="000000"/>
                <w:sz w:val="18"/>
                <w:szCs w:val="18"/>
                <w:lang w:val="fr-FR" w:eastAsia="fr-FR"/>
              </w:rPr>
              <w:t>(</w:t>
            </w:r>
            <w:r w:rsidR="00685D45" w:rsidRPr="00685D45">
              <w:rPr>
                <w:rFonts w:eastAsia="Times New Roman"/>
                <w:color w:val="000000"/>
                <w:sz w:val="18"/>
                <w:szCs w:val="18"/>
                <w:lang w:val="fr-FR" w:eastAsia="fr-FR"/>
              </w:rPr>
              <w:t>n=3</w:t>
            </w:r>
            <w:r>
              <w:rPr>
                <w:rFonts w:eastAsia="Times New Roman"/>
                <w:color w:val="000000"/>
                <w:sz w:val="18"/>
                <w:szCs w:val="18"/>
                <w:lang w:val="fr-FR" w:eastAsia="fr-FR"/>
              </w:rPr>
              <w:t>)</w:t>
            </w:r>
          </w:p>
        </w:tc>
        <w:tc>
          <w:tcPr>
            <w:tcW w:w="585" w:type="dxa"/>
            <w:tcBorders>
              <w:top w:val="nil"/>
              <w:left w:val="nil"/>
              <w:bottom w:val="single" w:sz="4" w:space="0" w:color="auto"/>
              <w:right w:val="nil"/>
            </w:tcBorders>
            <w:shd w:val="clear" w:color="auto" w:fill="auto"/>
            <w:noWrap/>
            <w:vAlign w:val="center"/>
            <w:hideMark/>
          </w:tcPr>
          <w:p w14:paraId="19DB7AC2" w14:textId="75096337" w:rsidR="00685D45" w:rsidRPr="00685D45" w:rsidRDefault="00F5165C" w:rsidP="00F5165C">
            <w:pPr>
              <w:jc w:val="center"/>
              <w:rPr>
                <w:rFonts w:ascii="Calibri" w:eastAsia="Times New Roman" w:hAnsi="Calibri"/>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single" w:sz="4" w:space="0" w:color="auto"/>
              <w:right w:val="nil"/>
            </w:tcBorders>
            <w:shd w:val="clear" w:color="auto" w:fill="auto"/>
            <w:noWrap/>
            <w:vAlign w:val="center"/>
            <w:hideMark/>
          </w:tcPr>
          <w:p w14:paraId="14011EC6" w14:textId="6A8F0BDF" w:rsidR="00685D45" w:rsidRPr="00685D45" w:rsidRDefault="00685D45" w:rsidP="00F5165C">
            <w:pPr>
              <w:jc w:val="center"/>
              <w:rPr>
                <w:rFonts w:eastAsia="Times New Roman"/>
                <w:color w:val="000000"/>
                <w:sz w:val="18"/>
                <w:szCs w:val="18"/>
                <w:lang w:val="fr-FR" w:eastAsia="fr-FR"/>
              </w:rPr>
            </w:pPr>
          </w:p>
        </w:tc>
        <w:tc>
          <w:tcPr>
            <w:tcW w:w="902" w:type="dxa"/>
            <w:tcBorders>
              <w:top w:val="nil"/>
              <w:left w:val="nil"/>
              <w:bottom w:val="single" w:sz="4" w:space="0" w:color="auto"/>
              <w:right w:val="nil"/>
            </w:tcBorders>
            <w:shd w:val="clear" w:color="auto" w:fill="auto"/>
            <w:noWrap/>
            <w:vAlign w:val="center"/>
            <w:hideMark/>
          </w:tcPr>
          <w:p w14:paraId="0A065D0D" w14:textId="5995E5E1" w:rsidR="00685D45" w:rsidRPr="00685D45" w:rsidRDefault="005227D8" w:rsidP="00F5165C">
            <w:pPr>
              <w:jc w:val="center"/>
              <w:rPr>
                <w:rFonts w:eastAsia="Times New Roman"/>
                <w:color w:val="000000"/>
                <w:sz w:val="18"/>
                <w:szCs w:val="18"/>
                <w:lang w:val="fr-FR" w:eastAsia="fr-FR"/>
              </w:rPr>
            </w:pPr>
            <w:r>
              <w:rPr>
                <w:rFonts w:eastAsia="Times New Roman"/>
                <w:color w:val="000000"/>
                <w:sz w:val="18"/>
                <w:szCs w:val="18"/>
                <w:lang w:val="fr-FR" w:eastAsia="fr-FR"/>
              </w:rPr>
              <w:t>(</w:t>
            </w:r>
            <w:r w:rsidR="00685D45" w:rsidRPr="00685D45">
              <w:rPr>
                <w:rFonts w:eastAsia="Times New Roman"/>
                <w:color w:val="000000"/>
                <w:sz w:val="18"/>
                <w:szCs w:val="18"/>
                <w:lang w:val="fr-FR" w:eastAsia="fr-FR"/>
              </w:rPr>
              <w:t>n=6</w:t>
            </w:r>
            <w:r>
              <w:rPr>
                <w:rFonts w:eastAsia="Times New Roman"/>
                <w:color w:val="000000"/>
                <w:sz w:val="18"/>
                <w:szCs w:val="18"/>
                <w:lang w:val="fr-FR" w:eastAsia="fr-FR"/>
              </w:rPr>
              <w:t>)</w:t>
            </w:r>
          </w:p>
        </w:tc>
        <w:tc>
          <w:tcPr>
            <w:tcW w:w="747" w:type="dxa"/>
            <w:tcBorders>
              <w:top w:val="nil"/>
              <w:left w:val="nil"/>
              <w:bottom w:val="single" w:sz="4" w:space="0" w:color="auto"/>
              <w:right w:val="nil"/>
            </w:tcBorders>
            <w:shd w:val="clear" w:color="auto" w:fill="auto"/>
            <w:noWrap/>
            <w:vAlign w:val="center"/>
            <w:hideMark/>
          </w:tcPr>
          <w:p w14:paraId="312C5FA7" w14:textId="043029DF" w:rsidR="00685D45" w:rsidRPr="00685D45" w:rsidRDefault="00F5165C" w:rsidP="00F5165C">
            <w:pPr>
              <w:jc w:val="center"/>
              <w:rPr>
                <w:rFonts w:ascii="Calibri" w:eastAsia="Times New Roman" w:hAnsi="Calibri"/>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single" w:sz="4" w:space="0" w:color="auto"/>
              <w:right w:val="nil"/>
            </w:tcBorders>
            <w:shd w:val="clear" w:color="auto" w:fill="auto"/>
            <w:noWrap/>
            <w:vAlign w:val="center"/>
            <w:hideMark/>
          </w:tcPr>
          <w:p w14:paraId="0E5E540A" w14:textId="0CC75384" w:rsidR="00685D45" w:rsidRPr="00685D45" w:rsidRDefault="00685D45" w:rsidP="00F5165C">
            <w:pPr>
              <w:jc w:val="center"/>
              <w:rPr>
                <w:rFonts w:ascii="Calibri" w:eastAsia="Times New Roman" w:hAnsi="Calibri"/>
                <w:color w:val="000000"/>
                <w:sz w:val="18"/>
                <w:szCs w:val="18"/>
                <w:lang w:val="fr-FR" w:eastAsia="fr-FR"/>
              </w:rPr>
            </w:pPr>
          </w:p>
        </w:tc>
        <w:tc>
          <w:tcPr>
            <w:tcW w:w="747" w:type="dxa"/>
            <w:tcBorders>
              <w:top w:val="nil"/>
              <w:left w:val="nil"/>
              <w:bottom w:val="single" w:sz="4" w:space="0" w:color="auto"/>
              <w:right w:val="nil"/>
            </w:tcBorders>
            <w:shd w:val="clear" w:color="auto" w:fill="auto"/>
            <w:noWrap/>
            <w:vAlign w:val="center"/>
            <w:hideMark/>
          </w:tcPr>
          <w:p w14:paraId="53CAAE9A" w14:textId="43FE8F47" w:rsidR="00685D45" w:rsidRPr="00685D45" w:rsidRDefault="005227D8" w:rsidP="00F5165C">
            <w:pPr>
              <w:jc w:val="center"/>
              <w:rPr>
                <w:rFonts w:eastAsia="Times New Roman"/>
                <w:color w:val="000000"/>
                <w:sz w:val="18"/>
                <w:szCs w:val="18"/>
                <w:lang w:val="fr-FR" w:eastAsia="fr-FR"/>
              </w:rPr>
            </w:pPr>
            <w:r>
              <w:rPr>
                <w:rFonts w:eastAsia="Times New Roman"/>
                <w:color w:val="000000"/>
                <w:sz w:val="18"/>
                <w:szCs w:val="18"/>
                <w:lang w:val="fr-FR" w:eastAsia="fr-FR"/>
              </w:rPr>
              <w:t>(</w:t>
            </w:r>
            <w:r w:rsidR="00685D45" w:rsidRPr="00685D45">
              <w:rPr>
                <w:rFonts w:eastAsia="Times New Roman"/>
                <w:color w:val="000000"/>
                <w:sz w:val="18"/>
                <w:szCs w:val="18"/>
                <w:lang w:val="fr-FR" w:eastAsia="fr-FR"/>
              </w:rPr>
              <w:t>n=1</w:t>
            </w:r>
            <w:r>
              <w:rPr>
                <w:rFonts w:eastAsia="Times New Roman"/>
                <w:color w:val="000000"/>
                <w:sz w:val="18"/>
                <w:szCs w:val="18"/>
                <w:lang w:val="fr-FR" w:eastAsia="fr-FR"/>
              </w:rPr>
              <w:t>)</w:t>
            </w:r>
          </w:p>
        </w:tc>
        <w:tc>
          <w:tcPr>
            <w:tcW w:w="222" w:type="dxa"/>
            <w:tcBorders>
              <w:top w:val="nil"/>
              <w:left w:val="nil"/>
              <w:bottom w:val="single" w:sz="4" w:space="0" w:color="auto"/>
              <w:right w:val="nil"/>
            </w:tcBorders>
            <w:shd w:val="clear" w:color="auto" w:fill="auto"/>
            <w:noWrap/>
            <w:vAlign w:val="center"/>
            <w:hideMark/>
          </w:tcPr>
          <w:p w14:paraId="21993D86" w14:textId="46C31146" w:rsidR="00685D45" w:rsidRPr="00685D45" w:rsidRDefault="00F5165C" w:rsidP="00F5165C">
            <w:pPr>
              <w:jc w:val="center"/>
              <w:rPr>
                <w:rFonts w:ascii="Calibri" w:eastAsia="Times New Roman" w:hAnsi="Calibri"/>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20205B67" w14:textId="77777777" w:rsidTr="00BC735C">
        <w:trPr>
          <w:cantSplit/>
          <w:trHeight w:val="20"/>
        </w:trPr>
        <w:tc>
          <w:tcPr>
            <w:tcW w:w="719" w:type="dxa"/>
            <w:tcBorders>
              <w:top w:val="nil"/>
              <w:left w:val="nil"/>
              <w:bottom w:val="nil"/>
              <w:right w:val="nil"/>
            </w:tcBorders>
            <w:shd w:val="clear" w:color="auto" w:fill="auto"/>
            <w:noWrap/>
            <w:vAlign w:val="bottom"/>
            <w:hideMark/>
          </w:tcPr>
          <w:p w14:paraId="3E8D9A2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Sc</w:t>
            </w:r>
          </w:p>
        </w:tc>
        <w:tc>
          <w:tcPr>
            <w:tcW w:w="785" w:type="dxa"/>
            <w:tcBorders>
              <w:top w:val="nil"/>
              <w:left w:val="nil"/>
              <w:bottom w:val="nil"/>
              <w:right w:val="nil"/>
            </w:tcBorders>
            <w:shd w:val="clear" w:color="auto" w:fill="auto"/>
            <w:noWrap/>
            <w:vAlign w:val="bottom"/>
            <w:hideMark/>
          </w:tcPr>
          <w:p w14:paraId="59600BB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75.7</w:t>
            </w:r>
          </w:p>
        </w:tc>
        <w:tc>
          <w:tcPr>
            <w:tcW w:w="785" w:type="dxa"/>
            <w:tcBorders>
              <w:top w:val="nil"/>
              <w:left w:val="nil"/>
              <w:bottom w:val="nil"/>
              <w:right w:val="nil"/>
            </w:tcBorders>
            <w:shd w:val="clear" w:color="auto" w:fill="auto"/>
            <w:noWrap/>
            <w:vAlign w:val="bottom"/>
            <w:hideMark/>
          </w:tcPr>
          <w:p w14:paraId="54ADFF6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11.0</w:t>
            </w:r>
          </w:p>
        </w:tc>
        <w:tc>
          <w:tcPr>
            <w:tcW w:w="160" w:type="dxa"/>
            <w:tcBorders>
              <w:top w:val="nil"/>
              <w:left w:val="nil"/>
              <w:bottom w:val="nil"/>
              <w:right w:val="nil"/>
            </w:tcBorders>
            <w:shd w:val="clear" w:color="auto" w:fill="auto"/>
            <w:noWrap/>
            <w:vAlign w:val="bottom"/>
            <w:hideMark/>
          </w:tcPr>
          <w:p w14:paraId="322C4520"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6764984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0.8</w:t>
            </w:r>
          </w:p>
        </w:tc>
        <w:tc>
          <w:tcPr>
            <w:tcW w:w="650" w:type="dxa"/>
            <w:tcBorders>
              <w:top w:val="nil"/>
              <w:left w:val="nil"/>
              <w:bottom w:val="nil"/>
              <w:right w:val="nil"/>
            </w:tcBorders>
            <w:shd w:val="clear" w:color="auto" w:fill="auto"/>
            <w:noWrap/>
            <w:vAlign w:val="bottom"/>
            <w:hideMark/>
          </w:tcPr>
          <w:p w14:paraId="1932590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center"/>
            <w:hideMark/>
          </w:tcPr>
          <w:p w14:paraId="3B8DF95F"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50A4823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73.2</w:t>
            </w:r>
          </w:p>
        </w:tc>
        <w:tc>
          <w:tcPr>
            <w:tcW w:w="740" w:type="dxa"/>
            <w:tcBorders>
              <w:top w:val="nil"/>
              <w:left w:val="nil"/>
              <w:bottom w:val="nil"/>
              <w:right w:val="nil"/>
            </w:tcBorders>
            <w:shd w:val="clear" w:color="auto" w:fill="auto"/>
            <w:noWrap/>
            <w:vAlign w:val="bottom"/>
            <w:hideMark/>
          </w:tcPr>
          <w:p w14:paraId="52241D2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6.8</w:t>
            </w:r>
          </w:p>
        </w:tc>
        <w:tc>
          <w:tcPr>
            <w:tcW w:w="160" w:type="dxa"/>
            <w:tcBorders>
              <w:top w:val="nil"/>
              <w:left w:val="nil"/>
              <w:bottom w:val="nil"/>
              <w:right w:val="nil"/>
            </w:tcBorders>
            <w:shd w:val="clear" w:color="auto" w:fill="auto"/>
            <w:noWrap/>
            <w:vAlign w:val="bottom"/>
            <w:hideMark/>
          </w:tcPr>
          <w:p w14:paraId="4E7EF1E0"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77120B9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35.9</w:t>
            </w:r>
          </w:p>
        </w:tc>
        <w:tc>
          <w:tcPr>
            <w:tcW w:w="219" w:type="dxa"/>
            <w:tcBorders>
              <w:top w:val="nil"/>
              <w:left w:val="nil"/>
              <w:bottom w:val="nil"/>
              <w:right w:val="nil"/>
            </w:tcBorders>
            <w:shd w:val="clear" w:color="auto" w:fill="auto"/>
            <w:noWrap/>
            <w:vAlign w:val="bottom"/>
            <w:hideMark/>
          </w:tcPr>
          <w:p w14:paraId="0A54A62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6C772CD0"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32FF111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0.7</w:t>
            </w:r>
          </w:p>
        </w:tc>
        <w:tc>
          <w:tcPr>
            <w:tcW w:w="585" w:type="dxa"/>
            <w:tcBorders>
              <w:top w:val="nil"/>
              <w:left w:val="nil"/>
              <w:bottom w:val="nil"/>
              <w:right w:val="nil"/>
            </w:tcBorders>
            <w:shd w:val="clear" w:color="auto" w:fill="auto"/>
            <w:noWrap/>
            <w:vAlign w:val="bottom"/>
            <w:hideMark/>
          </w:tcPr>
          <w:p w14:paraId="7E3E630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center"/>
            <w:hideMark/>
          </w:tcPr>
          <w:p w14:paraId="3A6B24E5"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B73352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78.7</w:t>
            </w:r>
          </w:p>
        </w:tc>
        <w:tc>
          <w:tcPr>
            <w:tcW w:w="747" w:type="dxa"/>
            <w:tcBorders>
              <w:top w:val="nil"/>
              <w:left w:val="nil"/>
              <w:bottom w:val="nil"/>
              <w:right w:val="nil"/>
            </w:tcBorders>
            <w:shd w:val="clear" w:color="auto" w:fill="auto"/>
            <w:noWrap/>
            <w:vAlign w:val="bottom"/>
            <w:hideMark/>
          </w:tcPr>
          <w:p w14:paraId="4DCA78A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3.0</w:t>
            </w:r>
          </w:p>
        </w:tc>
        <w:tc>
          <w:tcPr>
            <w:tcW w:w="160" w:type="dxa"/>
            <w:tcBorders>
              <w:top w:val="nil"/>
              <w:left w:val="nil"/>
              <w:bottom w:val="nil"/>
              <w:right w:val="nil"/>
            </w:tcBorders>
            <w:shd w:val="clear" w:color="auto" w:fill="auto"/>
            <w:noWrap/>
            <w:vAlign w:val="bottom"/>
            <w:hideMark/>
          </w:tcPr>
          <w:p w14:paraId="6B835896"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28EA5BF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0.8</w:t>
            </w:r>
          </w:p>
        </w:tc>
        <w:tc>
          <w:tcPr>
            <w:tcW w:w="222" w:type="dxa"/>
            <w:tcBorders>
              <w:top w:val="nil"/>
              <w:left w:val="nil"/>
              <w:bottom w:val="nil"/>
              <w:right w:val="nil"/>
            </w:tcBorders>
            <w:shd w:val="clear" w:color="auto" w:fill="auto"/>
            <w:noWrap/>
            <w:vAlign w:val="bottom"/>
            <w:hideMark/>
          </w:tcPr>
          <w:p w14:paraId="41D7EF8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21839595" w14:textId="77777777" w:rsidTr="00BC735C">
        <w:trPr>
          <w:cantSplit/>
          <w:trHeight w:val="20"/>
        </w:trPr>
        <w:tc>
          <w:tcPr>
            <w:tcW w:w="719" w:type="dxa"/>
            <w:tcBorders>
              <w:top w:val="nil"/>
              <w:left w:val="nil"/>
              <w:bottom w:val="nil"/>
              <w:right w:val="nil"/>
            </w:tcBorders>
            <w:shd w:val="clear" w:color="auto" w:fill="auto"/>
            <w:noWrap/>
            <w:vAlign w:val="bottom"/>
            <w:hideMark/>
          </w:tcPr>
          <w:p w14:paraId="145F452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Ti</w:t>
            </w:r>
          </w:p>
        </w:tc>
        <w:tc>
          <w:tcPr>
            <w:tcW w:w="785" w:type="dxa"/>
            <w:tcBorders>
              <w:top w:val="nil"/>
              <w:left w:val="nil"/>
              <w:bottom w:val="nil"/>
              <w:right w:val="nil"/>
            </w:tcBorders>
            <w:shd w:val="clear" w:color="auto" w:fill="auto"/>
            <w:noWrap/>
            <w:vAlign w:val="bottom"/>
            <w:hideMark/>
          </w:tcPr>
          <w:p w14:paraId="25ECAEA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3126.5</w:t>
            </w:r>
          </w:p>
        </w:tc>
        <w:tc>
          <w:tcPr>
            <w:tcW w:w="785" w:type="dxa"/>
            <w:tcBorders>
              <w:top w:val="nil"/>
              <w:left w:val="nil"/>
              <w:bottom w:val="nil"/>
              <w:right w:val="nil"/>
            </w:tcBorders>
            <w:shd w:val="clear" w:color="auto" w:fill="auto"/>
            <w:noWrap/>
            <w:vAlign w:val="bottom"/>
            <w:hideMark/>
          </w:tcPr>
          <w:p w14:paraId="03F4189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203.9</w:t>
            </w:r>
          </w:p>
        </w:tc>
        <w:tc>
          <w:tcPr>
            <w:tcW w:w="160" w:type="dxa"/>
            <w:tcBorders>
              <w:top w:val="nil"/>
              <w:left w:val="nil"/>
              <w:bottom w:val="nil"/>
              <w:right w:val="nil"/>
            </w:tcBorders>
            <w:shd w:val="clear" w:color="auto" w:fill="auto"/>
            <w:noWrap/>
            <w:vAlign w:val="bottom"/>
            <w:hideMark/>
          </w:tcPr>
          <w:p w14:paraId="465FA12F"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5DB7637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436.8</w:t>
            </w:r>
          </w:p>
        </w:tc>
        <w:tc>
          <w:tcPr>
            <w:tcW w:w="650" w:type="dxa"/>
            <w:tcBorders>
              <w:top w:val="nil"/>
              <w:left w:val="nil"/>
              <w:bottom w:val="nil"/>
              <w:right w:val="nil"/>
            </w:tcBorders>
            <w:shd w:val="clear" w:color="auto" w:fill="auto"/>
            <w:noWrap/>
            <w:vAlign w:val="bottom"/>
            <w:hideMark/>
          </w:tcPr>
          <w:p w14:paraId="5F707CF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228.7</w:t>
            </w:r>
          </w:p>
        </w:tc>
        <w:tc>
          <w:tcPr>
            <w:tcW w:w="160" w:type="dxa"/>
            <w:tcBorders>
              <w:top w:val="nil"/>
              <w:left w:val="nil"/>
              <w:bottom w:val="nil"/>
              <w:right w:val="nil"/>
            </w:tcBorders>
            <w:shd w:val="clear" w:color="auto" w:fill="auto"/>
            <w:noWrap/>
            <w:vAlign w:val="center"/>
            <w:hideMark/>
          </w:tcPr>
          <w:p w14:paraId="7976DF4D"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6061896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2308.8</w:t>
            </w:r>
          </w:p>
        </w:tc>
        <w:tc>
          <w:tcPr>
            <w:tcW w:w="740" w:type="dxa"/>
            <w:tcBorders>
              <w:top w:val="nil"/>
              <w:left w:val="nil"/>
              <w:bottom w:val="nil"/>
              <w:right w:val="nil"/>
            </w:tcBorders>
            <w:shd w:val="clear" w:color="auto" w:fill="auto"/>
            <w:noWrap/>
            <w:vAlign w:val="bottom"/>
            <w:hideMark/>
          </w:tcPr>
          <w:p w14:paraId="18E20F9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255.6</w:t>
            </w:r>
          </w:p>
        </w:tc>
        <w:tc>
          <w:tcPr>
            <w:tcW w:w="160" w:type="dxa"/>
            <w:tcBorders>
              <w:top w:val="nil"/>
              <w:left w:val="nil"/>
              <w:bottom w:val="nil"/>
              <w:right w:val="nil"/>
            </w:tcBorders>
            <w:shd w:val="clear" w:color="auto" w:fill="auto"/>
            <w:noWrap/>
            <w:vAlign w:val="bottom"/>
            <w:hideMark/>
          </w:tcPr>
          <w:p w14:paraId="337BCF8B"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2FD5E53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861.7</w:t>
            </w:r>
          </w:p>
        </w:tc>
        <w:tc>
          <w:tcPr>
            <w:tcW w:w="219" w:type="dxa"/>
            <w:tcBorders>
              <w:top w:val="nil"/>
              <w:left w:val="nil"/>
              <w:bottom w:val="nil"/>
              <w:right w:val="nil"/>
            </w:tcBorders>
            <w:shd w:val="clear" w:color="auto" w:fill="auto"/>
            <w:noWrap/>
            <w:vAlign w:val="bottom"/>
            <w:hideMark/>
          </w:tcPr>
          <w:p w14:paraId="3BC7EB3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7F9679B5"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4AC81CD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157.0</w:t>
            </w:r>
          </w:p>
        </w:tc>
        <w:tc>
          <w:tcPr>
            <w:tcW w:w="585" w:type="dxa"/>
            <w:tcBorders>
              <w:top w:val="nil"/>
              <w:left w:val="nil"/>
              <w:bottom w:val="nil"/>
              <w:right w:val="nil"/>
            </w:tcBorders>
            <w:shd w:val="clear" w:color="auto" w:fill="auto"/>
            <w:noWrap/>
            <w:vAlign w:val="bottom"/>
            <w:hideMark/>
          </w:tcPr>
          <w:p w14:paraId="7A069F1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69.6</w:t>
            </w:r>
          </w:p>
        </w:tc>
        <w:tc>
          <w:tcPr>
            <w:tcW w:w="160" w:type="dxa"/>
            <w:tcBorders>
              <w:top w:val="nil"/>
              <w:left w:val="nil"/>
              <w:bottom w:val="nil"/>
              <w:right w:val="nil"/>
            </w:tcBorders>
            <w:shd w:val="clear" w:color="auto" w:fill="auto"/>
            <w:noWrap/>
            <w:vAlign w:val="center"/>
            <w:hideMark/>
          </w:tcPr>
          <w:p w14:paraId="6B1250C1"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8B0F1D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2288.9</w:t>
            </w:r>
          </w:p>
        </w:tc>
        <w:tc>
          <w:tcPr>
            <w:tcW w:w="747" w:type="dxa"/>
            <w:tcBorders>
              <w:top w:val="nil"/>
              <w:left w:val="nil"/>
              <w:bottom w:val="nil"/>
              <w:right w:val="nil"/>
            </w:tcBorders>
            <w:shd w:val="clear" w:color="auto" w:fill="auto"/>
            <w:noWrap/>
            <w:vAlign w:val="bottom"/>
            <w:hideMark/>
          </w:tcPr>
          <w:p w14:paraId="773A134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391.8</w:t>
            </w:r>
          </w:p>
        </w:tc>
        <w:tc>
          <w:tcPr>
            <w:tcW w:w="160" w:type="dxa"/>
            <w:tcBorders>
              <w:top w:val="nil"/>
              <w:left w:val="nil"/>
              <w:bottom w:val="nil"/>
              <w:right w:val="nil"/>
            </w:tcBorders>
            <w:shd w:val="clear" w:color="auto" w:fill="auto"/>
            <w:noWrap/>
            <w:vAlign w:val="bottom"/>
            <w:hideMark/>
          </w:tcPr>
          <w:p w14:paraId="0A026CA7"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1A0EFED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321.1</w:t>
            </w:r>
          </w:p>
        </w:tc>
        <w:tc>
          <w:tcPr>
            <w:tcW w:w="222" w:type="dxa"/>
            <w:tcBorders>
              <w:top w:val="nil"/>
              <w:left w:val="nil"/>
              <w:bottom w:val="nil"/>
              <w:right w:val="nil"/>
            </w:tcBorders>
            <w:shd w:val="clear" w:color="auto" w:fill="auto"/>
            <w:noWrap/>
            <w:vAlign w:val="bottom"/>
            <w:hideMark/>
          </w:tcPr>
          <w:p w14:paraId="4C532C1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6BA8439F" w14:textId="77777777" w:rsidTr="00BC735C">
        <w:trPr>
          <w:cantSplit/>
          <w:trHeight w:val="20"/>
        </w:trPr>
        <w:tc>
          <w:tcPr>
            <w:tcW w:w="719" w:type="dxa"/>
            <w:tcBorders>
              <w:top w:val="nil"/>
              <w:left w:val="nil"/>
              <w:bottom w:val="nil"/>
              <w:right w:val="nil"/>
            </w:tcBorders>
            <w:shd w:val="clear" w:color="auto" w:fill="auto"/>
            <w:noWrap/>
            <w:vAlign w:val="bottom"/>
            <w:hideMark/>
          </w:tcPr>
          <w:p w14:paraId="500E289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V</w:t>
            </w:r>
          </w:p>
        </w:tc>
        <w:tc>
          <w:tcPr>
            <w:tcW w:w="785" w:type="dxa"/>
            <w:tcBorders>
              <w:top w:val="nil"/>
              <w:left w:val="nil"/>
              <w:bottom w:val="nil"/>
              <w:right w:val="nil"/>
            </w:tcBorders>
            <w:shd w:val="clear" w:color="auto" w:fill="auto"/>
            <w:noWrap/>
            <w:vAlign w:val="bottom"/>
            <w:hideMark/>
          </w:tcPr>
          <w:p w14:paraId="4A3893F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348.6</w:t>
            </w:r>
          </w:p>
        </w:tc>
        <w:tc>
          <w:tcPr>
            <w:tcW w:w="785" w:type="dxa"/>
            <w:tcBorders>
              <w:top w:val="nil"/>
              <w:left w:val="nil"/>
              <w:bottom w:val="nil"/>
              <w:right w:val="nil"/>
            </w:tcBorders>
            <w:shd w:val="clear" w:color="auto" w:fill="auto"/>
            <w:noWrap/>
            <w:vAlign w:val="bottom"/>
            <w:hideMark/>
          </w:tcPr>
          <w:p w14:paraId="7791DD9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36.6</w:t>
            </w:r>
          </w:p>
        </w:tc>
        <w:tc>
          <w:tcPr>
            <w:tcW w:w="160" w:type="dxa"/>
            <w:tcBorders>
              <w:top w:val="nil"/>
              <w:left w:val="nil"/>
              <w:bottom w:val="nil"/>
              <w:right w:val="nil"/>
            </w:tcBorders>
            <w:shd w:val="clear" w:color="auto" w:fill="auto"/>
            <w:noWrap/>
            <w:vAlign w:val="bottom"/>
            <w:hideMark/>
          </w:tcPr>
          <w:p w14:paraId="31EE1EA1"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1719D23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3.8</w:t>
            </w:r>
          </w:p>
        </w:tc>
        <w:tc>
          <w:tcPr>
            <w:tcW w:w="650" w:type="dxa"/>
            <w:tcBorders>
              <w:top w:val="nil"/>
              <w:left w:val="nil"/>
              <w:bottom w:val="nil"/>
              <w:right w:val="nil"/>
            </w:tcBorders>
            <w:shd w:val="clear" w:color="auto" w:fill="auto"/>
            <w:noWrap/>
            <w:vAlign w:val="bottom"/>
            <w:hideMark/>
          </w:tcPr>
          <w:p w14:paraId="54A3608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4.3</w:t>
            </w:r>
          </w:p>
        </w:tc>
        <w:tc>
          <w:tcPr>
            <w:tcW w:w="160" w:type="dxa"/>
            <w:tcBorders>
              <w:top w:val="nil"/>
              <w:left w:val="nil"/>
              <w:bottom w:val="nil"/>
              <w:right w:val="nil"/>
            </w:tcBorders>
            <w:shd w:val="clear" w:color="auto" w:fill="auto"/>
            <w:noWrap/>
            <w:vAlign w:val="center"/>
            <w:hideMark/>
          </w:tcPr>
          <w:p w14:paraId="1AB9EF63"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6A21571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284.6</w:t>
            </w:r>
          </w:p>
        </w:tc>
        <w:tc>
          <w:tcPr>
            <w:tcW w:w="740" w:type="dxa"/>
            <w:tcBorders>
              <w:top w:val="nil"/>
              <w:left w:val="nil"/>
              <w:bottom w:val="nil"/>
              <w:right w:val="nil"/>
            </w:tcBorders>
            <w:shd w:val="clear" w:color="auto" w:fill="auto"/>
            <w:noWrap/>
            <w:vAlign w:val="bottom"/>
            <w:hideMark/>
          </w:tcPr>
          <w:p w14:paraId="1C1815E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28.1</w:t>
            </w:r>
          </w:p>
        </w:tc>
        <w:tc>
          <w:tcPr>
            <w:tcW w:w="160" w:type="dxa"/>
            <w:tcBorders>
              <w:top w:val="nil"/>
              <w:left w:val="nil"/>
              <w:bottom w:val="nil"/>
              <w:right w:val="nil"/>
            </w:tcBorders>
            <w:shd w:val="clear" w:color="auto" w:fill="auto"/>
            <w:noWrap/>
            <w:vAlign w:val="bottom"/>
            <w:hideMark/>
          </w:tcPr>
          <w:p w14:paraId="630D305C"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0C05136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142.0</w:t>
            </w:r>
          </w:p>
        </w:tc>
        <w:tc>
          <w:tcPr>
            <w:tcW w:w="219" w:type="dxa"/>
            <w:tcBorders>
              <w:top w:val="nil"/>
              <w:left w:val="nil"/>
              <w:bottom w:val="nil"/>
              <w:right w:val="nil"/>
            </w:tcBorders>
            <w:shd w:val="clear" w:color="auto" w:fill="auto"/>
            <w:noWrap/>
            <w:vAlign w:val="bottom"/>
            <w:hideMark/>
          </w:tcPr>
          <w:p w14:paraId="39C682C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0F92F744"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424945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585" w:type="dxa"/>
            <w:tcBorders>
              <w:top w:val="nil"/>
              <w:left w:val="nil"/>
              <w:bottom w:val="nil"/>
              <w:right w:val="nil"/>
            </w:tcBorders>
            <w:shd w:val="clear" w:color="auto" w:fill="auto"/>
            <w:noWrap/>
            <w:vAlign w:val="bottom"/>
            <w:hideMark/>
          </w:tcPr>
          <w:p w14:paraId="5A5AAC2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160" w:type="dxa"/>
            <w:tcBorders>
              <w:top w:val="nil"/>
              <w:left w:val="nil"/>
              <w:bottom w:val="nil"/>
              <w:right w:val="nil"/>
            </w:tcBorders>
            <w:shd w:val="clear" w:color="auto" w:fill="auto"/>
            <w:noWrap/>
            <w:vAlign w:val="center"/>
            <w:hideMark/>
          </w:tcPr>
          <w:p w14:paraId="638A83D8"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53F0DA1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332.4</w:t>
            </w:r>
          </w:p>
        </w:tc>
        <w:tc>
          <w:tcPr>
            <w:tcW w:w="747" w:type="dxa"/>
            <w:tcBorders>
              <w:top w:val="nil"/>
              <w:left w:val="nil"/>
              <w:bottom w:val="nil"/>
              <w:right w:val="nil"/>
            </w:tcBorders>
            <w:shd w:val="clear" w:color="auto" w:fill="auto"/>
            <w:noWrap/>
            <w:vAlign w:val="bottom"/>
            <w:hideMark/>
          </w:tcPr>
          <w:p w14:paraId="59EBC8B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4.1</w:t>
            </w:r>
          </w:p>
        </w:tc>
        <w:tc>
          <w:tcPr>
            <w:tcW w:w="160" w:type="dxa"/>
            <w:tcBorders>
              <w:top w:val="nil"/>
              <w:left w:val="nil"/>
              <w:bottom w:val="nil"/>
              <w:right w:val="nil"/>
            </w:tcBorders>
            <w:shd w:val="clear" w:color="auto" w:fill="auto"/>
            <w:noWrap/>
            <w:vAlign w:val="bottom"/>
            <w:hideMark/>
          </w:tcPr>
          <w:p w14:paraId="45813528"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08E11D5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1.9</w:t>
            </w:r>
          </w:p>
        </w:tc>
        <w:tc>
          <w:tcPr>
            <w:tcW w:w="222" w:type="dxa"/>
            <w:tcBorders>
              <w:top w:val="nil"/>
              <w:left w:val="nil"/>
              <w:bottom w:val="nil"/>
              <w:right w:val="nil"/>
            </w:tcBorders>
            <w:shd w:val="clear" w:color="auto" w:fill="auto"/>
            <w:noWrap/>
            <w:vAlign w:val="bottom"/>
            <w:hideMark/>
          </w:tcPr>
          <w:p w14:paraId="3F2F7C5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5432599C" w14:textId="77777777" w:rsidTr="00BC735C">
        <w:trPr>
          <w:cantSplit/>
          <w:trHeight w:val="20"/>
        </w:trPr>
        <w:tc>
          <w:tcPr>
            <w:tcW w:w="719" w:type="dxa"/>
            <w:tcBorders>
              <w:top w:val="nil"/>
              <w:left w:val="nil"/>
              <w:bottom w:val="nil"/>
              <w:right w:val="nil"/>
            </w:tcBorders>
            <w:shd w:val="clear" w:color="auto" w:fill="auto"/>
            <w:noWrap/>
            <w:vAlign w:val="bottom"/>
            <w:hideMark/>
          </w:tcPr>
          <w:p w14:paraId="3137165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Cr</w:t>
            </w:r>
          </w:p>
        </w:tc>
        <w:tc>
          <w:tcPr>
            <w:tcW w:w="785" w:type="dxa"/>
            <w:tcBorders>
              <w:top w:val="nil"/>
              <w:left w:val="nil"/>
              <w:bottom w:val="nil"/>
              <w:right w:val="nil"/>
            </w:tcBorders>
            <w:shd w:val="clear" w:color="auto" w:fill="auto"/>
            <w:noWrap/>
            <w:vAlign w:val="bottom"/>
            <w:hideMark/>
          </w:tcPr>
          <w:p w14:paraId="29619AF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2938.0</w:t>
            </w:r>
          </w:p>
        </w:tc>
        <w:tc>
          <w:tcPr>
            <w:tcW w:w="785" w:type="dxa"/>
            <w:tcBorders>
              <w:top w:val="nil"/>
              <w:left w:val="nil"/>
              <w:bottom w:val="nil"/>
              <w:right w:val="nil"/>
            </w:tcBorders>
            <w:shd w:val="clear" w:color="auto" w:fill="auto"/>
            <w:noWrap/>
            <w:vAlign w:val="bottom"/>
            <w:hideMark/>
          </w:tcPr>
          <w:p w14:paraId="2082E3E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1601.2</w:t>
            </w:r>
          </w:p>
        </w:tc>
        <w:tc>
          <w:tcPr>
            <w:tcW w:w="160" w:type="dxa"/>
            <w:tcBorders>
              <w:top w:val="nil"/>
              <w:left w:val="nil"/>
              <w:bottom w:val="nil"/>
              <w:right w:val="nil"/>
            </w:tcBorders>
            <w:shd w:val="clear" w:color="auto" w:fill="auto"/>
            <w:noWrap/>
            <w:vAlign w:val="bottom"/>
            <w:hideMark/>
          </w:tcPr>
          <w:p w14:paraId="586CE2AA"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644068E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650" w:type="dxa"/>
            <w:tcBorders>
              <w:top w:val="nil"/>
              <w:left w:val="nil"/>
              <w:bottom w:val="nil"/>
              <w:right w:val="nil"/>
            </w:tcBorders>
            <w:shd w:val="clear" w:color="auto" w:fill="auto"/>
            <w:noWrap/>
            <w:vAlign w:val="bottom"/>
            <w:hideMark/>
          </w:tcPr>
          <w:p w14:paraId="1604406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center"/>
            <w:hideMark/>
          </w:tcPr>
          <w:p w14:paraId="3C277FE4"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52622AD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8950.3</w:t>
            </w:r>
          </w:p>
        </w:tc>
        <w:tc>
          <w:tcPr>
            <w:tcW w:w="740" w:type="dxa"/>
            <w:tcBorders>
              <w:top w:val="nil"/>
              <w:left w:val="nil"/>
              <w:bottom w:val="nil"/>
              <w:right w:val="nil"/>
            </w:tcBorders>
            <w:shd w:val="clear" w:color="auto" w:fill="auto"/>
            <w:noWrap/>
            <w:vAlign w:val="bottom"/>
            <w:hideMark/>
          </w:tcPr>
          <w:p w14:paraId="1B11575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670.5</w:t>
            </w:r>
          </w:p>
        </w:tc>
        <w:tc>
          <w:tcPr>
            <w:tcW w:w="160" w:type="dxa"/>
            <w:tcBorders>
              <w:top w:val="nil"/>
              <w:left w:val="nil"/>
              <w:bottom w:val="nil"/>
              <w:right w:val="nil"/>
            </w:tcBorders>
            <w:shd w:val="clear" w:color="auto" w:fill="auto"/>
            <w:noWrap/>
            <w:vAlign w:val="bottom"/>
            <w:hideMark/>
          </w:tcPr>
          <w:p w14:paraId="0351508C"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618BC27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5432.8</w:t>
            </w:r>
          </w:p>
        </w:tc>
        <w:tc>
          <w:tcPr>
            <w:tcW w:w="219" w:type="dxa"/>
            <w:tcBorders>
              <w:top w:val="nil"/>
              <w:left w:val="nil"/>
              <w:bottom w:val="nil"/>
              <w:right w:val="nil"/>
            </w:tcBorders>
            <w:shd w:val="clear" w:color="auto" w:fill="auto"/>
            <w:noWrap/>
            <w:vAlign w:val="bottom"/>
            <w:hideMark/>
          </w:tcPr>
          <w:p w14:paraId="49AFD3C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795D5362"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0C54D6B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585" w:type="dxa"/>
            <w:tcBorders>
              <w:top w:val="nil"/>
              <w:left w:val="nil"/>
              <w:bottom w:val="nil"/>
              <w:right w:val="nil"/>
            </w:tcBorders>
            <w:shd w:val="clear" w:color="auto" w:fill="auto"/>
            <w:noWrap/>
            <w:vAlign w:val="bottom"/>
            <w:hideMark/>
          </w:tcPr>
          <w:p w14:paraId="2DBE8EC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0278A079"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68B0E13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1668.0</w:t>
            </w:r>
          </w:p>
        </w:tc>
        <w:tc>
          <w:tcPr>
            <w:tcW w:w="747" w:type="dxa"/>
            <w:tcBorders>
              <w:top w:val="nil"/>
              <w:left w:val="nil"/>
              <w:bottom w:val="nil"/>
              <w:right w:val="nil"/>
            </w:tcBorders>
            <w:shd w:val="clear" w:color="auto" w:fill="auto"/>
            <w:noWrap/>
            <w:vAlign w:val="bottom"/>
            <w:hideMark/>
          </w:tcPr>
          <w:p w14:paraId="64BC57E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522.9</w:t>
            </w:r>
          </w:p>
        </w:tc>
        <w:tc>
          <w:tcPr>
            <w:tcW w:w="160" w:type="dxa"/>
            <w:tcBorders>
              <w:top w:val="nil"/>
              <w:left w:val="nil"/>
              <w:bottom w:val="nil"/>
              <w:right w:val="nil"/>
            </w:tcBorders>
            <w:shd w:val="clear" w:color="auto" w:fill="auto"/>
            <w:noWrap/>
            <w:vAlign w:val="bottom"/>
            <w:hideMark/>
          </w:tcPr>
          <w:p w14:paraId="28859C8D"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28D3A05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59BA2E1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4B69BE37" w14:textId="77777777" w:rsidTr="00BC735C">
        <w:trPr>
          <w:cantSplit/>
          <w:trHeight w:val="20"/>
        </w:trPr>
        <w:tc>
          <w:tcPr>
            <w:tcW w:w="719" w:type="dxa"/>
            <w:tcBorders>
              <w:top w:val="nil"/>
              <w:left w:val="nil"/>
              <w:bottom w:val="nil"/>
              <w:right w:val="nil"/>
            </w:tcBorders>
            <w:shd w:val="clear" w:color="auto" w:fill="auto"/>
            <w:noWrap/>
            <w:vAlign w:val="bottom"/>
            <w:hideMark/>
          </w:tcPr>
          <w:p w14:paraId="2AA49E4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Mn</w:t>
            </w:r>
          </w:p>
        </w:tc>
        <w:tc>
          <w:tcPr>
            <w:tcW w:w="785" w:type="dxa"/>
            <w:tcBorders>
              <w:top w:val="nil"/>
              <w:left w:val="nil"/>
              <w:bottom w:val="nil"/>
              <w:right w:val="nil"/>
            </w:tcBorders>
            <w:shd w:val="clear" w:color="auto" w:fill="auto"/>
            <w:noWrap/>
            <w:vAlign w:val="bottom"/>
            <w:hideMark/>
          </w:tcPr>
          <w:p w14:paraId="0858ACC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927.6</w:t>
            </w:r>
          </w:p>
        </w:tc>
        <w:tc>
          <w:tcPr>
            <w:tcW w:w="785" w:type="dxa"/>
            <w:tcBorders>
              <w:top w:val="nil"/>
              <w:left w:val="nil"/>
              <w:bottom w:val="nil"/>
              <w:right w:val="nil"/>
            </w:tcBorders>
            <w:shd w:val="clear" w:color="auto" w:fill="auto"/>
            <w:noWrap/>
            <w:vAlign w:val="bottom"/>
            <w:hideMark/>
          </w:tcPr>
          <w:p w14:paraId="4CE96E3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97.4</w:t>
            </w:r>
          </w:p>
        </w:tc>
        <w:tc>
          <w:tcPr>
            <w:tcW w:w="160" w:type="dxa"/>
            <w:tcBorders>
              <w:top w:val="nil"/>
              <w:left w:val="nil"/>
              <w:bottom w:val="nil"/>
              <w:right w:val="nil"/>
            </w:tcBorders>
            <w:shd w:val="clear" w:color="auto" w:fill="auto"/>
            <w:noWrap/>
            <w:vAlign w:val="bottom"/>
            <w:hideMark/>
          </w:tcPr>
          <w:p w14:paraId="3235191B"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3A10E95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67.9</w:t>
            </w:r>
          </w:p>
        </w:tc>
        <w:tc>
          <w:tcPr>
            <w:tcW w:w="650" w:type="dxa"/>
            <w:tcBorders>
              <w:top w:val="nil"/>
              <w:left w:val="nil"/>
              <w:bottom w:val="nil"/>
              <w:right w:val="nil"/>
            </w:tcBorders>
            <w:shd w:val="clear" w:color="auto" w:fill="auto"/>
            <w:noWrap/>
            <w:vAlign w:val="bottom"/>
            <w:hideMark/>
          </w:tcPr>
          <w:p w14:paraId="35D481D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82.4</w:t>
            </w:r>
          </w:p>
        </w:tc>
        <w:tc>
          <w:tcPr>
            <w:tcW w:w="160" w:type="dxa"/>
            <w:tcBorders>
              <w:top w:val="nil"/>
              <w:left w:val="nil"/>
              <w:bottom w:val="nil"/>
              <w:right w:val="nil"/>
            </w:tcBorders>
            <w:shd w:val="clear" w:color="auto" w:fill="auto"/>
            <w:noWrap/>
            <w:vAlign w:val="center"/>
            <w:hideMark/>
          </w:tcPr>
          <w:p w14:paraId="34865A78"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2149720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840.1</w:t>
            </w:r>
          </w:p>
        </w:tc>
        <w:tc>
          <w:tcPr>
            <w:tcW w:w="740" w:type="dxa"/>
            <w:tcBorders>
              <w:top w:val="nil"/>
              <w:left w:val="nil"/>
              <w:bottom w:val="nil"/>
              <w:right w:val="nil"/>
            </w:tcBorders>
            <w:shd w:val="clear" w:color="auto" w:fill="auto"/>
            <w:noWrap/>
            <w:vAlign w:val="bottom"/>
            <w:hideMark/>
          </w:tcPr>
          <w:p w14:paraId="19A763F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100.9</w:t>
            </w:r>
          </w:p>
        </w:tc>
        <w:tc>
          <w:tcPr>
            <w:tcW w:w="160" w:type="dxa"/>
            <w:tcBorders>
              <w:top w:val="nil"/>
              <w:left w:val="nil"/>
              <w:bottom w:val="nil"/>
              <w:right w:val="nil"/>
            </w:tcBorders>
            <w:shd w:val="clear" w:color="auto" w:fill="auto"/>
            <w:noWrap/>
            <w:vAlign w:val="bottom"/>
            <w:hideMark/>
          </w:tcPr>
          <w:p w14:paraId="45B3894C"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13A6FEC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1217.5</w:t>
            </w:r>
          </w:p>
        </w:tc>
        <w:tc>
          <w:tcPr>
            <w:tcW w:w="219" w:type="dxa"/>
            <w:tcBorders>
              <w:top w:val="nil"/>
              <w:left w:val="nil"/>
              <w:bottom w:val="nil"/>
              <w:right w:val="nil"/>
            </w:tcBorders>
            <w:shd w:val="clear" w:color="auto" w:fill="auto"/>
            <w:noWrap/>
            <w:vAlign w:val="bottom"/>
            <w:hideMark/>
          </w:tcPr>
          <w:p w14:paraId="0888EDC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08171B87"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7987C5E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18.4</w:t>
            </w:r>
          </w:p>
        </w:tc>
        <w:tc>
          <w:tcPr>
            <w:tcW w:w="585" w:type="dxa"/>
            <w:tcBorders>
              <w:top w:val="nil"/>
              <w:left w:val="nil"/>
              <w:bottom w:val="nil"/>
              <w:right w:val="nil"/>
            </w:tcBorders>
            <w:shd w:val="clear" w:color="auto" w:fill="auto"/>
            <w:noWrap/>
            <w:vAlign w:val="bottom"/>
            <w:hideMark/>
          </w:tcPr>
          <w:p w14:paraId="68C05A8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23.1</w:t>
            </w:r>
          </w:p>
        </w:tc>
        <w:tc>
          <w:tcPr>
            <w:tcW w:w="160" w:type="dxa"/>
            <w:tcBorders>
              <w:top w:val="nil"/>
              <w:left w:val="nil"/>
              <w:bottom w:val="nil"/>
              <w:right w:val="nil"/>
            </w:tcBorders>
            <w:shd w:val="clear" w:color="auto" w:fill="auto"/>
            <w:noWrap/>
            <w:vAlign w:val="center"/>
            <w:hideMark/>
          </w:tcPr>
          <w:p w14:paraId="365CDF34"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23EBADA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940.9</w:t>
            </w:r>
          </w:p>
        </w:tc>
        <w:tc>
          <w:tcPr>
            <w:tcW w:w="747" w:type="dxa"/>
            <w:tcBorders>
              <w:top w:val="nil"/>
              <w:left w:val="nil"/>
              <w:bottom w:val="nil"/>
              <w:right w:val="nil"/>
            </w:tcBorders>
            <w:shd w:val="clear" w:color="auto" w:fill="auto"/>
            <w:noWrap/>
            <w:vAlign w:val="bottom"/>
            <w:hideMark/>
          </w:tcPr>
          <w:p w14:paraId="2371986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99.0</w:t>
            </w:r>
          </w:p>
        </w:tc>
        <w:tc>
          <w:tcPr>
            <w:tcW w:w="160" w:type="dxa"/>
            <w:tcBorders>
              <w:top w:val="nil"/>
              <w:left w:val="nil"/>
              <w:bottom w:val="nil"/>
              <w:right w:val="nil"/>
            </w:tcBorders>
            <w:shd w:val="clear" w:color="auto" w:fill="auto"/>
            <w:noWrap/>
            <w:vAlign w:val="bottom"/>
            <w:hideMark/>
          </w:tcPr>
          <w:p w14:paraId="57EFFB0F"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2C7F5A4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22.6</w:t>
            </w:r>
          </w:p>
        </w:tc>
        <w:tc>
          <w:tcPr>
            <w:tcW w:w="222" w:type="dxa"/>
            <w:tcBorders>
              <w:top w:val="nil"/>
              <w:left w:val="nil"/>
              <w:bottom w:val="nil"/>
              <w:right w:val="nil"/>
            </w:tcBorders>
            <w:shd w:val="clear" w:color="auto" w:fill="auto"/>
            <w:noWrap/>
            <w:vAlign w:val="bottom"/>
            <w:hideMark/>
          </w:tcPr>
          <w:p w14:paraId="2CB6F18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0AB7E849" w14:textId="77777777" w:rsidTr="00BC735C">
        <w:trPr>
          <w:cantSplit/>
          <w:trHeight w:val="20"/>
        </w:trPr>
        <w:tc>
          <w:tcPr>
            <w:tcW w:w="719" w:type="dxa"/>
            <w:tcBorders>
              <w:top w:val="nil"/>
              <w:left w:val="nil"/>
              <w:bottom w:val="nil"/>
              <w:right w:val="nil"/>
            </w:tcBorders>
            <w:shd w:val="clear" w:color="auto" w:fill="auto"/>
            <w:noWrap/>
            <w:vAlign w:val="bottom"/>
            <w:hideMark/>
          </w:tcPr>
          <w:p w14:paraId="32B32F9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Co</w:t>
            </w:r>
          </w:p>
        </w:tc>
        <w:tc>
          <w:tcPr>
            <w:tcW w:w="785" w:type="dxa"/>
            <w:tcBorders>
              <w:top w:val="nil"/>
              <w:left w:val="nil"/>
              <w:bottom w:val="nil"/>
              <w:right w:val="nil"/>
            </w:tcBorders>
            <w:shd w:val="clear" w:color="auto" w:fill="auto"/>
            <w:noWrap/>
            <w:vAlign w:val="bottom"/>
            <w:hideMark/>
          </w:tcPr>
          <w:p w14:paraId="1F35145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25.8</w:t>
            </w:r>
          </w:p>
        </w:tc>
        <w:tc>
          <w:tcPr>
            <w:tcW w:w="785" w:type="dxa"/>
            <w:tcBorders>
              <w:top w:val="nil"/>
              <w:left w:val="nil"/>
              <w:bottom w:val="nil"/>
              <w:right w:val="nil"/>
            </w:tcBorders>
            <w:shd w:val="clear" w:color="auto" w:fill="auto"/>
            <w:noWrap/>
            <w:vAlign w:val="bottom"/>
            <w:hideMark/>
          </w:tcPr>
          <w:p w14:paraId="525908D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w:t>
            </w:r>
          </w:p>
        </w:tc>
        <w:tc>
          <w:tcPr>
            <w:tcW w:w="160" w:type="dxa"/>
            <w:tcBorders>
              <w:top w:val="nil"/>
              <w:left w:val="nil"/>
              <w:bottom w:val="nil"/>
              <w:right w:val="nil"/>
            </w:tcBorders>
            <w:shd w:val="clear" w:color="auto" w:fill="auto"/>
            <w:noWrap/>
            <w:vAlign w:val="bottom"/>
            <w:hideMark/>
          </w:tcPr>
          <w:p w14:paraId="3CB520C2"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0BB6879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1.5</w:t>
            </w:r>
          </w:p>
        </w:tc>
        <w:tc>
          <w:tcPr>
            <w:tcW w:w="650" w:type="dxa"/>
            <w:tcBorders>
              <w:top w:val="nil"/>
              <w:left w:val="nil"/>
              <w:bottom w:val="nil"/>
              <w:right w:val="nil"/>
            </w:tcBorders>
            <w:shd w:val="clear" w:color="auto" w:fill="auto"/>
            <w:noWrap/>
            <w:vAlign w:val="bottom"/>
            <w:hideMark/>
          </w:tcPr>
          <w:p w14:paraId="747CB93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2.1</w:t>
            </w:r>
          </w:p>
        </w:tc>
        <w:tc>
          <w:tcPr>
            <w:tcW w:w="160" w:type="dxa"/>
            <w:tcBorders>
              <w:top w:val="nil"/>
              <w:left w:val="nil"/>
              <w:bottom w:val="nil"/>
              <w:right w:val="nil"/>
            </w:tcBorders>
            <w:shd w:val="clear" w:color="auto" w:fill="auto"/>
            <w:noWrap/>
            <w:vAlign w:val="center"/>
            <w:hideMark/>
          </w:tcPr>
          <w:p w14:paraId="6FDB765B"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5158848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23.8</w:t>
            </w:r>
          </w:p>
        </w:tc>
        <w:tc>
          <w:tcPr>
            <w:tcW w:w="740" w:type="dxa"/>
            <w:tcBorders>
              <w:top w:val="nil"/>
              <w:left w:val="nil"/>
              <w:bottom w:val="nil"/>
              <w:right w:val="nil"/>
            </w:tcBorders>
            <w:shd w:val="clear" w:color="auto" w:fill="auto"/>
            <w:noWrap/>
            <w:vAlign w:val="bottom"/>
            <w:hideMark/>
          </w:tcPr>
          <w:p w14:paraId="4BE2336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3.0</w:t>
            </w:r>
          </w:p>
        </w:tc>
        <w:tc>
          <w:tcPr>
            <w:tcW w:w="160" w:type="dxa"/>
            <w:tcBorders>
              <w:top w:val="nil"/>
              <w:left w:val="nil"/>
              <w:bottom w:val="nil"/>
              <w:right w:val="nil"/>
            </w:tcBorders>
            <w:shd w:val="clear" w:color="auto" w:fill="auto"/>
            <w:noWrap/>
            <w:vAlign w:val="bottom"/>
            <w:hideMark/>
          </w:tcPr>
          <w:p w14:paraId="3FDA948A"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3F814CB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54.6</w:t>
            </w:r>
          </w:p>
        </w:tc>
        <w:tc>
          <w:tcPr>
            <w:tcW w:w="219" w:type="dxa"/>
            <w:tcBorders>
              <w:top w:val="nil"/>
              <w:left w:val="nil"/>
              <w:bottom w:val="nil"/>
              <w:right w:val="nil"/>
            </w:tcBorders>
            <w:shd w:val="clear" w:color="auto" w:fill="auto"/>
            <w:noWrap/>
            <w:vAlign w:val="bottom"/>
            <w:hideMark/>
          </w:tcPr>
          <w:p w14:paraId="5E691FD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01F72B4A"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0244617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585" w:type="dxa"/>
            <w:tcBorders>
              <w:top w:val="nil"/>
              <w:left w:val="nil"/>
              <w:bottom w:val="nil"/>
              <w:right w:val="nil"/>
            </w:tcBorders>
            <w:shd w:val="clear" w:color="auto" w:fill="auto"/>
            <w:noWrap/>
            <w:vAlign w:val="bottom"/>
            <w:hideMark/>
          </w:tcPr>
          <w:p w14:paraId="145CEDA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160" w:type="dxa"/>
            <w:tcBorders>
              <w:top w:val="nil"/>
              <w:left w:val="nil"/>
              <w:bottom w:val="nil"/>
              <w:right w:val="nil"/>
            </w:tcBorders>
            <w:shd w:val="clear" w:color="auto" w:fill="auto"/>
            <w:noWrap/>
            <w:vAlign w:val="center"/>
            <w:hideMark/>
          </w:tcPr>
          <w:p w14:paraId="4C16DA96"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23CC8F6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28.8</w:t>
            </w:r>
          </w:p>
        </w:tc>
        <w:tc>
          <w:tcPr>
            <w:tcW w:w="747" w:type="dxa"/>
            <w:tcBorders>
              <w:top w:val="nil"/>
              <w:left w:val="nil"/>
              <w:bottom w:val="nil"/>
              <w:right w:val="nil"/>
            </w:tcBorders>
            <w:shd w:val="clear" w:color="auto" w:fill="auto"/>
            <w:noWrap/>
            <w:vAlign w:val="bottom"/>
            <w:hideMark/>
          </w:tcPr>
          <w:p w14:paraId="79A6C4D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2.1</w:t>
            </w:r>
          </w:p>
        </w:tc>
        <w:tc>
          <w:tcPr>
            <w:tcW w:w="160" w:type="dxa"/>
            <w:tcBorders>
              <w:top w:val="nil"/>
              <w:left w:val="nil"/>
              <w:bottom w:val="nil"/>
              <w:right w:val="nil"/>
            </w:tcBorders>
            <w:shd w:val="clear" w:color="auto" w:fill="auto"/>
            <w:noWrap/>
            <w:vAlign w:val="bottom"/>
            <w:hideMark/>
          </w:tcPr>
          <w:p w14:paraId="0DDAB5E4"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1A80A57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5457FA6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5460889B" w14:textId="77777777" w:rsidTr="00BC735C">
        <w:trPr>
          <w:cantSplit/>
          <w:trHeight w:val="20"/>
        </w:trPr>
        <w:tc>
          <w:tcPr>
            <w:tcW w:w="719" w:type="dxa"/>
            <w:tcBorders>
              <w:top w:val="nil"/>
              <w:left w:val="nil"/>
              <w:bottom w:val="nil"/>
              <w:right w:val="nil"/>
            </w:tcBorders>
            <w:shd w:val="clear" w:color="auto" w:fill="auto"/>
            <w:noWrap/>
            <w:vAlign w:val="bottom"/>
            <w:hideMark/>
          </w:tcPr>
          <w:p w14:paraId="4C56DE4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Ni</w:t>
            </w:r>
          </w:p>
        </w:tc>
        <w:tc>
          <w:tcPr>
            <w:tcW w:w="785" w:type="dxa"/>
            <w:tcBorders>
              <w:top w:val="nil"/>
              <w:left w:val="nil"/>
              <w:bottom w:val="nil"/>
              <w:right w:val="nil"/>
            </w:tcBorders>
            <w:shd w:val="clear" w:color="auto" w:fill="auto"/>
            <w:noWrap/>
            <w:vAlign w:val="bottom"/>
            <w:hideMark/>
          </w:tcPr>
          <w:p w14:paraId="3B9A5EF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315.1</w:t>
            </w:r>
          </w:p>
        </w:tc>
        <w:tc>
          <w:tcPr>
            <w:tcW w:w="785" w:type="dxa"/>
            <w:tcBorders>
              <w:top w:val="nil"/>
              <w:left w:val="nil"/>
              <w:bottom w:val="nil"/>
              <w:right w:val="nil"/>
            </w:tcBorders>
            <w:shd w:val="clear" w:color="auto" w:fill="auto"/>
            <w:noWrap/>
            <w:vAlign w:val="bottom"/>
            <w:hideMark/>
          </w:tcPr>
          <w:p w14:paraId="2C3A691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13.6</w:t>
            </w:r>
          </w:p>
        </w:tc>
        <w:tc>
          <w:tcPr>
            <w:tcW w:w="160" w:type="dxa"/>
            <w:tcBorders>
              <w:top w:val="nil"/>
              <w:left w:val="nil"/>
              <w:bottom w:val="nil"/>
              <w:right w:val="nil"/>
            </w:tcBorders>
            <w:shd w:val="clear" w:color="auto" w:fill="auto"/>
            <w:noWrap/>
            <w:vAlign w:val="bottom"/>
            <w:hideMark/>
          </w:tcPr>
          <w:p w14:paraId="57DEBA79"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16A49E5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25.1</w:t>
            </w:r>
          </w:p>
        </w:tc>
        <w:tc>
          <w:tcPr>
            <w:tcW w:w="650" w:type="dxa"/>
            <w:tcBorders>
              <w:top w:val="nil"/>
              <w:left w:val="nil"/>
              <w:bottom w:val="nil"/>
              <w:right w:val="nil"/>
            </w:tcBorders>
            <w:shd w:val="clear" w:color="auto" w:fill="auto"/>
            <w:noWrap/>
            <w:vAlign w:val="bottom"/>
            <w:hideMark/>
          </w:tcPr>
          <w:p w14:paraId="445BE03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35.5</w:t>
            </w:r>
          </w:p>
        </w:tc>
        <w:tc>
          <w:tcPr>
            <w:tcW w:w="160" w:type="dxa"/>
            <w:tcBorders>
              <w:top w:val="nil"/>
              <w:left w:val="nil"/>
              <w:bottom w:val="nil"/>
              <w:right w:val="nil"/>
            </w:tcBorders>
            <w:shd w:val="clear" w:color="auto" w:fill="auto"/>
            <w:noWrap/>
            <w:vAlign w:val="center"/>
            <w:hideMark/>
          </w:tcPr>
          <w:p w14:paraId="13B4E7E3"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1E309D66" w14:textId="77777777" w:rsidR="00685D45" w:rsidRPr="00685D45" w:rsidRDefault="00685D45" w:rsidP="00685D45">
            <w:pPr>
              <w:jc w:val="center"/>
              <w:rPr>
                <w:rFonts w:eastAsia="Times New Roman"/>
                <w:color w:val="000000"/>
                <w:sz w:val="18"/>
                <w:szCs w:val="18"/>
                <w:lang w:val="fr-FR" w:eastAsia="fr-FR"/>
              </w:rPr>
            </w:pPr>
            <w:commentRangeStart w:id="65"/>
            <w:r w:rsidRPr="00685D45">
              <w:rPr>
                <w:rFonts w:eastAsia="Times New Roman"/>
                <w:color w:val="000000"/>
                <w:sz w:val="18"/>
                <w:szCs w:val="18"/>
                <w:lang w:val="fr-FR" w:eastAsia="fr-FR"/>
              </w:rPr>
              <w:t>321.8</w:t>
            </w:r>
            <w:commentRangeEnd w:id="65"/>
            <w:r w:rsidR="002B1DB5">
              <w:rPr>
                <w:rStyle w:val="CommentReference"/>
                <w:rFonts w:asciiTheme="minorHAnsi" w:eastAsiaTheme="minorEastAsia" w:hAnsiTheme="minorHAnsi" w:cstheme="minorBidi"/>
                <w:lang w:val="fr-FR" w:eastAsia="fr-FR"/>
              </w:rPr>
              <w:commentReference w:id="65"/>
            </w:r>
          </w:p>
        </w:tc>
        <w:tc>
          <w:tcPr>
            <w:tcW w:w="740" w:type="dxa"/>
            <w:tcBorders>
              <w:top w:val="nil"/>
              <w:left w:val="nil"/>
              <w:bottom w:val="nil"/>
              <w:right w:val="nil"/>
            </w:tcBorders>
            <w:shd w:val="clear" w:color="auto" w:fill="auto"/>
            <w:noWrap/>
            <w:vAlign w:val="bottom"/>
            <w:hideMark/>
          </w:tcPr>
          <w:p w14:paraId="4A1312C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38.1</w:t>
            </w:r>
          </w:p>
        </w:tc>
        <w:tc>
          <w:tcPr>
            <w:tcW w:w="160" w:type="dxa"/>
            <w:tcBorders>
              <w:top w:val="nil"/>
              <w:left w:val="nil"/>
              <w:bottom w:val="nil"/>
              <w:right w:val="nil"/>
            </w:tcBorders>
            <w:shd w:val="clear" w:color="auto" w:fill="auto"/>
            <w:noWrap/>
            <w:vAlign w:val="bottom"/>
            <w:hideMark/>
          </w:tcPr>
          <w:p w14:paraId="58C4CD30"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1100834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606.7</w:t>
            </w:r>
          </w:p>
        </w:tc>
        <w:tc>
          <w:tcPr>
            <w:tcW w:w="219" w:type="dxa"/>
            <w:tcBorders>
              <w:top w:val="nil"/>
              <w:left w:val="nil"/>
              <w:bottom w:val="nil"/>
              <w:right w:val="nil"/>
            </w:tcBorders>
            <w:shd w:val="clear" w:color="auto" w:fill="auto"/>
            <w:noWrap/>
            <w:vAlign w:val="bottom"/>
            <w:hideMark/>
          </w:tcPr>
          <w:p w14:paraId="5BBA0B2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0B4A730B"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422C365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6.0</w:t>
            </w:r>
          </w:p>
        </w:tc>
        <w:tc>
          <w:tcPr>
            <w:tcW w:w="585" w:type="dxa"/>
            <w:tcBorders>
              <w:top w:val="nil"/>
              <w:left w:val="nil"/>
              <w:bottom w:val="nil"/>
              <w:right w:val="nil"/>
            </w:tcBorders>
            <w:shd w:val="clear" w:color="auto" w:fill="auto"/>
            <w:noWrap/>
            <w:vAlign w:val="bottom"/>
            <w:hideMark/>
          </w:tcPr>
          <w:p w14:paraId="352DEDD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10.3</w:t>
            </w:r>
          </w:p>
        </w:tc>
        <w:tc>
          <w:tcPr>
            <w:tcW w:w="160" w:type="dxa"/>
            <w:tcBorders>
              <w:top w:val="nil"/>
              <w:left w:val="nil"/>
              <w:bottom w:val="nil"/>
              <w:right w:val="nil"/>
            </w:tcBorders>
            <w:shd w:val="clear" w:color="auto" w:fill="auto"/>
            <w:noWrap/>
            <w:vAlign w:val="center"/>
            <w:hideMark/>
          </w:tcPr>
          <w:p w14:paraId="3E0B28F4"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4D2EE12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398.7</w:t>
            </w:r>
          </w:p>
        </w:tc>
        <w:tc>
          <w:tcPr>
            <w:tcW w:w="747" w:type="dxa"/>
            <w:tcBorders>
              <w:top w:val="nil"/>
              <w:left w:val="nil"/>
              <w:bottom w:val="nil"/>
              <w:right w:val="nil"/>
            </w:tcBorders>
            <w:shd w:val="clear" w:color="auto" w:fill="auto"/>
            <w:noWrap/>
            <w:vAlign w:val="bottom"/>
            <w:hideMark/>
          </w:tcPr>
          <w:p w14:paraId="1A81283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33.4</w:t>
            </w:r>
          </w:p>
        </w:tc>
        <w:tc>
          <w:tcPr>
            <w:tcW w:w="160" w:type="dxa"/>
            <w:tcBorders>
              <w:top w:val="nil"/>
              <w:left w:val="nil"/>
              <w:bottom w:val="nil"/>
              <w:right w:val="nil"/>
            </w:tcBorders>
            <w:shd w:val="clear" w:color="auto" w:fill="auto"/>
            <w:noWrap/>
            <w:vAlign w:val="bottom"/>
            <w:hideMark/>
          </w:tcPr>
          <w:p w14:paraId="67F131B4"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2B0CB12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20F56BE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567F84D9" w14:textId="77777777" w:rsidTr="00BC735C">
        <w:trPr>
          <w:cantSplit/>
          <w:trHeight w:val="20"/>
        </w:trPr>
        <w:tc>
          <w:tcPr>
            <w:tcW w:w="719" w:type="dxa"/>
            <w:tcBorders>
              <w:top w:val="nil"/>
              <w:left w:val="nil"/>
              <w:bottom w:val="nil"/>
              <w:right w:val="nil"/>
            </w:tcBorders>
            <w:shd w:val="clear" w:color="auto" w:fill="auto"/>
            <w:noWrap/>
            <w:vAlign w:val="bottom"/>
            <w:hideMark/>
          </w:tcPr>
          <w:p w14:paraId="166578B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Zn</w:t>
            </w:r>
          </w:p>
        </w:tc>
        <w:tc>
          <w:tcPr>
            <w:tcW w:w="785" w:type="dxa"/>
            <w:tcBorders>
              <w:top w:val="nil"/>
              <w:left w:val="nil"/>
              <w:bottom w:val="nil"/>
              <w:right w:val="nil"/>
            </w:tcBorders>
            <w:shd w:val="clear" w:color="auto" w:fill="auto"/>
            <w:noWrap/>
            <w:vAlign w:val="bottom"/>
            <w:hideMark/>
          </w:tcPr>
          <w:p w14:paraId="4DD4556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7.3</w:t>
            </w:r>
          </w:p>
        </w:tc>
        <w:tc>
          <w:tcPr>
            <w:tcW w:w="785" w:type="dxa"/>
            <w:tcBorders>
              <w:top w:val="nil"/>
              <w:left w:val="nil"/>
              <w:bottom w:val="nil"/>
              <w:right w:val="nil"/>
            </w:tcBorders>
            <w:shd w:val="clear" w:color="auto" w:fill="auto"/>
            <w:noWrap/>
            <w:vAlign w:val="bottom"/>
            <w:hideMark/>
          </w:tcPr>
          <w:p w14:paraId="65DE0DB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0.8</w:t>
            </w:r>
          </w:p>
        </w:tc>
        <w:tc>
          <w:tcPr>
            <w:tcW w:w="160" w:type="dxa"/>
            <w:tcBorders>
              <w:top w:val="nil"/>
              <w:left w:val="nil"/>
              <w:bottom w:val="nil"/>
              <w:right w:val="nil"/>
            </w:tcBorders>
            <w:shd w:val="clear" w:color="auto" w:fill="auto"/>
            <w:noWrap/>
            <w:vAlign w:val="bottom"/>
            <w:hideMark/>
          </w:tcPr>
          <w:p w14:paraId="12C1EF05"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34FB40C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0.8</w:t>
            </w:r>
          </w:p>
        </w:tc>
        <w:tc>
          <w:tcPr>
            <w:tcW w:w="650" w:type="dxa"/>
            <w:tcBorders>
              <w:top w:val="nil"/>
              <w:left w:val="nil"/>
              <w:bottom w:val="nil"/>
              <w:right w:val="nil"/>
            </w:tcBorders>
            <w:shd w:val="clear" w:color="auto" w:fill="auto"/>
            <w:noWrap/>
            <w:vAlign w:val="bottom"/>
            <w:hideMark/>
          </w:tcPr>
          <w:p w14:paraId="25EFC67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0.8</w:t>
            </w:r>
          </w:p>
        </w:tc>
        <w:tc>
          <w:tcPr>
            <w:tcW w:w="160" w:type="dxa"/>
            <w:tcBorders>
              <w:top w:val="nil"/>
              <w:left w:val="nil"/>
              <w:bottom w:val="nil"/>
              <w:right w:val="nil"/>
            </w:tcBorders>
            <w:shd w:val="clear" w:color="auto" w:fill="auto"/>
            <w:noWrap/>
            <w:vAlign w:val="center"/>
            <w:hideMark/>
          </w:tcPr>
          <w:p w14:paraId="7A9E80D9"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2DC2041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5.1</w:t>
            </w:r>
          </w:p>
        </w:tc>
        <w:tc>
          <w:tcPr>
            <w:tcW w:w="740" w:type="dxa"/>
            <w:tcBorders>
              <w:top w:val="nil"/>
              <w:left w:val="nil"/>
              <w:bottom w:val="nil"/>
              <w:right w:val="nil"/>
            </w:tcBorders>
            <w:shd w:val="clear" w:color="auto" w:fill="auto"/>
            <w:noWrap/>
            <w:vAlign w:val="bottom"/>
            <w:hideMark/>
          </w:tcPr>
          <w:p w14:paraId="07229DC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w:t>
            </w:r>
          </w:p>
        </w:tc>
        <w:tc>
          <w:tcPr>
            <w:tcW w:w="160" w:type="dxa"/>
            <w:tcBorders>
              <w:top w:val="nil"/>
              <w:left w:val="nil"/>
              <w:bottom w:val="nil"/>
              <w:right w:val="nil"/>
            </w:tcBorders>
            <w:shd w:val="clear" w:color="auto" w:fill="auto"/>
            <w:noWrap/>
            <w:vAlign w:val="bottom"/>
            <w:hideMark/>
          </w:tcPr>
          <w:p w14:paraId="560B851A"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12FE1DE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15.6</w:t>
            </w:r>
          </w:p>
        </w:tc>
        <w:tc>
          <w:tcPr>
            <w:tcW w:w="219" w:type="dxa"/>
            <w:tcBorders>
              <w:top w:val="nil"/>
              <w:left w:val="nil"/>
              <w:bottom w:val="nil"/>
              <w:right w:val="nil"/>
            </w:tcBorders>
            <w:shd w:val="clear" w:color="auto" w:fill="auto"/>
            <w:noWrap/>
            <w:vAlign w:val="bottom"/>
            <w:hideMark/>
          </w:tcPr>
          <w:p w14:paraId="39CEBAA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4ADB834A"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624899E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585" w:type="dxa"/>
            <w:tcBorders>
              <w:top w:val="nil"/>
              <w:left w:val="nil"/>
              <w:bottom w:val="nil"/>
              <w:right w:val="nil"/>
            </w:tcBorders>
            <w:shd w:val="clear" w:color="auto" w:fill="auto"/>
            <w:noWrap/>
            <w:vAlign w:val="bottom"/>
            <w:hideMark/>
          </w:tcPr>
          <w:p w14:paraId="1646167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19D83590"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168B8B7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16.9</w:t>
            </w:r>
          </w:p>
        </w:tc>
        <w:tc>
          <w:tcPr>
            <w:tcW w:w="747" w:type="dxa"/>
            <w:tcBorders>
              <w:top w:val="nil"/>
              <w:left w:val="nil"/>
              <w:bottom w:val="nil"/>
              <w:right w:val="nil"/>
            </w:tcBorders>
            <w:shd w:val="clear" w:color="auto" w:fill="auto"/>
            <w:noWrap/>
            <w:vAlign w:val="bottom"/>
            <w:hideMark/>
          </w:tcPr>
          <w:p w14:paraId="0272FA6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2.4</w:t>
            </w:r>
          </w:p>
        </w:tc>
        <w:tc>
          <w:tcPr>
            <w:tcW w:w="160" w:type="dxa"/>
            <w:tcBorders>
              <w:top w:val="nil"/>
              <w:left w:val="nil"/>
              <w:bottom w:val="nil"/>
              <w:right w:val="nil"/>
            </w:tcBorders>
            <w:shd w:val="clear" w:color="auto" w:fill="auto"/>
            <w:noWrap/>
            <w:vAlign w:val="bottom"/>
            <w:hideMark/>
          </w:tcPr>
          <w:p w14:paraId="0FFCF98B"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76FDFED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1.3</w:t>
            </w:r>
          </w:p>
        </w:tc>
        <w:tc>
          <w:tcPr>
            <w:tcW w:w="222" w:type="dxa"/>
            <w:tcBorders>
              <w:top w:val="nil"/>
              <w:left w:val="nil"/>
              <w:bottom w:val="nil"/>
              <w:right w:val="nil"/>
            </w:tcBorders>
            <w:shd w:val="clear" w:color="auto" w:fill="auto"/>
            <w:noWrap/>
            <w:vAlign w:val="bottom"/>
            <w:hideMark/>
          </w:tcPr>
          <w:p w14:paraId="0926A1E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7304CC99" w14:textId="77777777" w:rsidTr="00BC735C">
        <w:trPr>
          <w:cantSplit/>
          <w:trHeight w:val="20"/>
        </w:trPr>
        <w:tc>
          <w:tcPr>
            <w:tcW w:w="719" w:type="dxa"/>
            <w:tcBorders>
              <w:top w:val="nil"/>
              <w:left w:val="nil"/>
              <w:bottom w:val="nil"/>
              <w:right w:val="nil"/>
            </w:tcBorders>
            <w:shd w:val="clear" w:color="auto" w:fill="auto"/>
            <w:noWrap/>
            <w:vAlign w:val="bottom"/>
            <w:hideMark/>
          </w:tcPr>
          <w:p w14:paraId="75184FD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Rb</w:t>
            </w:r>
          </w:p>
        </w:tc>
        <w:tc>
          <w:tcPr>
            <w:tcW w:w="785" w:type="dxa"/>
            <w:tcBorders>
              <w:top w:val="nil"/>
              <w:left w:val="nil"/>
              <w:bottom w:val="nil"/>
              <w:right w:val="nil"/>
            </w:tcBorders>
            <w:shd w:val="clear" w:color="auto" w:fill="auto"/>
            <w:noWrap/>
            <w:vAlign w:val="bottom"/>
            <w:hideMark/>
          </w:tcPr>
          <w:p w14:paraId="40BB271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85" w:type="dxa"/>
            <w:tcBorders>
              <w:top w:val="nil"/>
              <w:left w:val="nil"/>
              <w:bottom w:val="nil"/>
              <w:right w:val="nil"/>
            </w:tcBorders>
            <w:shd w:val="clear" w:color="auto" w:fill="auto"/>
            <w:noWrap/>
            <w:vAlign w:val="bottom"/>
            <w:hideMark/>
          </w:tcPr>
          <w:p w14:paraId="66D6BA1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56AD5141"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5213091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650" w:type="dxa"/>
            <w:tcBorders>
              <w:top w:val="nil"/>
              <w:left w:val="nil"/>
              <w:bottom w:val="nil"/>
              <w:right w:val="nil"/>
            </w:tcBorders>
            <w:shd w:val="clear" w:color="auto" w:fill="auto"/>
            <w:noWrap/>
            <w:vAlign w:val="bottom"/>
            <w:hideMark/>
          </w:tcPr>
          <w:p w14:paraId="3F50DFC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1CA6552D"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341E5E7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0" w:type="dxa"/>
            <w:tcBorders>
              <w:top w:val="nil"/>
              <w:left w:val="nil"/>
              <w:bottom w:val="nil"/>
              <w:right w:val="nil"/>
            </w:tcBorders>
            <w:shd w:val="clear" w:color="auto" w:fill="auto"/>
            <w:noWrap/>
            <w:vAlign w:val="bottom"/>
            <w:hideMark/>
          </w:tcPr>
          <w:p w14:paraId="0C19C64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53D87898"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3297412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6FAB382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169618D8"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743E6D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585" w:type="dxa"/>
            <w:tcBorders>
              <w:top w:val="nil"/>
              <w:left w:val="nil"/>
              <w:bottom w:val="nil"/>
              <w:right w:val="nil"/>
            </w:tcBorders>
            <w:shd w:val="clear" w:color="auto" w:fill="auto"/>
            <w:noWrap/>
            <w:vAlign w:val="bottom"/>
            <w:hideMark/>
          </w:tcPr>
          <w:p w14:paraId="22FCA8A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51DF6FAD"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03CC2B9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7" w:type="dxa"/>
            <w:tcBorders>
              <w:top w:val="nil"/>
              <w:left w:val="nil"/>
              <w:bottom w:val="nil"/>
              <w:right w:val="nil"/>
            </w:tcBorders>
            <w:shd w:val="clear" w:color="auto" w:fill="auto"/>
            <w:noWrap/>
            <w:vAlign w:val="bottom"/>
            <w:hideMark/>
          </w:tcPr>
          <w:p w14:paraId="4AB147B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0E1883EF"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5D8A1C7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222" w:type="dxa"/>
            <w:tcBorders>
              <w:top w:val="nil"/>
              <w:left w:val="nil"/>
              <w:bottom w:val="nil"/>
              <w:right w:val="nil"/>
            </w:tcBorders>
            <w:shd w:val="clear" w:color="auto" w:fill="auto"/>
            <w:noWrap/>
            <w:vAlign w:val="bottom"/>
            <w:hideMark/>
          </w:tcPr>
          <w:p w14:paraId="1674289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52677F82" w14:textId="77777777" w:rsidTr="00BC735C">
        <w:trPr>
          <w:cantSplit/>
          <w:trHeight w:val="20"/>
        </w:trPr>
        <w:tc>
          <w:tcPr>
            <w:tcW w:w="719" w:type="dxa"/>
            <w:tcBorders>
              <w:top w:val="nil"/>
              <w:left w:val="nil"/>
              <w:bottom w:val="nil"/>
              <w:right w:val="nil"/>
            </w:tcBorders>
            <w:shd w:val="clear" w:color="auto" w:fill="auto"/>
            <w:noWrap/>
            <w:vAlign w:val="bottom"/>
            <w:hideMark/>
          </w:tcPr>
          <w:p w14:paraId="1A29FF2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Sr</w:t>
            </w:r>
          </w:p>
        </w:tc>
        <w:tc>
          <w:tcPr>
            <w:tcW w:w="785" w:type="dxa"/>
            <w:tcBorders>
              <w:top w:val="nil"/>
              <w:left w:val="nil"/>
              <w:bottom w:val="nil"/>
              <w:right w:val="nil"/>
            </w:tcBorders>
            <w:shd w:val="clear" w:color="auto" w:fill="auto"/>
            <w:noWrap/>
            <w:vAlign w:val="bottom"/>
            <w:hideMark/>
          </w:tcPr>
          <w:p w14:paraId="582E082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9.8</w:t>
            </w:r>
          </w:p>
        </w:tc>
        <w:tc>
          <w:tcPr>
            <w:tcW w:w="785" w:type="dxa"/>
            <w:tcBorders>
              <w:top w:val="nil"/>
              <w:left w:val="nil"/>
              <w:bottom w:val="nil"/>
              <w:right w:val="nil"/>
            </w:tcBorders>
            <w:shd w:val="clear" w:color="auto" w:fill="auto"/>
            <w:noWrap/>
            <w:vAlign w:val="bottom"/>
            <w:hideMark/>
          </w:tcPr>
          <w:p w14:paraId="78FAC41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160" w:type="dxa"/>
            <w:tcBorders>
              <w:top w:val="nil"/>
              <w:left w:val="nil"/>
              <w:bottom w:val="nil"/>
              <w:right w:val="nil"/>
            </w:tcBorders>
            <w:shd w:val="clear" w:color="auto" w:fill="auto"/>
            <w:noWrap/>
            <w:vAlign w:val="bottom"/>
            <w:hideMark/>
          </w:tcPr>
          <w:p w14:paraId="474161A0"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324B04A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265.1</w:t>
            </w:r>
          </w:p>
        </w:tc>
        <w:tc>
          <w:tcPr>
            <w:tcW w:w="650" w:type="dxa"/>
            <w:tcBorders>
              <w:top w:val="nil"/>
              <w:left w:val="nil"/>
              <w:bottom w:val="nil"/>
              <w:right w:val="nil"/>
            </w:tcBorders>
            <w:shd w:val="clear" w:color="auto" w:fill="auto"/>
            <w:noWrap/>
            <w:vAlign w:val="bottom"/>
            <w:hideMark/>
          </w:tcPr>
          <w:p w14:paraId="02FF3A9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8.7</w:t>
            </w:r>
          </w:p>
        </w:tc>
        <w:tc>
          <w:tcPr>
            <w:tcW w:w="160" w:type="dxa"/>
            <w:tcBorders>
              <w:top w:val="nil"/>
              <w:left w:val="nil"/>
              <w:bottom w:val="nil"/>
              <w:right w:val="nil"/>
            </w:tcBorders>
            <w:shd w:val="clear" w:color="auto" w:fill="auto"/>
            <w:noWrap/>
            <w:vAlign w:val="center"/>
            <w:hideMark/>
          </w:tcPr>
          <w:p w14:paraId="147863BE"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6997272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8.0</w:t>
            </w:r>
          </w:p>
        </w:tc>
        <w:tc>
          <w:tcPr>
            <w:tcW w:w="740" w:type="dxa"/>
            <w:tcBorders>
              <w:top w:val="nil"/>
              <w:left w:val="nil"/>
              <w:bottom w:val="nil"/>
              <w:right w:val="nil"/>
            </w:tcBorders>
            <w:shd w:val="clear" w:color="auto" w:fill="auto"/>
            <w:noWrap/>
            <w:vAlign w:val="bottom"/>
            <w:hideMark/>
          </w:tcPr>
          <w:p w14:paraId="66C6A7D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1.2</w:t>
            </w:r>
          </w:p>
        </w:tc>
        <w:tc>
          <w:tcPr>
            <w:tcW w:w="160" w:type="dxa"/>
            <w:tcBorders>
              <w:top w:val="nil"/>
              <w:left w:val="nil"/>
              <w:bottom w:val="nil"/>
              <w:right w:val="nil"/>
            </w:tcBorders>
            <w:shd w:val="clear" w:color="auto" w:fill="auto"/>
            <w:noWrap/>
            <w:vAlign w:val="bottom"/>
            <w:hideMark/>
          </w:tcPr>
          <w:p w14:paraId="6E21A950"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1C69437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219" w:type="dxa"/>
            <w:tcBorders>
              <w:top w:val="nil"/>
              <w:left w:val="nil"/>
              <w:bottom w:val="nil"/>
              <w:right w:val="nil"/>
            </w:tcBorders>
            <w:shd w:val="clear" w:color="auto" w:fill="auto"/>
            <w:noWrap/>
            <w:vAlign w:val="bottom"/>
            <w:hideMark/>
          </w:tcPr>
          <w:p w14:paraId="0D4E318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0BCEE735"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B88839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276.0</w:t>
            </w:r>
          </w:p>
        </w:tc>
        <w:tc>
          <w:tcPr>
            <w:tcW w:w="585" w:type="dxa"/>
            <w:tcBorders>
              <w:top w:val="nil"/>
              <w:left w:val="nil"/>
              <w:bottom w:val="nil"/>
              <w:right w:val="nil"/>
            </w:tcBorders>
            <w:shd w:val="clear" w:color="auto" w:fill="auto"/>
            <w:noWrap/>
            <w:vAlign w:val="bottom"/>
            <w:hideMark/>
          </w:tcPr>
          <w:p w14:paraId="5F2D1F8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45.5</w:t>
            </w:r>
          </w:p>
        </w:tc>
        <w:tc>
          <w:tcPr>
            <w:tcW w:w="160" w:type="dxa"/>
            <w:tcBorders>
              <w:top w:val="nil"/>
              <w:left w:val="nil"/>
              <w:bottom w:val="nil"/>
              <w:right w:val="nil"/>
            </w:tcBorders>
            <w:shd w:val="clear" w:color="auto" w:fill="auto"/>
            <w:noWrap/>
            <w:vAlign w:val="center"/>
            <w:hideMark/>
          </w:tcPr>
          <w:p w14:paraId="61207369"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4F8616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12.8</w:t>
            </w:r>
          </w:p>
        </w:tc>
        <w:tc>
          <w:tcPr>
            <w:tcW w:w="747" w:type="dxa"/>
            <w:tcBorders>
              <w:top w:val="nil"/>
              <w:left w:val="nil"/>
              <w:bottom w:val="nil"/>
              <w:right w:val="nil"/>
            </w:tcBorders>
            <w:shd w:val="clear" w:color="auto" w:fill="auto"/>
            <w:noWrap/>
            <w:vAlign w:val="bottom"/>
            <w:hideMark/>
          </w:tcPr>
          <w:p w14:paraId="37BD999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1.5</w:t>
            </w:r>
          </w:p>
        </w:tc>
        <w:tc>
          <w:tcPr>
            <w:tcW w:w="160" w:type="dxa"/>
            <w:tcBorders>
              <w:top w:val="nil"/>
              <w:left w:val="nil"/>
              <w:bottom w:val="nil"/>
              <w:right w:val="nil"/>
            </w:tcBorders>
            <w:shd w:val="clear" w:color="auto" w:fill="auto"/>
            <w:noWrap/>
            <w:vAlign w:val="bottom"/>
            <w:hideMark/>
          </w:tcPr>
          <w:p w14:paraId="7FBA0247"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1DF6687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329.7</w:t>
            </w:r>
          </w:p>
        </w:tc>
        <w:tc>
          <w:tcPr>
            <w:tcW w:w="222" w:type="dxa"/>
            <w:tcBorders>
              <w:top w:val="nil"/>
              <w:left w:val="nil"/>
              <w:bottom w:val="nil"/>
              <w:right w:val="nil"/>
            </w:tcBorders>
            <w:shd w:val="clear" w:color="auto" w:fill="auto"/>
            <w:noWrap/>
            <w:vAlign w:val="bottom"/>
            <w:hideMark/>
          </w:tcPr>
          <w:p w14:paraId="11133F4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1BD0549A" w14:textId="77777777" w:rsidTr="00BC735C">
        <w:trPr>
          <w:cantSplit/>
          <w:trHeight w:val="20"/>
        </w:trPr>
        <w:tc>
          <w:tcPr>
            <w:tcW w:w="719" w:type="dxa"/>
            <w:tcBorders>
              <w:top w:val="nil"/>
              <w:left w:val="nil"/>
              <w:bottom w:val="nil"/>
              <w:right w:val="nil"/>
            </w:tcBorders>
            <w:shd w:val="clear" w:color="auto" w:fill="auto"/>
            <w:noWrap/>
            <w:vAlign w:val="bottom"/>
            <w:hideMark/>
          </w:tcPr>
          <w:p w14:paraId="679374D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Y</w:t>
            </w:r>
          </w:p>
        </w:tc>
        <w:tc>
          <w:tcPr>
            <w:tcW w:w="785" w:type="dxa"/>
            <w:tcBorders>
              <w:top w:val="nil"/>
              <w:left w:val="nil"/>
              <w:bottom w:val="nil"/>
              <w:right w:val="nil"/>
            </w:tcBorders>
            <w:shd w:val="clear" w:color="auto" w:fill="auto"/>
            <w:noWrap/>
            <w:vAlign w:val="bottom"/>
            <w:hideMark/>
          </w:tcPr>
          <w:p w14:paraId="1EF65B6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20.4</w:t>
            </w:r>
          </w:p>
        </w:tc>
        <w:tc>
          <w:tcPr>
            <w:tcW w:w="785" w:type="dxa"/>
            <w:tcBorders>
              <w:top w:val="nil"/>
              <w:left w:val="nil"/>
              <w:bottom w:val="nil"/>
              <w:right w:val="nil"/>
            </w:tcBorders>
            <w:shd w:val="clear" w:color="auto" w:fill="auto"/>
            <w:noWrap/>
            <w:vAlign w:val="bottom"/>
            <w:hideMark/>
          </w:tcPr>
          <w:p w14:paraId="6C1D95E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1.5</w:t>
            </w:r>
          </w:p>
        </w:tc>
        <w:tc>
          <w:tcPr>
            <w:tcW w:w="160" w:type="dxa"/>
            <w:tcBorders>
              <w:top w:val="nil"/>
              <w:left w:val="nil"/>
              <w:bottom w:val="nil"/>
              <w:right w:val="nil"/>
            </w:tcBorders>
            <w:shd w:val="clear" w:color="auto" w:fill="auto"/>
            <w:noWrap/>
            <w:vAlign w:val="bottom"/>
            <w:hideMark/>
          </w:tcPr>
          <w:p w14:paraId="460D6337"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0AA3FEC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650" w:type="dxa"/>
            <w:tcBorders>
              <w:top w:val="nil"/>
              <w:left w:val="nil"/>
              <w:bottom w:val="nil"/>
              <w:right w:val="nil"/>
            </w:tcBorders>
            <w:shd w:val="clear" w:color="auto" w:fill="auto"/>
            <w:noWrap/>
            <w:vAlign w:val="bottom"/>
            <w:hideMark/>
          </w:tcPr>
          <w:p w14:paraId="50723BA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160" w:type="dxa"/>
            <w:tcBorders>
              <w:top w:val="nil"/>
              <w:left w:val="nil"/>
              <w:bottom w:val="nil"/>
              <w:right w:val="nil"/>
            </w:tcBorders>
            <w:shd w:val="clear" w:color="auto" w:fill="auto"/>
            <w:noWrap/>
            <w:vAlign w:val="center"/>
            <w:hideMark/>
          </w:tcPr>
          <w:p w14:paraId="4966B528"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04408A5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14.9</w:t>
            </w:r>
          </w:p>
        </w:tc>
        <w:tc>
          <w:tcPr>
            <w:tcW w:w="740" w:type="dxa"/>
            <w:tcBorders>
              <w:top w:val="nil"/>
              <w:left w:val="nil"/>
              <w:bottom w:val="nil"/>
              <w:right w:val="nil"/>
            </w:tcBorders>
            <w:shd w:val="clear" w:color="auto" w:fill="auto"/>
            <w:noWrap/>
            <w:vAlign w:val="bottom"/>
            <w:hideMark/>
          </w:tcPr>
          <w:p w14:paraId="3B06DD2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2.0</w:t>
            </w:r>
          </w:p>
        </w:tc>
        <w:tc>
          <w:tcPr>
            <w:tcW w:w="160" w:type="dxa"/>
            <w:tcBorders>
              <w:top w:val="nil"/>
              <w:left w:val="nil"/>
              <w:bottom w:val="nil"/>
              <w:right w:val="nil"/>
            </w:tcBorders>
            <w:shd w:val="clear" w:color="auto" w:fill="auto"/>
            <w:noWrap/>
            <w:vAlign w:val="bottom"/>
            <w:hideMark/>
          </w:tcPr>
          <w:p w14:paraId="115FF772"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29A479B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1.9</w:t>
            </w:r>
          </w:p>
        </w:tc>
        <w:tc>
          <w:tcPr>
            <w:tcW w:w="219" w:type="dxa"/>
            <w:tcBorders>
              <w:top w:val="nil"/>
              <w:left w:val="nil"/>
              <w:bottom w:val="nil"/>
              <w:right w:val="nil"/>
            </w:tcBorders>
            <w:shd w:val="clear" w:color="auto" w:fill="auto"/>
            <w:noWrap/>
            <w:vAlign w:val="bottom"/>
            <w:hideMark/>
          </w:tcPr>
          <w:p w14:paraId="25DDA51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43132DC2"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51CF537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585" w:type="dxa"/>
            <w:tcBorders>
              <w:top w:val="nil"/>
              <w:left w:val="nil"/>
              <w:bottom w:val="nil"/>
              <w:right w:val="nil"/>
            </w:tcBorders>
            <w:shd w:val="clear" w:color="auto" w:fill="auto"/>
            <w:noWrap/>
            <w:vAlign w:val="bottom"/>
            <w:hideMark/>
          </w:tcPr>
          <w:p w14:paraId="19C24DA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4E29F3CE"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A7B148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13.6</w:t>
            </w:r>
          </w:p>
        </w:tc>
        <w:tc>
          <w:tcPr>
            <w:tcW w:w="747" w:type="dxa"/>
            <w:tcBorders>
              <w:top w:val="nil"/>
              <w:left w:val="nil"/>
              <w:bottom w:val="nil"/>
              <w:right w:val="nil"/>
            </w:tcBorders>
            <w:shd w:val="clear" w:color="auto" w:fill="auto"/>
            <w:noWrap/>
            <w:vAlign w:val="bottom"/>
            <w:hideMark/>
          </w:tcPr>
          <w:p w14:paraId="1ECE7D9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1.8</w:t>
            </w:r>
          </w:p>
        </w:tc>
        <w:tc>
          <w:tcPr>
            <w:tcW w:w="160" w:type="dxa"/>
            <w:tcBorders>
              <w:top w:val="nil"/>
              <w:left w:val="nil"/>
              <w:bottom w:val="nil"/>
              <w:right w:val="nil"/>
            </w:tcBorders>
            <w:shd w:val="clear" w:color="auto" w:fill="auto"/>
            <w:noWrap/>
            <w:vAlign w:val="bottom"/>
            <w:hideMark/>
          </w:tcPr>
          <w:p w14:paraId="72B4024F"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7EC97A5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222" w:type="dxa"/>
            <w:tcBorders>
              <w:top w:val="nil"/>
              <w:left w:val="nil"/>
              <w:bottom w:val="nil"/>
              <w:right w:val="nil"/>
            </w:tcBorders>
            <w:shd w:val="clear" w:color="auto" w:fill="auto"/>
            <w:noWrap/>
            <w:vAlign w:val="bottom"/>
            <w:hideMark/>
          </w:tcPr>
          <w:p w14:paraId="126786A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29DF3448" w14:textId="77777777" w:rsidTr="00BC735C">
        <w:trPr>
          <w:cantSplit/>
          <w:trHeight w:val="20"/>
        </w:trPr>
        <w:tc>
          <w:tcPr>
            <w:tcW w:w="719" w:type="dxa"/>
            <w:tcBorders>
              <w:top w:val="nil"/>
              <w:left w:val="nil"/>
              <w:bottom w:val="nil"/>
              <w:right w:val="nil"/>
            </w:tcBorders>
            <w:shd w:val="clear" w:color="auto" w:fill="auto"/>
            <w:noWrap/>
            <w:vAlign w:val="bottom"/>
            <w:hideMark/>
          </w:tcPr>
          <w:p w14:paraId="224A4B6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Zr</w:t>
            </w:r>
          </w:p>
        </w:tc>
        <w:tc>
          <w:tcPr>
            <w:tcW w:w="785" w:type="dxa"/>
            <w:tcBorders>
              <w:top w:val="nil"/>
              <w:left w:val="nil"/>
              <w:bottom w:val="nil"/>
              <w:right w:val="nil"/>
            </w:tcBorders>
            <w:shd w:val="clear" w:color="auto" w:fill="auto"/>
            <w:noWrap/>
            <w:vAlign w:val="bottom"/>
            <w:hideMark/>
          </w:tcPr>
          <w:p w14:paraId="173C3FE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24.2</w:t>
            </w:r>
          </w:p>
        </w:tc>
        <w:tc>
          <w:tcPr>
            <w:tcW w:w="785" w:type="dxa"/>
            <w:tcBorders>
              <w:top w:val="nil"/>
              <w:left w:val="nil"/>
              <w:bottom w:val="nil"/>
              <w:right w:val="nil"/>
            </w:tcBorders>
            <w:shd w:val="clear" w:color="auto" w:fill="auto"/>
            <w:noWrap/>
            <w:vAlign w:val="bottom"/>
            <w:hideMark/>
          </w:tcPr>
          <w:p w14:paraId="7D6C80A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3.8</w:t>
            </w:r>
          </w:p>
        </w:tc>
        <w:tc>
          <w:tcPr>
            <w:tcW w:w="160" w:type="dxa"/>
            <w:tcBorders>
              <w:top w:val="nil"/>
              <w:left w:val="nil"/>
              <w:bottom w:val="nil"/>
              <w:right w:val="nil"/>
            </w:tcBorders>
            <w:shd w:val="clear" w:color="auto" w:fill="auto"/>
            <w:noWrap/>
            <w:vAlign w:val="bottom"/>
            <w:hideMark/>
          </w:tcPr>
          <w:p w14:paraId="469114B6"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46D455D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650" w:type="dxa"/>
            <w:tcBorders>
              <w:top w:val="nil"/>
              <w:left w:val="nil"/>
              <w:bottom w:val="nil"/>
              <w:right w:val="nil"/>
            </w:tcBorders>
            <w:shd w:val="clear" w:color="auto" w:fill="auto"/>
            <w:noWrap/>
            <w:vAlign w:val="bottom"/>
            <w:hideMark/>
          </w:tcPr>
          <w:p w14:paraId="5AEF17F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217825CB"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194EB14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16.1</w:t>
            </w:r>
          </w:p>
        </w:tc>
        <w:tc>
          <w:tcPr>
            <w:tcW w:w="740" w:type="dxa"/>
            <w:tcBorders>
              <w:top w:val="nil"/>
              <w:left w:val="nil"/>
              <w:bottom w:val="nil"/>
              <w:right w:val="nil"/>
            </w:tcBorders>
            <w:shd w:val="clear" w:color="auto" w:fill="auto"/>
            <w:noWrap/>
            <w:vAlign w:val="bottom"/>
            <w:hideMark/>
          </w:tcPr>
          <w:p w14:paraId="7AF3535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3.2</w:t>
            </w:r>
          </w:p>
        </w:tc>
        <w:tc>
          <w:tcPr>
            <w:tcW w:w="160" w:type="dxa"/>
            <w:tcBorders>
              <w:top w:val="nil"/>
              <w:left w:val="nil"/>
              <w:bottom w:val="nil"/>
              <w:right w:val="nil"/>
            </w:tcBorders>
            <w:shd w:val="clear" w:color="auto" w:fill="auto"/>
            <w:noWrap/>
            <w:vAlign w:val="bottom"/>
            <w:hideMark/>
          </w:tcPr>
          <w:p w14:paraId="63D14869"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6ED3BE4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1.7</w:t>
            </w:r>
          </w:p>
        </w:tc>
        <w:tc>
          <w:tcPr>
            <w:tcW w:w="219" w:type="dxa"/>
            <w:tcBorders>
              <w:top w:val="nil"/>
              <w:left w:val="nil"/>
              <w:bottom w:val="nil"/>
              <w:right w:val="nil"/>
            </w:tcBorders>
            <w:shd w:val="clear" w:color="auto" w:fill="auto"/>
            <w:noWrap/>
            <w:vAlign w:val="bottom"/>
            <w:hideMark/>
          </w:tcPr>
          <w:p w14:paraId="4C37BDB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11756B73"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60A7D21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2132FEB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3C619355"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065E053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11.7</w:t>
            </w:r>
          </w:p>
        </w:tc>
        <w:tc>
          <w:tcPr>
            <w:tcW w:w="747" w:type="dxa"/>
            <w:tcBorders>
              <w:top w:val="nil"/>
              <w:left w:val="nil"/>
              <w:bottom w:val="nil"/>
              <w:right w:val="nil"/>
            </w:tcBorders>
            <w:shd w:val="clear" w:color="auto" w:fill="auto"/>
            <w:noWrap/>
            <w:vAlign w:val="bottom"/>
            <w:hideMark/>
          </w:tcPr>
          <w:p w14:paraId="5FFAC09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6.1</w:t>
            </w:r>
          </w:p>
        </w:tc>
        <w:tc>
          <w:tcPr>
            <w:tcW w:w="160" w:type="dxa"/>
            <w:tcBorders>
              <w:top w:val="nil"/>
              <w:left w:val="nil"/>
              <w:bottom w:val="nil"/>
              <w:right w:val="nil"/>
            </w:tcBorders>
            <w:shd w:val="clear" w:color="auto" w:fill="auto"/>
            <w:noWrap/>
            <w:vAlign w:val="bottom"/>
            <w:hideMark/>
          </w:tcPr>
          <w:p w14:paraId="31BAF769"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6CB2447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3.8</w:t>
            </w:r>
          </w:p>
        </w:tc>
        <w:tc>
          <w:tcPr>
            <w:tcW w:w="222" w:type="dxa"/>
            <w:tcBorders>
              <w:top w:val="nil"/>
              <w:left w:val="nil"/>
              <w:bottom w:val="nil"/>
              <w:right w:val="nil"/>
            </w:tcBorders>
            <w:shd w:val="clear" w:color="auto" w:fill="auto"/>
            <w:noWrap/>
            <w:vAlign w:val="bottom"/>
            <w:hideMark/>
          </w:tcPr>
          <w:p w14:paraId="0DF99AD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41EFB19A" w14:textId="77777777" w:rsidTr="00BC735C">
        <w:trPr>
          <w:cantSplit/>
          <w:trHeight w:val="20"/>
        </w:trPr>
        <w:tc>
          <w:tcPr>
            <w:tcW w:w="719" w:type="dxa"/>
            <w:tcBorders>
              <w:top w:val="nil"/>
              <w:left w:val="nil"/>
              <w:bottom w:val="nil"/>
              <w:right w:val="nil"/>
            </w:tcBorders>
            <w:shd w:val="clear" w:color="auto" w:fill="auto"/>
            <w:noWrap/>
            <w:vAlign w:val="bottom"/>
            <w:hideMark/>
          </w:tcPr>
          <w:p w14:paraId="72E584E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Nb</w:t>
            </w:r>
          </w:p>
        </w:tc>
        <w:tc>
          <w:tcPr>
            <w:tcW w:w="785" w:type="dxa"/>
            <w:tcBorders>
              <w:top w:val="nil"/>
              <w:left w:val="nil"/>
              <w:bottom w:val="nil"/>
              <w:right w:val="nil"/>
            </w:tcBorders>
            <w:shd w:val="clear" w:color="auto" w:fill="auto"/>
            <w:noWrap/>
            <w:vAlign w:val="bottom"/>
            <w:hideMark/>
          </w:tcPr>
          <w:p w14:paraId="6A29389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85" w:type="dxa"/>
            <w:tcBorders>
              <w:top w:val="nil"/>
              <w:left w:val="nil"/>
              <w:bottom w:val="nil"/>
              <w:right w:val="nil"/>
            </w:tcBorders>
            <w:shd w:val="clear" w:color="auto" w:fill="auto"/>
            <w:noWrap/>
            <w:vAlign w:val="bottom"/>
            <w:hideMark/>
          </w:tcPr>
          <w:p w14:paraId="4A6DA1A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6ADF2323"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0D53DAA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64F7B93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0E88710F"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2366014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0" w:type="dxa"/>
            <w:tcBorders>
              <w:top w:val="nil"/>
              <w:left w:val="nil"/>
              <w:bottom w:val="nil"/>
              <w:right w:val="nil"/>
            </w:tcBorders>
            <w:shd w:val="clear" w:color="auto" w:fill="auto"/>
            <w:noWrap/>
            <w:vAlign w:val="bottom"/>
            <w:hideMark/>
          </w:tcPr>
          <w:p w14:paraId="1B4BB67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42A2E8FD"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7ED106E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3401BED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4202A3CE"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7A52F90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5C28E15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275A291E"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48E81B3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7" w:type="dxa"/>
            <w:tcBorders>
              <w:top w:val="nil"/>
              <w:left w:val="nil"/>
              <w:bottom w:val="nil"/>
              <w:right w:val="nil"/>
            </w:tcBorders>
            <w:shd w:val="clear" w:color="auto" w:fill="auto"/>
            <w:noWrap/>
            <w:vAlign w:val="bottom"/>
            <w:hideMark/>
          </w:tcPr>
          <w:p w14:paraId="0B6828F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35F7DFAC"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014CAAD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7541EBE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3CAE968C" w14:textId="77777777" w:rsidTr="00BC735C">
        <w:trPr>
          <w:cantSplit/>
          <w:trHeight w:val="20"/>
        </w:trPr>
        <w:tc>
          <w:tcPr>
            <w:tcW w:w="719" w:type="dxa"/>
            <w:tcBorders>
              <w:top w:val="nil"/>
              <w:left w:val="nil"/>
              <w:bottom w:val="nil"/>
              <w:right w:val="nil"/>
            </w:tcBorders>
            <w:shd w:val="clear" w:color="auto" w:fill="auto"/>
            <w:noWrap/>
            <w:vAlign w:val="bottom"/>
            <w:hideMark/>
          </w:tcPr>
          <w:p w14:paraId="237D449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Ba</w:t>
            </w:r>
          </w:p>
        </w:tc>
        <w:tc>
          <w:tcPr>
            <w:tcW w:w="785" w:type="dxa"/>
            <w:tcBorders>
              <w:top w:val="nil"/>
              <w:left w:val="nil"/>
              <w:bottom w:val="nil"/>
              <w:right w:val="nil"/>
            </w:tcBorders>
            <w:shd w:val="clear" w:color="auto" w:fill="auto"/>
            <w:noWrap/>
            <w:vAlign w:val="bottom"/>
            <w:hideMark/>
          </w:tcPr>
          <w:p w14:paraId="17BD91C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85" w:type="dxa"/>
            <w:tcBorders>
              <w:top w:val="nil"/>
              <w:left w:val="nil"/>
              <w:bottom w:val="nil"/>
              <w:right w:val="nil"/>
            </w:tcBorders>
            <w:shd w:val="clear" w:color="auto" w:fill="auto"/>
            <w:noWrap/>
            <w:vAlign w:val="bottom"/>
            <w:hideMark/>
          </w:tcPr>
          <w:p w14:paraId="5E8D495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6D447416"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7626612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1.2</w:t>
            </w:r>
          </w:p>
        </w:tc>
        <w:tc>
          <w:tcPr>
            <w:tcW w:w="650" w:type="dxa"/>
            <w:tcBorders>
              <w:top w:val="nil"/>
              <w:left w:val="nil"/>
              <w:bottom w:val="nil"/>
              <w:right w:val="nil"/>
            </w:tcBorders>
            <w:shd w:val="clear" w:color="auto" w:fill="auto"/>
            <w:noWrap/>
            <w:vAlign w:val="bottom"/>
            <w:hideMark/>
          </w:tcPr>
          <w:p w14:paraId="396939F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14E229ED"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436F377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740" w:type="dxa"/>
            <w:tcBorders>
              <w:top w:val="nil"/>
              <w:left w:val="nil"/>
              <w:bottom w:val="nil"/>
              <w:right w:val="nil"/>
            </w:tcBorders>
            <w:shd w:val="clear" w:color="auto" w:fill="auto"/>
            <w:noWrap/>
            <w:vAlign w:val="bottom"/>
            <w:hideMark/>
          </w:tcPr>
          <w:p w14:paraId="1CAFF6A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2596020B"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06D91B4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51F7CD2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2A873082"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F5CBA0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4.5</w:t>
            </w:r>
          </w:p>
        </w:tc>
        <w:tc>
          <w:tcPr>
            <w:tcW w:w="585" w:type="dxa"/>
            <w:tcBorders>
              <w:top w:val="nil"/>
              <w:left w:val="nil"/>
              <w:bottom w:val="nil"/>
              <w:right w:val="nil"/>
            </w:tcBorders>
            <w:shd w:val="clear" w:color="auto" w:fill="auto"/>
            <w:noWrap/>
            <w:vAlign w:val="bottom"/>
            <w:hideMark/>
          </w:tcPr>
          <w:p w14:paraId="435A61D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5.1</w:t>
            </w:r>
          </w:p>
        </w:tc>
        <w:tc>
          <w:tcPr>
            <w:tcW w:w="160" w:type="dxa"/>
            <w:tcBorders>
              <w:top w:val="nil"/>
              <w:left w:val="nil"/>
              <w:bottom w:val="nil"/>
              <w:right w:val="nil"/>
            </w:tcBorders>
            <w:shd w:val="clear" w:color="auto" w:fill="auto"/>
            <w:noWrap/>
            <w:vAlign w:val="center"/>
            <w:hideMark/>
          </w:tcPr>
          <w:p w14:paraId="7D69064A"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41234F2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747" w:type="dxa"/>
            <w:tcBorders>
              <w:top w:val="nil"/>
              <w:left w:val="nil"/>
              <w:bottom w:val="nil"/>
              <w:right w:val="nil"/>
            </w:tcBorders>
            <w:shd w:val="clear" w:color="auto" w:fill="auto"/>
            <w:noWrap/>
            <w:vAlign w:val="bottom"/>
            <w:hideMark/>
          </w:tcPr>
          <w:p w14:paraId="029F5D6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160" w:type="dxa"/>
            <w:tcBorders>
              <w:top w:val="nil"/>
              <w:left w:val="nil"/>
              <w:bottom w:val="nil"/>
              <w:right w:val="nil"/>
            </w:tcBorders>
            <w:shd w:val="clear" w:color="auto" w:fill="auto"/>
            <w:noWrap/>
            <w:vAlign w:val="bottom"/>
            <w:hideMark/>
          </w:tcPr>
          <w:p w14:paraId="36CF565E"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B312A1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14.3</w:t>
            </w:r>
          </w:p>
        </w:tc>
        <w:tc>
          <w:tcPr>
            <w:tcW w:w="222" w:type="dxa"/>
            <w:tcBorders>
              <w:top w:val="nil"/>
              <w:left w:val="nil"/>
              <w:bottom w:val="nil"/>
              <w:right w:val="nil"/>
            </w:tcBorders>
            <w:shd w:val="clear" w:color="auto" w:fill="auto"/>
            <w:noWrap/>
            <w:vAlign w:val="bottom"/>
            <w:hideMark/>
          </w:tcPr>
          <w:p w14:paraId="3828B25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6F784359" w14:textId="77777777" w:rsidTr="00BC735C">
        <w:trPr>
          <w:cantSplit/>
          <w:trHeight w:val="20"/>
        </w:trPr>
        <w:tc>
          <w:tcPr>
            <w:tcW w:w="719" w:type="dxa"/>
            <w:tcBorders>
              <w:top w:val="nil"/>
              <w:left w:val="nil"/>
              <w:bottom w:val="nil"/>
              <w:right w:val="nil"/>
            </w:tcBorders>
            <w:shd w:val="clear" w:color="auto" w:fill="auto"/>
            <w:noWrap/>
            <w:vAlign w:val="bottom"/>
            <w:hideMark/>
          </w:tcPr>
          <w:p w14:paraId="10D23C5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La</w:t>
            </w:r>
          </w:p>
        </w:tc>
        <w:tc>
          <w:tcPr>
            <w:tcW w:w="785" w:type="dxa"/>
            <w:tcBorders>
              <w:top w:val="nil"/>
              <w:left w:val="nil"/>
              <w:bottom w:val="nil"/>
              <w:right w:val="nil"/>
            </w:tcBorders>
            <w:shd w:val="clear" w:color="auto" w:fill="auto"/>
            <w:noWrap/>
            <w:vAlign w:val="bottom"/>
            <w:hideMark/>
          </w:tcPr>
          <w:p w14:paraId="6C62D53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785" w:type="dxa"/>
            <w:tcBorders>
              <w:top w:val="nil"/>
              <w:left w:val="nil"/>
              <w:bottom w:val="nil"/>
              <w:right w:val="nil"/>
            </w:tcBorders>
            <w:shd w:val="clear" w:color="auto" w:fill="auto"/>
            <w:noWrap/>
            <w:vAlign w:val="bottom"/>
            <w:hideMark/>
          </w:tcPr>
          <w:p w14:paraId="269B5F0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319854BF"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3BF803B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650" w:type="dxa"/>
            <w:tcBorders>
              <w:top w:val="nil"/>
              <w:left w:val="nil"/>
              <w:bottom w:val="nil"/>
              <w:right w:val="nil"/>
            </w:tcBorders>
            <w:shd w:val="clear" w:color="auto" w:fill="auto"/>
            <w:noWrap/>
            <w:vAlign w:val="bottom"/>
            <w:hideMark/>
          </w:tcPr>
          <w:p w14:paraId="34B4807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0BB22DE7"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4D97BF6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740" w:type="dxa"/>
            <w:tcBorders>
              <w:top w:val="nil"/>
              <w:left w:val="nil"/>
              <w:bottom w:val="nil"/>
              <w:right w:val="nil"/>
            </w:tcBorders>
            <w:shd w:val="clear" w:color="auto" w:fill="auto"/>
            <w:noWrap/>
            <w:vAlign w:val="bottom"/>
            <w:hideMark/>
          </w:tcPr>
          <w:p w14:paraId="5195922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7214B88F"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1FF9305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35C09D7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39660E50"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B3FE75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585" w:type="dxa"/>
            <w:tcBorders>
              <w:top w:val="nil"/>
              <w:left w:val="nil"/>
              <w:bottom w:val="nil"/>
              <w:right w:val="nil"/>
            </w:tcBorders>
            <w:shd w:val="clear" w:color="auto" w:fill="auto"/>
            <w:noWrap/>
            <w:vAlign w:val="bottom"/>
            <w:hideMark/>
          </w:tcPr>
          <w:p w14:paraId="7D9B752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4FEA7D56"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71D7252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747" w:type="dxa"/>
            <w:tcBorders>
              <w:top w:val="nil"/>
              <w:left w:val="nil"/>
              <w:bottom w:val="nil"/>
              <w:right w:val="nil"/>
            </w:tcBorders>
            <w:shd w:val="clear" w:color="auto" w:fill="auto"/>
            <w:noWrap/>
            <w:vAlign w:val="bottom"/>
            <w:hideMark/>
          </w:tcPr>
          <w:p w14:paraId="65BA46D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363CFDD3"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5CE25F5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0.7</w:t>
            </w:r>
          </w:p>
        </w:tc>
        <w:tc>
          <w:tcPr>
            <w:tcW w:w="222" w:type="dxa"/>
            <w:tcBorders>
              <w:top w:val="nil"/>
              <w:left w:val="nil"/>
              <w:bottom w:val="nil"/>
              <w:right w:val="nil"/>
            </w:tcBorders>
            <w:shd w:val="clear" w:color="auto" w:fill="auto"/>
            <w:noWrap/>
            <w:vAlign w:val="bottom"/>
            <w:hideMark/>
          </w:tcPr>
          <w:p w14:paraId="736F943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0F1D28F1" w14:textId="77777777" w:rsidTr="00BC735C">
        <w:trPr>
          <w:cantSplit/>
          <w:trHeight w:val="20"/>
        </w:trPr>
        <w:tc>
          <w:tcPr>
            <w:tcW w:w="719" w:type="dxa"/>
            <w:tcBorders>
              <w:top w:val="nil"/>
              <w:left w:val="nil"/>
              <w:bottom w:val="nil"/>
              <w:right w:val="nil"/>
            </w:tcBorders>
            <w:shd w:val="clear" w:color="auto" w:fill="auto"/>
            <w:noWrap/>
            <w:vAlign w:val="bottom"/>
            <w:hideMark/>
          </w:tcPr>
          <w:p w14:paraId="73BCAFE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Ce</w:t>
            </w:r>
          </w:p>
        </w:tc>
        <w:tc>
          <w:tcPr>
            <w:tcW w:w="785" w:type="dxa"/>
            <w:tcBorders>
              <w:top w:val="nil"/>
              <w:left w:val="nil"/>
              <w:bottom w:val="nil"/>
              <w:right w:val="nil"/>
            </w:tcBorders>
            <w:shd w:val="clear" w:color="auto" w:fill="auto"/>
            <w:noWrap/>
            <w:vAlign w:val="bottom"/>
            <w:hideMark/>
          </w:tcPr>
          <w:p w14:paraId="28B62E6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2.0</w:t>
            </w:r>
          </w:p>
        </w:tc>
        <w:tc>
          <w:tcPr>
            <w:tcW w:w="785" w:type="dxa"/>
            <w:tcBorders>
              <w:top w:val="nil"/>
              <w:left w:val="nil"/>
              <w:bottom w:val="nil"/>
              <w:right w:val="nil"/>
            </w:tcBorders>
            <w:shd w:val="clear" w:color="auto" w:fill="auto"/>
            <w:noWrap/>
            <w:vAlign w:val="bottom"/>
            <w:hideMark/>
          </w:tcPr>
          <w:p w14:paraId="701E0EE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bottom"/>
            <w:hideMark/>
          </w:tcPr>
          <w:p w14:paraId="4C2DF786"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1A7DC09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0.9</w:t>
            </w:r>
          </w:p>
        </w:tc>
        <w:tc>
          <w:tcPr>
            <w:tcW w:w="650" w:type="dxa"/>
            <w:tcBorders>
              <w:top w:val="nil"/>
              <w:left w:val="nil"/>
              <w:bottom w:val="nil"/>
              <w:right w:val="nil"/>
            </w:tcBorders>
            <w:shd w:val="clear" w:color="auto" w:fill="auto"/>
            <w:noWrap/>
            <w:vAlign w:val="bottom"/>
            <w:hideMark/>
          </w:tcPr>
          <w:p w14:paraId="65527D2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28983DA0"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380F1A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1.2</w:t>
            </w:r>
          </w:p>
        </w:tc>
        <w:tc>
          <w:tcPr>
            <w:tcW w:w="740" w:type="dxa"/>
            <w:tcBorders>
              <w:top w:val="nil"/>
              <w:left w:val="nil"/>
              <w:bottom w:val="nil"/>
              <w:right w:val="nil"/>
            </w:tcBorders>
            <w:shd w:val="clear" w:color="auto" w:fill="auto"/>
            <w:noWrap/>
            <w:vAlign w:val="bottom"/>
            <w:hideMark/>
          </w:tcPr>
          <w:p w14:paraId="34C354E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449E1064"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7EE7B5A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1A31968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7B686313"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6EADCC4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585" w:type="dxa"/>
            <w:tcBorders>
              <w:top w:val="nil"/>
              <w:left w:val="nil"/>
              <w:bottom w:val="nil"/>
              <w:right w:val="nil"/>
            </w:tcBorders>
            <w:shd w:val="clear" w:color="auto" w:fill="auto"/>
            <w:noWrap/>
            <w:vAlign w:val="bottom"/>
            <w:hideMark/>
          </w:tcPr>
          <w:p w14:paraId="1C82D41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620EC8B9"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6C3749A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1.5</w:t>
            </w:r>
          </w:p>
        </w:tc>
        <w:tc>
          <w:tcPr>
            <w:tcW w:w="747" w:type="dxa"/>
            <w:tcBorders>
              <w:top w:val="nil"/>
              <w:left w:val="nil"/>
              <w:bottom w:val="nil"/>
              <w:right w:val="nil"/>
            </w:tcBorders>
            <w:shd w:val="clear" w:color="auto" w:fill="auto"/>
            <w:noWrap/>
            <w:vAlign w:val="bottom"/>
            <w:hideMark/>
          </w:tcPr>
          <w:p w14:paraId="201193D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160" w:type="dxa"/>
            <w:tcBorders>
              <w:top w:val="nil"/>
              <w:left w:val="nil"/>
              <w:bottom w:val="nil"/>
              <w:right w:val="nil"/>
            </w:tcBorders>
            <w:shd w:val="clear" w:color="auto" w:fill="auto"/>
            <w:noWrap/>
            <w:vAlign w:val="bottom"/>
            <w:hideMark/>
          </w:tcPr>
          <w:p w14:paraId="5D606E0C"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576ABA3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w:t>
            </w:r>
          </w:p>
        </w:tc>
        <w:tc>
          <w:tcPr>
            <w:tcW w:w="222" w:type="dxa"/>
            <w:tcBorders>
              <w:top w:val="nil"/>
              <w:left w:val="nil"/>
              <w:bottom w:val="nil"/>
              <w:right w:val="nil"/>
            </w:tcBorders>
            <w:shd w:val="clear" w:color="auto" w:fill="auto"/>
            <w:noWrap/>
            <w:vAlign w:val="bottom"/>
            <w:hideMark/>
          </w:tcPr>
          <w:p w14:paraId="3477CE5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3DDA8356" w14:textId="77777777" w:rsidTr="00BC735C">
        <w:trPr>
          <w:cantSplit/>
          <w:trHeight w:val="20"/>
        </w:trPr>
        <w:tc>
          <w:tcPr>
            <w:tcW w:w="719" w:type="dxa"/>
            <w:tcBorders>
              <w:top w:val="nil"/>
              <w:left w:val="nil"/>
              <w:bottom w:val="nil"/>
              <w:right w:val="nil"/>
            </w:tcBorders>
            <w:shd w:val="clear" w:color="auto" w:fill="auto"/>
            <w:noWrap/>
            <w:vAlign w:val="bottom"/>
            <w:hideMark/>
          </w:tcPr>
          <w:p w14:paraId="6CB8610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Pr</w:t>
            </w:r>
          </w:p>
        </w:tc>
        <w:tc>
          <w:tcPr>
            <w:tcW w:w="785" w:type="dxa"/>
            <w:tcBorders>
              <w:top w:val="nil"/>
              <w:left w:val="nil"/>
              <w:bottom w:val="nil"/>
              <w:right w:val="nil"/>
            </w:tcBorders>
            <w:shd w:val="clear" w:color="auto" w:fill="auto"/>
            <w:noWrap/>
            <w:vAlign w:val="bottom"/>
            <w:hideMark/>
          </w:tcPr>
          <w:p w14:paraId="786FC56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785" w:type="dxa"/>
            <w:tcBorders>
              <w:top w:val="nil"/>
              <w:left w:val="nil"/>
              <w:bottom w:val="nil"/>
              <w:right w:val="nil"/>
            </w:tcBorders>
            <w:shd w:val="clear" w:color="auto" w:fill="auto"/>
            <w:noWrap/>
            <w:vAlign w:val="bottom"/>
            <w:hideMark/>
          </w:tcPr>
          <w:p w14:paraId="72F3E0B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1101D662"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0E8A1CB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650" w:type="dxa"/>
            <w:tcBorders>
              <w:top w:val="nil"/>
              <w:left w:val="nil"/>
              <w:bottom w:val="nil"/>
              <w:right w:val="nil"/>
            </w:tcBorders>
            <w:shd w:val="clear" w:color="auto" w:fill="auto"/>
            <w:noWrap/>
            <w:vAlign w:val="bottom"/>
            <w:hideMark/>
          </w:tcPr>
          <w:p w14:paraId="637D157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50AC4BEB"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CE9553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740" w:type="dxa"/>
            <w:tcBorders>
              <w:top w:val="nil"/>
              <w:left w:val="nil"/>
              <w:bottom w:val="nil"/>
              <w:right w:val="nil"/>
            </w:tcBorders>
            <w:shd w:val="clear" w:color="auto" w:fill="auto"/>
            <w:noWrap/>
            <w:vAlign w:val="bottom"/>
            <w:hideMark/>
          </w:tcPr>
          <w:p w14:paraId="1E7790A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6BF41C05"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0EE3DA1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56334C6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0906B1EF"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60E4DF3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585" w:type="dxa"/>
            <w:tcBorders>
              <w:top w:val="nil"/>
              <w:left w:val="nil"/>
              <w:bottom w:val="nil"/>
              <w:right w:val="nil"/>
            </w:tcBorders>
            <w:shd w:val="clear" w:color="auto" w:fill="auto"/>
            <w:noWrap/>
            <w:vAlign w:val="bottom"/>
            <w:hideMark/>
          </w:tcPr>
          <w:p w14:paraId="4754F09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209EAAFF"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0212BFD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747" w:type="dxa"/>
            <w:tcBorders>
              <w:top w:val="nil"/>
              <w:left w:val="nil"/>
              <w:bottom w:val="nil"/>
              <w:right w:val="nil"/>
            </w:tcBorders>
            <w:shd w:val="clear" w:color="auto" w:fill="auto"/>
            <w:noWrap/>
            <w:vAlign w:val="bottom"/>
            <w:hideMark/>
          </w:tcPr>
          <w:p w14:paraId="2455A43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0488E1E5"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124EBC8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22" w:type="dxa"/>
            <w:tcBorders>
              <w:top w:val="nil"/>
              <w:left w:val="nil"/>
              <w:bottom w:val="nil"/>
              <w:right w:val="nil"/>
            </w:tcBorders>
            <w:shd w:val="clear" w:color="auto" w:fill="auto"/>
            <w:noWrap/>
            <w:vAlign w:val="bottom"/>
            <w:hideMark/>
          </w:tcPr>
          <w:p w14:paraId="71A237B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4248D555" w14:textId="77777777" w:rsidTr="00BC735C">
        <w:trPr>
          <w:cantSplit/>
          <w:trHeight w:val="20"/>
        </w:trPr>
        <w:tc>
          <w:tcPr>
            <w:tcW w:w="719" w:type="dxa"/>
            <w:tcBorders>
              <w:top w:val="nil"/>
              <w:left w:val="nil"/>
              <w:bottom w:val="nil"/>
              <w:right w:val="nil"/>
            </w:tcBorders>
            <w:shd w:val="clear" w:color="auto" w:fill="auto"/>
            <w:noWrap/>
            <w:vAlign w:val="bottom"/>
            <w:hideMark/>
          </w:tcPr>
          <w:p w14:paraId="02ED591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Nd</w:t>
            </w:r>
          </w:p>
        </w:tc>
        <w:tc>
          <w:tcPr>
            <w:tcW w:w="785" w:type="dxa"/>
            <w:tcBorders>
              <w:top w:val="nil"/>
              <w:left w:val="nil"/>
              <w:bottom w:val="nil"/>
              <w:right w:val="nil"/>
            </w:tcBorders>
            <w:shd w:val="clear" w:color="auto" w:fill="auto"/>
            <w:noWrap/>
            <w:vAlign w:val="bottom"/>
            <w:hideMark/>
          </w:tcPr>
          <w:p w14:paraId="668012A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3.7</w:t>
            </w:r>
          </w:p>
        </w:tc>
        <w:tc>
          <w:tcPr>
            <w:tcW w:w="785" w:type="dxa"/>
            <w:tcBorders>
              <w:top w:val="nil"/>
              <w:left w:val="nil"/>
              <w:bottom w:val="nil"/>
              <w:right w:val="nil"/>
            </w:tcBorders>
            <w:shd w:val="clear" w:color="auto" w:fill="auto"/>
            <w:noWrap/>
            <w:vAlign w:val="bottom"/>
            <w:hideMark/>
          </w:tcPr>
          <w:p w14:paraId="5A57C90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160" w:type="dxa"/>
            <w:tcBorders>
              <w:top w:val="nil"/>
              <w:left w:val="nil"/>
              <w:bottom w:val="nil"/>
              <w:right w:val="nil"/>
            </w:tcBorders>
            <w:shd w:val="clear" w:color="auto" w:fill="auto"/>
            <w:noWrap/>
            <w:vAlign w:val="bottom"/>
            <w:hideMark/>
          </w:tcPr>
          <w:p w14:paraId="74C85C99"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45953CD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650" w:type="dxa"/>
            <w:tcBorders>
              <w:top w:val="nil"/>
              <w:left w:val="nil"/>
              <w:bottom w:val="nil"/>
              <w:right w:val="nil"/>
            </w:tcBorders>
            <w:shd w:val="clear" w:color="auto" w:fill="auto"/>
            <w:noWrap/>
            <w:vAlign w:val="bottom"/>
            <w:hideMark/>
          </w:tcPr>
          <w:p w14:paraId="094CB7B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5F2FA6C3"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421D802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2.8</w:t>
            </w:r>
          </w:p>
        </w:tc>
        <w:tc>
          <w:tcPr>
            <w:tcW w:w="740" w:type="dxa"/>
            <w:tcBorders>
              <w:top w:val="nil"/>
              <w:left w:val="nil"/>
              <w:bottom w:val="nil"/>
              <w:right w:val="nil"/>
            </w:tcBorders>
            <w:shd w:val="clear" w:color="auto" w:fill="auto"/>
            <w:noWrap/>
            <w:vAlign w:val="bottom"/>
            <w:hideMark/>
          </w:tcPr>
          <w:p w14:paraId="00CA0E9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bottom"/>
            <w:hideMark/>
          </w:tcPr>
          <w:p w14:paraId="629DA591"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54E5A42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08D7A13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534FCF02"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37C5636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585" w:type="dxa"/>
            <w:tcBorders>
              <w:top w:val="nil"/>
              <w:left w:val="nil"/>
              <w:bottom w:val="nil"/>
              <w:right w:val="nil"/>
            </w:tcBorders>
            <w:shd w:val="clear" w:color="auto" w:fill="auto"/>
            <w:noWrap/>
            <w:vAlign w:val="bottom"/>
            <w:hideMark/>
          </w:tcPr>
          <w:p w14:paraId="2A82706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691F1C65"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69914DF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2.6</w:t>
            </w:r>
          </w:p>
        </w:tc>
        <w:tc>
          <w:tcPr>
            <w:tcW w:w="747" w:type="dxa"/>
            <w:tcBorders>
              <w:top w:val="nil"/>
              <w:left w:val="nil"/>
              <w:bottom w:val="nil"/>
              <w:right w:val="nil"/>
            </w:tcBorders>
            <w:shd w:val="clear" w:color="auto" w:fill="auto"/>
            <w:noWrap/>
            <w:vAlign w:val="bottom"/>
            <w:hideMark/>
          </w:tcPr>
          <w:p w14:paraId="0669FA6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160" w:type="dxa"/>
            <w:tcBorders>
              <w:top w:val="nil"/>
              <w:left w:val="nil"/>
              <w:bottom w:val="nil"/>
              <w:right w:val="nil"/>
            </w:tcBorders>
            <w:shd w:val="clear" w:color="auto" w:fill="auto"/>
            <w:noWrap/>
            <w:vAlign w:val="bottom"/>
            <w:hideMark/>
          </w:tcPr>
          <w:p w14:paraId="2AB898FD"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06D1EBA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0.7</w:t>
            </w:r>
          </w:p>
        </w:tc>
        <w:tc>
          <w:tcPr>
            <w:tcW w:w="222" w:type="dxa"/>
            <w:tcBorders>
              <w:top w:val="nil"/>
              <w:left w:val="nil"/>
              <w:bottom w:val="nil"/>
              <w:right w:val="nil"/>
            </w:tcBorders>
            <w:shd w:val="clear" w:color="auto" w:fill="auto"/>
            <w:noWrap/>
            <w:vAlign w:val="bottom"/>
            <w:hideMark/>
          </w:tcPr>
          <w:p w14:paraId="3E49C23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51DDE1AA" w14:textId="77777777" w:rsidTr="00BC735C">
        <w:trPr>
          <w:cantSplit/>
          <w:trHeight w:val="20"/>
        </w:trPr>
        <w:tc>
          <w:tcPr>
            <w:tcW w:w="719" w:type="dxa"/>
            <w:tcBorders>
              <w:top w:val="nil"/>
              <w:left w:val="nil"/>
              <w:bottom w:val="nil"/>
              <w:right w:val="nil"/>
            </w:tcBorders>
            <w:shd w:val="clear" w:color="auto" w:fill="auto"/>
            <w:noWrap/>
            <w:vAlign w:val="bottom"/>
            <w:hideMark/>
          </w:tcPr>
          <w:p w14:paraId="7F2CF27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Sm</w:t>
            </w:r>
          </w:p>
        </w:tc>
        <w:tc>
          <w:tcPr>
            <w:tcW w:w="785" w:type="dxa"/>
            <w:tcBorders>
              <w:top w:val="nil"/>
              <w:left w:val="nil"/>
              <w:bottom w:val="nil"/>
              <w:right w:val="nil"/>
            </w:tcBorders>
            <w:shd w:val="clear" w:color="auto" w:fill="auto"/>
            <w:noWrap/>
            <w:vAlign w:val="bottom"/>
            <w:hideMark/>
          </w:tcPr>
          <w:p w14:paraId="7A5EE89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1.9</w:t>
            </w:r>
          </w:p>
        </w:tc>
        <w:tc>
          <w:tcPr>
            <w:tcW w:w="785" w:type="dxa"/>
            <w:tcBorders>
              <w:top w:val="nil"/>
              <w:left w:val="nil"/>
              <w:bottom w:val="nil"/>
              <w:right w:val="nil"/>
            </w:tcBorders>
            <w:shd w:val="clear" w:color="auto" w:fill="auto"/>
            <w:noWrap/>
            <w:vAlign w:val="bottom"/>
            <w:hideMark/>
          </w:tcPr>
          <w:p w14:paraId="260CF00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595FE413"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4EBD8FF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650" w:type="dxa"/>
            <w:tcBorders>
              <w:top w:val="nil"/>
              <w:left w:val="nil"/>
              <w:bottom w:val="nil"/>
              <w:right w:val="nil"/>
            </w:tcBorders>
            <w:shd w:val="clear" w:color="auto" w:fill="auto"/>
            <w:noWrap/>
            <w:vAlign w:val="bottom"/>
            <w:hideMark/>
          </w:tcPr>
          <w:p w14:paraId="594888C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4EB47E9B"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D69D63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1.4</w:t>
            </w:r>
          </w:p>
        </w:tc>
        <w:tc>
          <w:tcPr>
            <w:tcW w:w="740" w:type="dxa"/>
            <w:tcBorders>
              <w:top w:val="nil"/>
              <w:left w:val="nil"/>
              <w:bottom w:val="nil"/>
              <w:right w:val="nil"/>
            </w:tcBorders>
            <w:shd w:val="clear" w:color="auto" w:fill="auto"/>
            <w:noWrap/>
            <w:vAlign w:val="bottom"/>
            <w:hideMark/>
          </w:tcPr>
          <w:p w14:paraId="604D3C3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0E0B608C"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6583A38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19" w:type="dxa"/>
            <w:tcBorders>
              <w:top w:val="nil"/>
              <w:left w:val="nil"/>
              <w:bottom w:val="nil"/>
              <w:right w:val="nil"/>
            </w:tcBorders>
            <w:shd w:val="clear" w:color="auto" w:fill="auto"/>
            <w:noWrap/>
            <w:vAlign w:val="bottom"/>
            <w:hideMark/>
          </w:tcPr>
          <w:p w14:paraId="0625C65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7235DB74"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730DCA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585" w:type="dxa"/>
            <w:tcBorders>
              <w:top w:val="nil"/>
              <w:left w:val="nil"/>
              <w:bottom w:val="nil"/>
              <w:right w:val="nil"/>
            </w:tcBorders>
            <w:shd w:val="clear" w:color="auto" w:fill="auto"/>
            <w:noWrap/>
            <w:vAlign w:val="bottom"/>
            <w:hideMark/>
          </w:tcPr>
          <w:p w14:paraId="488E326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1230B905"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7236A43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1.3</w:t>
            </w:r>
          </w:p>
        </w:tc>
        <w:tc>
          <w:tcPr>
            <w:tcW w:w="747" w:type="dxa"/>
            <w:tcBorders>
              <w:top w:val="nil"/>
              <w:left w:val="nil"/>
              <w:bottom w:val="nil"/>
              <w:right w:val="nil"/>
            </w:tcBorders>
            <w:shd w:val="clear" w:color="auto" w:fill="auto"/>
            <w:noWrap/>
            <w:vAlign w:val="bottom"/>
            <w:hideMark/>
          </w:tcPr>
          <w:p w14:paraId="3547DDE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bottom"/>
            <w:hideMark/>
          </w:tcPr>
          <w:p w14:paraId="2118B8AB"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C71321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22" w:type="dxa"/>
            <w:tcBorders>
              <w:top w:val="nil"/>
              <w:left w:val="nil"/>
              <w:bottom w:val="nil"/>
              <w:right w:val="nil"/>
            </w:tcBorders>
            <w:shd w:val="clear" w:color="auto" w:fill="auto"/>
            <w:noWrap/>
            <w:vAlign w:val="bottom"/>
            <w:hideMark/>
          </w:tcPr>
          <w:p w14:paraId="2D9C730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745D6041" w14:textId="77777777" w:rsidTr="00BC735C">
        <w:trPr>
          <w:cantSplit/>
          <w:trHeight w:val="20"/>
        </w:trPr>
        <w:tc>
          <w:tcPr>
            <w:tcW w:w="719" w:type="dxa"/>
            <w:tcBorders>
              <w:top w:val="nil"/>
              <w:left w:val="nil"/>
              <w:bottom w:val="nil"/>
              <w:right w:val="nil"/>
            </w:tcBorders>
            <w:shd w:val="clear" w:color="auto" w:fill="auto"/>
            <w:noWrap/>
            <w:vAlign w:val="bottom"/>
            <w:hideMark/>
          </w:tcPr>
          <w:p w14:paraId="48270A4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Eu</w:t>
            </w:r>
          </w:p>
        </w:tc>
        <w:tc>
          <w:tcPr>
            <w:tcW w:w="785" w:type="dxa"/>
            <w:tcBorders>
              <w:top w:val="nil"/>
              <w:left w:val="nil"/>
              <w:bottom w:val="nil"/>
              <w:right w:val="nil"/>
            </w:tcBorders>
            <w:shd w:val="clear" w:color="auto" w:fill="auto"/>
            <w:noWrap/>
            <w:vAlign w:val="bottom"/>
            <w:hideMark/>
          </w:tcPr>
          <w:p w14:paraId="1CC31A1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785" w:type="dxa"/>
            <w:tcBorders>
              <w:top w:val="nil"/>
              <w:left w:val="nil"/>
              <w:bottom w:val="nil"/>
              <w:right w:val="nil"/>
            </w:tcBorders>
            <w:shd w:val="clear" w:color="auto" w:fill="auto"/>
            <w:noWrap/>
            <w:vAlign w:val="bottom"/>
            <w:hideMark/>
          </w:tcPr>
          <w:p w14:paraId="03CDCB3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08F8C58F"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4ABFBF9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650" w:type="dxa"/>
            <w:tcBorders>
              <w:top w:val="nil"/>
              <w:left w:val="nil"/>
              <w:bottom w:val="nil"/>
              <w:right w:val="nil"/>
            </w:tcBorders>
            <w:shd w:val="clear" w:color="auto" w:fill="auto"/>
            <w:noWrap/>
            <w:vAlign w:val="bottom"/>
            <w:hideMark/>
          </w:tcPr>
          <w:p w14:paraId="3926BA8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1DCDEA37"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F9F036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740" w:type="dxa"/>
            <w:tcBorders>
              <w:top w:val="nil"/>
              <w:left w:val="nil"/>
              <w:bottom w:val="nil"/>
              <w:right w:val="nil"/>
            </w:tcBorders>
            <w:shd w:val="clear" w:color="auto" w:fill="auto"/>
            <w:noWrap/>
            <w:vAlign w:val="bottom"/>
            <w:hideMark/>
          </w:tcPr>
          <w:p w14:paraId="1252E5A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11402F87"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666BFFF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5846BFB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2D353F99"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6ED596F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585" w:type="dxa"/>
            <w:tcBorders>
              <w:top w:val="nil"/>
              <w:left w:val="nil"/>
              <w:bottom w:val="nil"/>
              <w:right w:val="nil"/>
            </w:tcBorders>
            <w:shd w:val="clear" w:color="auto" w:fill="auto"/>
            <w:noWrap/>
            <w:vAlign w:val="bottom"/>
            <w:hideMark/>
          </w:tcPr>
          <w:p w14:paraId="130C648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5D798C3F"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1B063AB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747" w:type="dxa"/>
            <w:tcBorders>
              <w:top w:val="nil"/>
              <w:left w:val="nil"/>
              <w:bottom w:val="nil"/>
              <w:right w:val="nil"/>
            </w:tcBorders>
            <w:shd w:val="clear" w:color="auto" w:fill="auto"/>
            <w:noWrap/>
            <w:vAlign w:val="bottom"/>
            <w:hideMark/>
          </w:tcPr>
          <w:p w14:paraId="5907FCB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2276B7B9"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3F72F35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222" w:type="dxa"/>
            <w:tcBorders>
              <w:top w:val="nil"/>
              <w:left w:val="nil"/>
              <w:bottom w:val="nil"/>
              <w:right w:val="nil"/>
            </w:tcBorders>
            <w:shd w:val="clear" w:color="auto" w:fill="auto"/>
            <w:noWrap/>
            <w:vAlign w:val="bottom"/>
            <w:hideMark/>
          </w:tcPr>
          <w:p w14:paraId="37EF621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47984442" w14:textId="77777777" w:rsidTr="00BC735C">
        <w:trPr>
          <w:cantSplit/>
          <w:trHeight w:val="20"/>
        </w:trPr>
        <w:tc>
          <w:tcPr>
            <w:tcW w:w="719" w:type="dxa"/>
            <w:tcBorders>
              <w:top w:val="nil"/>
              <w:left w:val="nil"/>
              <w:bottom w:val="nil"/>
              <w:right w:val="nil"/>
            </w:tcBorders>
            <w:shd w:val="clear" w:color="auto" w:fill="auto"/>
            <w:noWrap/>
            <w:vAlign w:val="bottom"/>
            <w:hideMark/>
          </w:tcPr>
          <w:p w14:paraId="3D428B3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Gd</w:t>
            </w:r>
          </w:p>
        </w:tc>
        <w:tc>
          <w:tcPr>
            <w:tcW w:w="785" w:type="dxa"/>
            <w:tcBorders>
              <w:top w:val="nil"/>
              <w:left w:val="nil"/>
              <w:bottom w:val="nil"/>
              <w:right w:val="nil"/>
            </w:tcBorders>
            <w:shd w:val="clear" w:color="auto" w:fill="auto"/>
            <w:noWrap/>
            <w:vAlign w:val="bottom"/>
            <w:hideMark/>
          </w:tcPr>
          <w:p w14:paraId="3CE44CB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2.8</w:t>
            </w:r>
          </w:p>
        </w:tc>
        <w:tc>
          <w:tcPr>
            <w:tcW w:w="785" w:type="dxa"/>
            <w:tcBorders>
              <w:top w:val="nil"/>
              <w:left w:val="nil"/>
              <w:bottom w:val="nil"/>
              <w:right w:val="nil"/>
            </w:tcBorders>
            <w:shd w:val="clear" w:color="auto" w:fill="auto"/>
            <w:noWrap/>
            <w:vAlign w:val="bottom"/>
            <w:hideMark/>
          </w:tcPr>
          <w:p w14:paraId="1D610DF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2F61504A"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4351EA0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650" w:type="dxa"/>
            <w:tcBorders>
              <w:top w:val="nil"/>
              <w:left w:val="nil"/>
              <w:bottom w:val="nil"/>
              <w:right w:val="nil"/>
            </w:tcBorders>
            <w:shd w:val="clear" w:color="auto" w:fill="auto"/>
            <w:noWrap/>
            <w:vAlign w:val="bottom"/>
            <w:hideMark/>
          </w:tcPr>
          <w:p w14:paraId="388B921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5D6F5E41"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147FD9C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2.1</w:t>
            </w:r>
          </w:p>
        </w:tc>
        <w:tc>
          <w:tcPr>
            <w:tcW w:w="740" w:type="dxa"/>
            <w:tcBorders>
              <w:top w:val="nil"/>
              <w:left w:val="nil"/>
              <w:bottom w:val="nil"/>
              <w:right w:val="nil"/>
            </w:tcBorders>
            <w:shd w:val="clear" w:color="auto" w:fill="auto"/>
            <w:noWrap/>
            <w:vAlign w:val="bottom"/>
            <w:hideMark/>
          </w:tcPr>
          <w:p w14:paraId="07D26BE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bottom"/>
            <w:hideMark/>
          </w:tcPr>
          <w:p w14:paraId="2E834BA0"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7DF8FB8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19" w:type="dxa"/>
            <w:tcBorders>
              <w:top w:val="nil"/>
              <w:left w:val="nil"/>
              <w:bottom w:val="nil"/>
              <w:right w:val="nil"/>
            </w:tcBorders>
            <w:shd w:val="clear" w:color="auto" w:fill="auto"/>
            <w:noWrap/>
            <w:vAlign w:val="bottom"/>
            <w:hideMark/>
          </w:tcPr>
          <w:p w14:paraId="53D5A7E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4696541B"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02562D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054D42C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00066A2A"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1123796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2.0</w:t>
            </w:r>
          </w:p>
        </w:tc>
        <w:tc>
          <w:tcPr>
            <w:tcW w:w="747" w:type="dxa"/>
            <w:tcBorders>
              <w:top w:val="nil"/>
              <w:left w:val="nil"/>
              <w:bottom w:val="nil"/>
              <w:right w:val="nil"/>
            </w:tcBorders>
            <w:shd w:val="clear" w:color="auto" w:fill="auto"/>
            <w:noWrap/>
            <w:vAlign w:val="bottom"/>
            <w:hideMark/>
          </w:tcPr>
          <w:p w14:paraId="18F4CAA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bottom"/>
            <w:hideMark/>
          </w:tcPr>
          <w:p w14:paraId="020EF0DC"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123ACBD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22" w:type="dxa"/>
            <w:tcBorders>
              <w:top w:val="nil"/>
              <w:left w:val="nil"/>
              <w:bottom w:val="nil"/>
              <w:right w:val="nil"/>
            </w:tcBorders>
            <w:shd w:val="clear" w:color="auto" w:fill="auto"/>
            <w:noWrap/>
            <w:vAlign w:val="bottom"/>
            <w:hideMark/>
          </w:tcPr>
          <w:p w14:paraId="74AA7C9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3E4B1CE1" w14:textId="77777777" w:rsidTr="00BC735C">
        <w:trPr>
          <w:cantSplit/>
          <w:trHeight w:val="20"/>
        </w:trPr>
        <w:tc>
          <w:tcPr>
            <w:tcW w:w="719" w:type="dxa"/>
            <w:tcBorders>
              <w:top w:val="nil"/>
              <w:left w:val="nil"/>
              <w:bottom w:val="nil"/>
              <w:right w:val="nil"/>
            </w:tcBorders>
            <w:shd w:val="clear" w:color="auto" w:fill="auto"/>
            <w:noWrap/>
            <w:vAlign w:val="bottom"/>
            <w:hideMark/>
          </w:tcPr>
          <w:p w14:paraId="377F84D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Tb</w:t>
            </w:r>
          </w:p>
        </w:tc>
        <w:tc>
          <w:tcPr>
            <w:tcW w:w="785" w:type="dxa"/>
            <w:tcBorders>
              <w:top w:val="nil"/>
              <w:left w:val="nil"/>
              <w:bottom w:val="nil"/>
              <w:right w:val="nil"/>
            </w:tcBorders>
            <w:shd w:val="clear" w:color="auto" w:fill="auto"/>
            <w:noWrap/>
            <w:vAlign w:val="bottom"/>
            <w:hideMark/>
          </w:tcPr>
          <w:p w14:paraId="32184FC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785" w:type="dxa"/>
            <w:tcBorders>
              <w:top w:val="nil"/>
              <w:left w:val="nil"/>
              <w:bottom w:val="nil"/>
              <w:right w:val="nil"/>
            </w:tcBorders>
            <w:shd w:val="clear" w:color="auto" w:fill="auto"/>
            <w:noWrap/>
            <w:vAlign w:val="bottom"/>
            <w:hideMark/>
          </w:tcPr>
          <w:p w14:paraId="69B8473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5D90502F"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0461010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187231B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6FEA9CE3"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1691950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740" w:type="dxa"/>
            <w:tcBorders>
              <w:top w:val="nil"/>
              <w:left w:val="nil"/>
              <w:bottom w:val="nil"/>
              <w:right w:val="nil"/>
            </w:tcBorders>
            <w:shd w:val="clear" w:color="auto" w:fill="auto"/>
            <w:noWrap/>
            <w:vAlign w:val="bottom"/>
            <w:hideMark/>
          </w:tcPr>
          <w:p w14:paraId="6A0EB1A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50C2A039"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55897FE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16FC888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710F5592"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7452C5C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2679B04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256C063C"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C37E3F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747" w:type="dxa"/>
            <w:tcBorders>
              <w:top w:val="nil"/>
              <w:left w:val="nil"/>
              <w:bottom w:val="nil"/>
              <w:right w:val="nil"/>
            </w:tcBorders>
            <w:shd w:val="clear" w:color="auto" w:fill="auto"/>
            <w:noWrap/>
            <w:vAlign w:val="bottom"/>
            <w:hideMark/>
          </w:tcPr>
          <w:p w14:paraId="473269F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741797F2"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82D04B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021BC12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14022885" w14:textId="77777777" w:rsidTr="00BC735C">
        <w:trPr>
          <w:cantSplit/>
          <w:trHeight w:val="20"/>
        </w:trPr>
        <w:tc>
          <w:tcPr>
            <w:tcW w:w="719" w:type="dxa"/>
            <w:tcBorders>
              <w:top w:val="nil"/>
              <w:left w:val="nil"/>
              <w:bottom w:val="nil"/>
              <w:right w:val="nil"/>
            </w:tcBorders>
            <w:shd w:val="clear" w:color="auto" w:fill="auto"/>
            <w:noWrap/>
            <w:vAlign w:val="bottom"/>
            <w:hideMark/>
          </w:tcPr>
          <w:p w14:paraId="629FA7C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Dy</w:t>
            </w:r>
          </w:p>
        </w:tc>
        <w:tc>
          <w:tcPr>
            <w:tcW w:w="785" w:type="dxa"/>
            <w:tcBorders>
              <w:top w:val="nil"/>
              <w:left w:val="nil"/>
              <w:bottom w:val="nil"/>
              <w:right w:val="nil"/>
            </w:tcBorders>
            <w:shd w:val="clear" w:color="auto" w:fill="auto"/>
            <w:noWrap/>
            <w:vAlign w:val="bottom"/>
            <w:hideMark/>
          </w:tcPr>
          <w:p w14:paraId="21F42E1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3.8</w:t>
            </w:r>
          </w:p>
        </w:tc>
        <w:tc>
          <w:tcPr>
            <w:tcW w:w="785" w:type="dxa"/>
            <w:tcBorders>
              <w:top w:val="nil"/>
              <w:left w:val="nil"/>
              <w:bottom w:val="nil"/>
              <w:right w:val="nil"/>
            </w:tcBorders>
            <w:shd w:val="clear" w:color="auto" w:fill="auto"/>
            <w:noWrap/>
            <w:vAlign w:val="bottom"/>
            <w:hideMark/>
          </w:tcPr>
          <w:p w14:paraId="2F984BE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00A4647D"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3DAFD02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650" w:type="dxa"/>
            <w:tcBorders>
              <w:top w:val="nil"/>
              <w:left w:val="nil"/>
              <w:bottom w:val="nil"/>
              <w:right w:val="nil"/>
            </w:tcBorders>
            <w:shd w:val="clear" w:color="auto" w:fill="auto"/>
            <w:noWrap/>
            <w:vAlign w:val="bottom"/>
            <w:hideMark/>
          </w:tcPr>
          <w:p w14:paraId="1CD1194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1CC26A38"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6971A22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2.8</w:t>
            </w:r>
          </w:p>
        </w:tc>
        <w:tc>
          <w:tcPr>
            <w:tcW w:w="740" w:type="dxa"/>
            <w:tcBorders>
              <w:top w:val="nil"/>
              <w:left w:val="nil"/>
              <w:bottom w:val="nil"/>
              <w:right w:val="nil"/>
            </w:tcBorders>
            <w:shd w:val="clear" w:color="auto" w:fill="auto"/>
            <w:noWrap/>
            <w:vAlign w:val="bottom"/>
            <w:hideMark/>
          </w:tcPr>
          <w:p w14:paraId="4765F09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160" w:type="dxa"/>
            <w:tcBorders>
              <w:top w:val="nil"/>
              <w:left w:val="nil"/>
              <w:bottom w:val="nil"/>
              <w:right w:val="nil"/>
            </w:tcBorders>
            <w:shd w:val="clear" w:color="auto" w:fill="auto"/>
            <w:noWrap/>
            <w:vAlign w:val="bottom"/>
            <w:hideMark/>
          </w:tcPr>
          <w:p w14:paraId="2CCC469F"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33BE133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219" w:type="dxa"/>
            <w:tcBorders>
              <w:top w:val="nil"/>
              <w:left w:val="nil"/>
              <w:bottom w:val="nil"/>
              <w:right w:val="nil"/>
            </w:tcBorders>
            <w:shd w:val="clear" w:color="auto" w:fill="auto"/>
            <w:noWrap/>
            <w:vAlign w:val="bottom"/>
            <w:hideMark/>
          </w:tcPr>
          <w:p w14:paraId="1DF3C31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2B909709"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64FEFEE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2585941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108F550F"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65BEC8F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2.5</w:t>
            </w:r>
          </w:p>
        </w:tc>
        <w:tc>
          <w:tcPr>
            <w:tcW w:w="747" w:type="dxa"/>
            <w:tcBorders>
              <w:top w:val="nil"/>
              <w:left w:val="nil"/>
              <w:bottom w:val="nil"/>
              <w:right w:val="nil"/>
            </w:tcBorders>
            <w:shd w:val="clear" w:color="auto" w:fill="auto"/>
            <w:noWrap/>
            <w:vAlign w:val="bottom"/>
            <w:hideMark/>
          </w:tcPr>
          <w:p w14:paraId="63314FA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bottom"/>
            <w:hideMark/>
          </w:tcPr>
          <w:p w14:paraId="75C986EB"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F49C9A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22" w:type="dxa"/>
            <w:tcBorders>
              <w:top w:val="nil"/>
              <w:left w:val="nil"/>
              <w:bottom w:val="nil"/>
              <w:right w:val="nil"/>
            </w:tcBorders>
            <w:shd w:val="clear" w:color="auto" w:fill="auto"/>
            <w:noWrap/>
            <w:vAlign w:val="bottom"/>
            <w:hideMark/>
          </w:tcPr>
          <w:p w14:paraId="5CC8DA7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711AE923" w14:textId="77777777" w:rsidTr="00BC735C">
        <w:trPr>
          <w:cantSplit/>
          <w:trHeight w:val="20"/>
        </w:trPr>
        <w:tc>
          <w:tcPr>
            <w:tcW w:w="719" w:type="dxa"/>
            <w:tcBorders>
              <w:top w:val="nil"/>
              <w:left w:val="nil"/>
              <w:bottom w:val="nil"/>
              <w:right w:val="nil"/>
            </w:tcBorders>
            <w:shd w:val="clear" w:color="auto" w:fill="auto"/>
            <w:noWrap/>
            <w:vAlign w:val="bottom"/>
            <w:hideMark/>
          </w:tcPr>
          <w:p w14:paraId="31D933E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Ho</w:t>
            </w:r>
          </w:p>
        </w:tc>
        <w:tc>
          <w:tcPr>
            <w:tcW w:w="785" w:type="dxa"/>
            <w:tcBorders>
              <w:top w:val="nil"/>
              <w:left w:val="nil"/>
              <w:bottom w:val="nil"/>
              <w:right w:val="nil"/>
            </w:tcBorders>
            <w:shd w:val="clear" w:color="auto" w:fill="auto"/>
            <w:noWrap/>
            <w:vAlign w:val="bottom"/>
            <w:hideMark/>
          </w:tcPr>
          <w:p w14:paraId="74A930F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0.8</w:t>
            </w:r>
          </w:p>
        </w:tc>
        <w:tc>
          <w:tcPr>
            <w:tcW w:w="785" w:type="dxa"/>
            <w:tcBorders>
              <w:top w:val="nil"/>
              <w:left w:val="nil"/>
              <w:bottom w:val="nil"/>
              <w:right w:val="nil"/>
            </w:tcBorders>
            <w:shd w:val="clear" w:color="auto" w:fill="auto"/>
            <w:noWrap/>
            <w:vAlign w:val="bottom"/>
            <w:hideMark/>
          </w:tcPr>
          <w:p w14:paraId="19C8138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2BA0EFF1"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5821AD3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1F00024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5E6561EC"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26A70A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740" w:type="dxa"/>
            <w:tcBorders>
              <w:top w:val="nil"/>
              <w:left w:val="nil"/>
              <w:bottom w:val="nil"/>
              <w:right w:val="nil"/>
            </w:tcBorders>
            <w:shd w:val="clear" w:color="auto" w:fill="auto"/>
            <w:noWrap/>
            <w:vAlign w:val="bottom"/>
            <w:hideMark/>
          </w:tcPr>
          <w:p w14:paraId="787183C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35DA1921"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0B02CFB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19" w:type="dxa"/>
            <w:tcBorders>
              <w:top w:val="nil"/>
              <w:left w:val="nil"/>
              <w:bottom w:val="nil"/>
              <w:right w:val="nil"/>
            </w:tcBorders>
            <w:shd w:val="clear" w:color="auto" w:fill="auto"/>
            <w:noWrap/>
            <w:vAlign w:val="bottom"/>
            <w:hideMark/>
          </w:tcPr>
          <w:p w14:paraId="05E8942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46894841"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1BA5D18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436357A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5526329A"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57019B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747" w:type="dxa"/>
            <w:tcBorders>
              <w:top w:val="nil"/>
              <w:left w:val="nil"/>
              <w:bottom w:val="nil"/>
              <w:right w:val="nil"/>
            </w:tcBorders>
            <w:shd w:val="clear" w:color="auto" w:fill="auto"/>
            <w:noWrap/>
            <w:vAlign w:val="bottom"/>
            <w:hideMark/>
          </w:tcPr>
          <w:p w14:paraId="2898085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6B845FD8"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505DDFC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3C5F788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62AB1ECC" w14:textId="77777777" w:rsidTr="00BC735C">
        <w:trPr>
          <w:cantSplit/>
          <w:trHeight w:val="20"/>
        </w:trPr>
        <w:tc>
          <w:tcPr>
            <w:tcW w:w="719" w:type="dxa"/>
            <w:tcBorders>
              <w:top w:val="nil"/>
              <w:left w:val="nil"/>
              <w:bottom w:val="nil"/>
              <w:right w:val="nil"/>
            </w:tcBorders>
            <w:shd w:val="clear" w:color="auto" w:fill="auto"/>
            <w:noWrap/>
            <w:vAlign w:val="bottom"/>
            <w:hideMark/>
          </w:tcPr>
          <w:p w14:paraId="306EDAC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Er</w:t>
            </w:r>
          </w:p>
        </w:tc>
        <w:tc>
          <w:tcPr>
            <w:tcW w:w="785" w:type="dxa"/>
            <w:tcBorders>
              <w:top w:val="nil"/>
              <w:left w:val="nil"/>
              <w:bottom w:val="nil"/>
              <w:right w:val="nil"/>
            </w:tcBorders>
            <w:shd w:val="clear" w:color="auto" w:fill="auto"/>
            <w:noWrap/>
            <w:vAlign w:val="bottom"/>
            <w:hideMark/>
          </w:tcPr>
          <w:p w14:paraId="27CBCFE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2.4</w:t>
            </w:r>
          </w:p>
        </w:tc>
        <w:tc>
          <w:tcPr>
            <w:tcW w:w="785" w:type="dxa"/>
            <w:tcBorders>
              <w:top w:val="nil"/>
              <w:left w:val="nil"/>
              <w:bottom w:val="nil"/>
              <w:right w:val="nil"/>
            </w:tcBorders>
            <w:shd w:val="clear" w:color="auto" w:fill="auto"/>
            <w:noWrap/>
            <w:vAlign w:val="bottom"/>
            <w:hideMark/>
          </w:tcPr>
          <w:p w14:paraId="50F3689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25007858"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1E159BB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3E047E5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4D6FEA42"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597ABC3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1.8</w:t>
            </w:r>
          </w:p>
        </w:tc>
        <w:tc>
          <w:tcPr>
            <w:tcW w:w="740" w:type="dxa"/>
            <w:tcBorders>
              <w:top w:val="nil"/>
              <w:left w:val="nil"/>
              <w:bottom w:val="nil"/>
              <w:right w:val="nil"/>
            </w:tcBorders>
            <w:shd w:val="clear" w:color="auto" w:fill="auto"/>
            <w:noWrap/>
            <w:vAlign w:val="bottom"/>
            <w:hideMark/>
          </w:tcPr>
          <w:p w14:paraId="54938CC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160" w:type="dxa"/>
            <w:tcBorders>
              <w:top w:val="nil"/>
              <w:left w:val="nil"/>
              <w:bottom w:val="nil"/>
              <w:right w:val="nil"/>
            </w:tcBorders>
            <w:shd w:val="clear" w:color="auto" w:fill="auto"/>
            <w:noWrap/>
            <w:vAlign w:val="bottom"/>
            <w:hideMark/>
          </w:tcPr>
          <w:p w14:paraId="3B8D9A38"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426238F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219" w:type="dxa"/>
            <w:tcBorders>
              <w:top w:val="nil"/>
              <w:left w:val="nil"/>
              <w:bottom w:val="nil"/>
              <w:right w:val="nil"/>
            </w:tcBorders>
            <w:shd w:val="clear" w:color="auto" w:fill="auto"/>
            <w:noWrap/>
            <w:vAlign w:val="bottom"/>
            <w:hideMark/>
          </w:tcPr>
          <w:p w14:paraId="4D2F9D9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36BE79FC"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445A8C3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60C2FC3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3353A892"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2B76BEE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1.6</w:t>
            </w:r>
          </w:p>
        </w:tc>
        <w:tc>
          <w:tcPr>
            <w:tcW w:w="747" w:type="dxa"/>
            <w:tcBorders>
              <w:top w:val="nil"/>
              <w:left w:val="nil"/>
              <w:bottom w:val="nil"/>
              <w:right w:val="nil"/>
            </w:tcBorders>
            <w:shd w:val="clear" w:color="auto" w:fill="auto"/>
            <w:noWrap/>
            <w:vAlign w:val="bottom"/>
            <w:hideMark/>
          </w:tcPr>
          <w:p w14:paraId="0586AA4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1A3EC055"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7465373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6A0558D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0243A41D" w14:textId="77777777" w:rsidTr="00BC735C">
        <w:trPr>
          <w:cantSplit/>
          <w:trHeight w:val="20"/>
        </w:trPr>
        <w:tc>
          <w:tcPr>
            <w:tcW w:w="719" w:type="dxa"/>
            <w:tcBorders>
              <w:top w:val="nil"/>
              <w:left w:val="nil"/>
              <w:bottom w:val="nil"/>
              <w:right w:val="nil"/>
            </w:tcBorders>
            <w:shd w:val="clear" w:color="auto" w:fill="auto"/>
            <w:noWrap/>
            <w:vAlign w:val="bottom"/>
            <w:hideMark/>
          </w:tcPr>
          <w:p w14:paraId="59C95DA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Tm</w:t>
            </w:r>
          </w:p>
        </w:tc>
        <w:tc>
          <w:tcPr>
            <w:tcW w:w="785" w:type="dxa"/>
            <w:tcBorders>
              <w:top w:val="nil"/>
              <w:left w:val="nil"/>
              <w:bottom w:val="nil"/>
              <w:right w:val="nil"/>
            </w:tcBorders>
            <w:shd w:val="clear" w:color="auto" w:fill="auto"/>
            <w:noWrap/>
            <w:vAlign w:val="bottom"/>
            <w:hideMark/>
          </w:tcPr>
          <w:p w14:paraId="1D1A14C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785" w:type="dxa"/>
            <w:tcBorders>
              <w:top w:val="nil"/>
              <w:left w:val="nil"/>
              <w:bottom w:val="nil"/>
              <w:right w:val="nil"/>
            </w:tcBorders>
            <w:shd w:val="clear" w:color="auto" w:fill="auto"/>
            <w:noWrap/>
            <w:vAlign w:val="bottom"/>
            <w:hideMark/>
          </w:tcPr>
          <w:p w14:paraId="0C9BD29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50EB8CFA"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778C38A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59660C5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3AF59139"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9D1031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740" w:type="dxa"/>
            <w:tcBorders>
              <w:top w:val="nil"/>
              <w:left w:val="nil"/>
              <w:bottom w:val="nil"/>
              <w:right w:val="nil"/>
            </w:tcBorders>
            <w:shd w:val="clear" w:color="auto" w:fill="auto"/>
            <w:noWrap/>
            <w:vAlign w:val="bottom"/>
            <w:hideMark/>
          </w:tcPr>
          <w:p w14:paraId="6270327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054DDAFA"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16D65C1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19" w:type="dxa"/>
            <w:tcBorders>
              <w:top w:val="nil"/>
              <w:left w:val="nil"/>
              <w:bottom w:val="nil"/>
              <w:right w:val="nil"/>
            </w:tcBorders>
            <w:shd w:val="clear" w:color="auto" w:fill="auto"/>
            <w:noWrap/>
            <w:vAlign w:val="bottom"/>
            <w:hideMark/>
          </w:tcPr>
          <w:p w14:paraId="389701A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1427E2E0"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5937787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4015B6A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1C0C6EA6"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23FD8B3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747" w:type="dxa"/>
            <w:tcBorders>
              <w:top w:val="nil"/>
              <w:left w:val="nil"/>
              <w:bottom w:val="nil"/>
              <w:right w:val="nil"/>
            </w:tcBorders>
            <w:shd w:val="clear" w:color="auto" w:fill="auto"/>
            <w:noWrap/>
            <w:vAlign w:val="bottom"/>
            <w:hideMark/>
          </w:tcPr>
          <w:p w14:paraId="50D22CD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2A103ED4"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C47205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5FB13EF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6C4CDEBA" w14:textId="77777777" w:rsidTr="00BC735C">
        <w:trPr>
          <w:cantSplit/>
          <w:trHeight w:val="20"/>
        </w:trPr>
        <w:tc>
          <w:tcPr>
            <w:tcW w:w="719" w:type="dxa"/>
            <w:tcBorders>
              <w:top w:val="nil"/>
              <w:left w:val="nil"/>
              <w:bottom w:val="nil"/>
              <w:right w:val="nil"/>
            </w:tcBorders>
            <w:shd w:val="clear" w:color="auto" w:fill="auto"/>
            <w:noWrap/>
            <w:vAlign w:val="bottom"/>
            <w:hideMark/>
          </w:tcPr>
          <w:p w14:paraId="77FB94E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Yb</w:t>
            </w:r>
          </w:p>
        </w:tc>
        <w:tc>
          <w:tcPr>
            <w:tcW w:w="785" w:type="dxa"/>
            <w:tcBorders>
              <w:top w:val="nil"/>
              <w:left w:val="nil"/>
              <w:bottom w:val="nil"/>
              <w:right w:val="nil"/>
            </w:tcBorders>
            <w:shd w:val="clear" w:color="auto" w:fill="auto"/>
            <w:noWrap/>
            <w:vAlign w:val="bottom"/>
            <w:hideMark/>
          </w:tcPr>
          <w:p w14:paraId="098CF7E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2.4</w:t>
            </w:r>
          </w:p>
        </w:tc>
        <w:tc>
          <w:tcPr>
            <w:tcW w:w="785" w:type="dxa"/>
            <w:tcBorders>
              <w:top w:val="nil"/>
              <w:left w:val="nil"/>
              <w:bottom w:val="nil"/>
              <w:right w:val="nil"/>
            </w:tcBorders>
            <w:shd w:val="clear" w:color="auto" w:fill="auto"/>
            <w:noWrap/>
            <w:vAlign w:val="bottom"/>
            <w:hideMark/>
          </w:tcPr>
          <w:p w14:paraId="000F457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64E9ADD1"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73BE09D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5C8D29B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2E8647CB"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07D095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1.7</w:t>
            </w:r>
          </w:p>
        </w:tc>
        <w:tc>
          <w:tcPr>
            <w:tcW w:w="740" w:type="dxa"/>
            <w:tcBorders>
              <w:top w:val="nil"/>
              <w:left w:val="nil"/>
              <w:bottom w:val="nil"/>
              <w:right w:val="nil"/>
            </w:tcBorders>
            <w:shd w:val="clear" w:color="auto" w:fill="auto"/>
            <w:noWrap/>
            <w:vAlign w:val="bottom"/>
            <w:hideMark/>
          </w:tcPr>
          <w:p w14:paraId="07DB48B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02813155"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314E3AB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0.4</w:t>
            </w:r>
          </w:p>
        </w:tc>
        <w:tc>
          <w:tcPr>
            <w:tcW w:w="219" w:type="dxa"/>
            <w:tcBorders>
              <w:top w:val="nil"/>
              <w:left w:val="nil"/>
              <w:bottom w:val="nil"/>
              <w:right w:val="nil"/>
            </w:tcBorders>
            <w:shd w:val="clear" w:color="auto" w:fill="auto"/>
            <w:noWrap/>
            <w:vAlign w:val="bottom"/>
            <w:hideMark/>
          </w:tcPr>
          <w:p w14:paraId="2130024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49D38527"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52A8079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13378D8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553C9EC6"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11A3F70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1.5</w:t>
            </w:r>
          </w:p>
        </w:tc>
        <w:tc>
          <w:tcPr>
            <w:tcW w:w="747" w:type="dxa"/>
            <w:tcBorders>
              <w:top w:val="nil"/>
              <w:left w:val="nil"/>
              <w:bottom w:val="nil"/>
              <w:right w:val="nil"/>
            </w:tcBorders>
            <w:shd w:val="clear" w:color="auto" w:fill="auto"/>
            <w:noWrap/>
            <w:vAlign w:val="bottom"/>
            <w:hideMark/>
          </w:tcPr>
          <w:p w14:paraId="5A47E2D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12D62727"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3CA8BCD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30623EE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3D628CDF" w14:textId="77777777" w:rsidTr="00BC735C">
        <w:trPr>
          <w:cantSplit/>
          <w:trHeight w:val="20"/>
        </w:trPr>
        <w:tc>
          <w:tcPr>
            <w:tcW w:w="719" w:type="dxa"/>
            <w:tcBorders>
              <w:top w:val="nil"/>
              <w:left w:val="nil"/>
              <w:bottom w:val="nil"/>
              <w:right w:val="nil"/>
            </w:tcBorders>
            <w:shd w:val="clear" w:color="auto" w:fill="auto"/>
            <w:noWrap/>
            <w:vAlign w:val="bottom"/>
            <w:hideMark/>
          </w:tcPr>
          <w:p w14:paraId="5C09855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Lu</w:t>
            </w:r>
          </w:p>
        </w:tc>
        <w:tc>
          <w:tcPr>
            <w:tcW w:w="785" w:type="dxa"/>
            <w:tcBorders>
              <w:top w:val="nil"/>
              <w:left w:val="nil"/>
              <w:bottom w:val="nil"/>
              <w:right w:val="nil"/>
            </w:tcBorders>
            <w:shd w:val="clear" w:color="auto" w:fill="auto"/>
            <w:noWrap/>
            <w:vAlign w:val="bottom"/>
            <w:hideMark/>
          </w:tcPr>
          <w:p w14:paraId="744C8F7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785" w:type="dxa"/>
            <w:tcBorders>
              <w:top w:val="nil"/>
              <w:left w:val="nil"/>
              <w:bottom w:val="nil"/>
              <w:right w:val="nil"/>
            </w:tcBorders>
            <w:shd w:val="clear" w:color="auto" w:fill="auto"/>
            <w:noWrap/>
            <w:vAlign w:val="bottom"/>
            <w:hideMark/>
          </w:tcPr>
          <w:p w14:paraId="382827D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778E1123"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2034735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17397B6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133F7A4E"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0543C70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740" w:type="dxa"/>
            <w:tcBorders>
              <w:top w:val="nil"/>
              <w:left w:val="nil"/>
              <w:bottom w:val="nil"/>
              <w:right w:val="nil"/>
            </w:tcBorders>
            <w:shd w:val="clear" w:color="auto" w:fill="auto"/>
            <w:noWrap/>
            <w:vAlign w:val="bottom"/>
            <w:hideMark/>
          </w:tcPr>
          <w:p w14:paraId="1437E07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3EAC000A"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678A574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19" w:type="dxa"/>
            <w:tcBorders>
              <w:top w:val="nil"/>
              <w:left w:val="nil"/>
              <w:bottom w:val="nil"/>
              <w:right w:val="nil"/>
            </w:tcBorders>
            <w:shd w:val="clear" w:color="auto" w:fill="auto"/>
            <w:noWrap/>
            <w:vAlign w:val="bottom"/>
            <w:hideMark/>
          </w:tcPr>
          <w:p w14:paraId="4143EC6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65D0230C"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7CDD6D1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55AEA3C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27CE11E4"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2791105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747" w:type="dxa"/>
            <w:tcBorders>
              <w:top w:val="nil"/>
              <w:left w:val="nil"/>
              <w:bottom w:val="nil"/>
              <w:right w:val="nil"/>
            </w:tcBorders>
            <w:shd w:val="clear" w:color="auto" w:fill="auto"/>
            <w:noWrap/>
            <w:vAlign w:val="bottom"/>
            <w:hideMark/>
          </w:tcPr>
          <w:p w14:paraId="032C185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4DAEB9CA"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31A61B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6623601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79AB4C84" w14:textId="77777777" w:rsidTr="00BC735C">
        <w:trPr>
          <w:cantSplit/>
          <w:trHeight w:val="20"/>
        </w:trPr>
        <w:tc>
          <w:tcPr>
            <w:tcW w:w="719" w:type="dxa"/>
            <w:tcBorders>
              <w:top w:val="nil"/>
              <w:left w:val="nil"/>
              <w:bottom w:val="nil"/>
              <w:right w:val="nil"/>
            </w:tcBorders>
            <w:shd w:val="clear" w:color="auto" w:fill="auto"/>
            <w:noWrap/>
            <w:vAlign w:val="bottom"/>
            <w:hideMark/>
          </w:tcPr>
          <w:p w14:paraId="08C3254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Hf</w:t>
            </w:r>
          </w:p>
        </w:tc>
        <w:tc>
          <w:tcPr>
            <w:tcW w:w="785" w:type="dxa"/>
            <w:tcBorders>
              <w:top w:val="nil"/>
              <w:left w:val="nil"/>
              <w:bottom w:val="nil"/>
              <w:right w:val="nil"/>
            </w:tcBorders>
            <w:shd w:val="clear" w:color="auto" w:fill="auto"/>
            <w:noWrap/>
            <w:vAlign w:val="bottom"/>
            <w:hideMark/>
          </w:tcPr>
          <w:p w14:paraId="4179B53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0.8</w:t>
            </w:r>
          </w:p>
        </w:tc>
        <w:tc>
          <w:tcPr>
            <w:tcW w:w="785" w:type="dxa"/>
            <w:tcBorders>
              <w:top w:val="nil"/>
              <w:left w:val="nil"/>
              <w:bottom w:val="nil"/>
              <w:right w:val="nil"/>
            </w:tcBorders>
            <w:shd w:val="clear" w:color="auto" w:fill="auto"/>
            <w:noWrap/>
            <w:vAlign w:val="bottom"/>
            <w:hideMark/>
          </w:tcPr>
          <w:p w14:paraId="752AB19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01EBABD3"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492B798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23E1C22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26E3278B"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370C84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0.6</w:t>
            </w:r>
          </w:p>
        </w:tc>
        <w:tc>
          <w:tcPr>
            <w:tcW w:w="740" w:type="dxa"/>
            <w:tcBorders>
              <w:top w:val="nil"/>
              <w:left w:val="nil"/>
              <w:bottom w:val="nil"/>
              <w:right w:val="nil"/>
            </w:tcBorders>
            <w:shd w:val="clear" w:color="auto" w:fill="auto"/>
            <w:noWrap/>
            <w:vAlign w:val="bottom"/>
            <w:hideMark/>
          </w:tcPr>
          <w:p w14:paraId="48BF276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bottom"/>
            <w:hideMark/>
          </w:tcPr>
          <w:p w14:paraId="68576079"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7B1CFBC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19" w:type="dxa"/>
            <w:tcBorders>
              <w:top w:val="nil"/>
              <w:left w:val="nil"/>
              <w:bottom w:val="nil"/>
              <w:right w:val="nil"/>
            </w:tcBorders>
            <w:shd w:val="clear" w:color="auto" w:fill="auto"/>
            <w:noWrap/>
            <w:vAlign w:val="bottom"/>
            <w:hideMark/>
          </w:tcPr>
          <w:p w14:paraId="21F45B9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36695B6F"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02E58D0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3B6078B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7F032A1E"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773AF7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0.5</w:t>
            </w:r>
          </w:p>
        </w:tc>
        <w:tc>
          <w:tcPr>
            <w:tcW w:w="747" w:type="dxa"/>
            <w:tcBorders>
              <w:top w:val="nil"/>
              <w:left w:val="nil"/>
              <w:bottom w:val="nil"/>
              <w:right w:val="nil"/>
            </w:tcBorders>
            <w:shd w:val="clear" w:color="auto" w:fill="auto"/>
            <w:noWrap/>
            <w:vAlign w:val="bottom"/>
            <w:hideMark/>
          </w:tcPr>
          <w:p w14:paraId="6C20528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160" w:type="dxa"/>
            <w:tcBorders>
              <w:top w:val="nil"/>
              <w:left w:val="nil"/>
              <w:bottom w:val="nil"/>
              <w:right w:val="nil"/>
            </w:tcBorders>
            <w:shd w:val="clear" w:color="auto" w:fill="auto"/>
            <w:noWrap/>
            <w:vAlign w:val="bottom"/>
            <w:hideMark/>
          </w:tcPr>
          <w:p w14:paraId="2F0A27FC"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33ACB19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22" w:type="dxa"/>
            <w:tcBorders>
              <w:top w:val="nil"/>
              <w:left w:val="nil"/>
              <w:bottom w:val="nil"/>
              <w:right w:val="nil"/>
            </w:tcBorders>
            <w:shd w:val="clear" w:color="auto" w:fill="auto"/>
            <w:noWrap/>
            <w:vAlign w:val="bottom"/>
            <w:hideMark/>
          </w:tcPr>
          <w:p w14:paraId="032676F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3E68B8CD" w14:textId="77777777" w:rsidTr="00BC735C">
        <w:trPr>
          <w:cantSplit/>
          <w:trHeight w:val="20"/>
        </w:trPr>
        <w:tc>
          <w:tcPr>
            <w:tcW w:w="719" w:type="dxa"/>
            <w:tcBorders>
              <w:top w:val="nil"/>
              <w:left w:val="nil"/>
              <w:bottom w:val="nil"/>
              <w:right w:val="nil"/>
            </w:tcBorders>
            <w:shd w:val="clear" w:color="auto" w:fill="auto"/>
            <w:noWrap/>
            <w:vAlign w:val="bottom"/>
            <w:hideMark/>
          </w:tcPr>
          <w:p w14:paraId="3BA3583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Pb</w:t>
            </w:r>
          </w:p>
        </w:tc>
        <w:tc>
          <w:tcPr>
            <w:tcW w:w="785" w:type="dxa"/>
            <w:tcBorders>
              <w:top w:val="nil"/>
              <w:left w:val="nil"/>
              <w:bottom w:val="nil"/>
              <w:right w:val="nil"/>
            </w:tcBorders>
            <w:shd w:val="clear" w:color="auto" w:fill="auto"/>
            <w:noWrap/>
            <w:vAlign w:val="bottom"/>
            <w:hideMark/>
          </w:tcPr>
          <w:p w14:paraId="047CEAE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85" w:type="dxa"/>
            <w:tcBorders>
              <w:top w:val="nil"/>
              <w:left w:val="nil"/>
              <w:bottom w:val="nil"/>
              <w:right w:val="nil"/>
            </w:tcBorders>
            <w:shd w:val="clear" w:color="auto" w:fill="auto"/>
            <w:noWrap/>
            <w:vAlign w:val="bottom"/>
            <w:hideMark/>
          </w:tcPr>
          <w:p w14:paraId="474CC2D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66DA7B0E"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66AFAB9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0.2</w:t>
            </w:r>
          </w:p>
        </w:tc>
        <w:tc>
          <w:tcPr>
            <w:tcW w:w="650" w:type="dxa"/>
            <w:tcBorders>
              <w:top w:val="nil"/>
              <w:left w:val="nil"/>
              <w:bottom w:val="nil"/>
              <w:right w:val="nil"/>
            </w:tcBorders>
            <w:shd w:val="clear" w:color="auto" w:fill="auto"/>
            <w:noWrap/>
            <w:vAlign w:val="bottom"/>
            <w:hideMark/>
          </w:tcPr>
          <w:p w14:paraId="7C56A21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160" w:type="dxa"/>
            <w:tcBorders>
              <w:top w:val="nil"/>
              <w:left w:val="nil"/>
              <w:bottom w:val="nil"/>
              <w:right w:val="nil"/>
            </w:tcBorders>
            <w:shd w:val="clear" w:color="auto" w:fill="auto"/>
            <w:noWrap/>
            <w:vAlign w:val="center"/>
            <w:hideMark/>
          </w:tcPr>
          <w:p w14:paraId="229504DB"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49E7F78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0" w:type="dxa"/>
            <w:tcBorders>
              <w:top w:val="nil"/>
              <w:left w:val="nil"/>
              <w:bottom w:val="nil"/>
              <w:right w:val="nil"/>
            </w:tcBorders>
            <w:shd w:val="clear" w:color="auto" w:fill="auto"/>
            <w:noWrap/>
            <w:vAlign w:val="bottom"/>
            <w:hideMark/>
          </w:tcPr>
          <w:p w14:paraId="63102287"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7D097420"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6EB8DCB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44F86AA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0920E449"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4DE286E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065E499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6A395754"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4D823E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7" w:type="dxa"/>
            <w:tcBorders>
              <w:top w:val="nil"/>
              <w:left w:val="nil"/>
              <w:bottom w:val="nil"/>
              <w:right w:val="nil"/>
            </w:tcBorders>
            <w:shd w:val="clear" w:color="auto" w:fill="auto"/>
            <w:noWrap/>
            <w:vAlign w:val="bottom"/>
            <w:hideMark/>
          </w:tcPr>
          <w:p w14:paraId="62E7494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5DF45276"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010C4EE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0.3</w:t>
            </w:r>
          </w:p>
        </w:tc>
        <w:tc>
          <w:tcPr>
            <w:tcW w:w="222" w:type="dxa"/>
            <w:tcBorders>
              <w:top w:val="nil"/>
              <w:left w:val="nil"/>
              <w:bottom w:val="nil"/>
              <w:right w:val="nil"/>
            </w:tcBorders>
            <w:shd w:val="clear" w:color="auto" w:fill="auto"/>
            <w:noWrap/>
            <w:vAlign w:val="bottom"/>
            <w:hideMark/>
          </w:tcPr>
          <w:p w14:paraId="503B220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2D46AE0E" w14:textId="77777777" w:rsidTr="00BC735C">
        <w:trPr>
          <w:cantSplit/>
          <w:trHeight w:val="20"/>
        </w:trPr>
        <w:tc>
          <w:tcPr>
            <w:tcW w:w="719" w:type="dxa"/>
            <w:tcBorders>
              <w:top w:val="nil"/>
              <w:left w:val="nil"/>
              <w:bottom w:val="nil"/>
              <w:right w:val="nil"/>
            </w:tcBorders>
            <w:shd w:val="clear" w:color="auto" w:fill="auto"/>
            <w:noWrap/>
            <w:vAlign w:val="bottom"/>
            <w:hideMark/>
          </w:tcPr>
          <w:p w14:paraId="5286578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Ta</w:t>
            </w:r>
          </w:p>
        </w:tc>
        <w:tc>
          <w:tcPr>
            <w:tcW w:w="785" w:type="dxa"/>
            <w:tcBorders>
              <w:top w:val="nil"/>
              <w:left w:val="nil"/>
              <w:bottom w:val="nil"/>
              <w:right w:val="nil"/>
            </w:tcBorders>
            <w:shd w:val="clear" w:color="auto" w:fill="auto"/>
            <w:noWrap/>
            <w:vAlign w:val="bottom"/>
            <w:hideMark/>
          </w:tcPr>
          <w:p w14:paraId="06D7D13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85" w:type="dxa"/>
            <w:tcBorders>
              <w:top w:val="nil"/>
              <w:left w:val="nil"/>
              <w:bottom w:val="nil"/>
              <w:right w:val="nil"/>
            </w:tcBorders>
            <w:shd w:val="clear" w:color="auto" w:fill="auto"/>
            <w:noWrap/>
            <w:vAlign w:val="bottom"/>
            <w:hideMark/>
          </w:tcPr>
          <w:p w14:paraId="2081432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19F92C45"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0724206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0FFB878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3F8C034A"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79670A4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0" w:type="dxa"/>
            <w:tcBorders>
              <w:top w:val="nil"/>
              <w:left w:val="nil"/>
              <w:bottom w:val="nil"/>
              <w:right w:val="nil"/>
            </w:tcBorders>
            <w:shd w:val="clear" w:color="auto" w:fill="auto"/>
            <w:noWrap/>
            <w:vAlign w:val="bottom"/>
            <w:hideMark/>
          </w:tcPr>
          <w:p w14:paraId="0101D17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3DCE4269"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2CD6911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3E89B1B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4374A64E"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6D1CE7D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08F6CCFE"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7F22F46D"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7B07F6B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7" w:type="dxa"/>
            <w:tcBorders>
              <w:top w:val="nil"/>
              <w:left w:val="nil"/>
              <w:bottom w:val="nil"/>
              <w:right w:val="nil"/>
            </w:tcBorders>
            <w:shd w:val="clear" w:color="auto" w:fill="auto"/>
            <w:noWrap/>
            <w:vAlign w:val="bottom"/>
            <w:hideMark/>
          </w:tcPr>
          <w:p w14:paraId="7B91249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0A35D222"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DCB200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nil"/>
              <w:right w:val="nil"/>
            </w:tcBorders>
            <w:shd w:val="clear" w:color="auto" w:fill="auto"/>
            <w:noWrap/>
            <w:vAlign w:val="bottom"/>
            <w:hideMark/>
          </w:tcPr>
          <w:p w14:paraId="0498261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5983C164" w14:textId="77777777" w:rsidTr="00BC735C">
        <w:trPr>
          <w:cantSplit/>
          <w:trHeight w:val="20"/>
        </w:trPr>
        <w:tc>
          <w:tcPr>
            <w:tcW w:w="719" w:type="dxa"/>
            <w:tcBorders>
              <w:top w:val="nil"/>
              <w:left w:val="nil"/>
              <w:bottom w:val="nil"/>
              <w:right w:val="nil"/>
            </w:tcBorders>
            <w:shd w:val="clear" w:color="auto" w:fill="auto"/>
            <w:noWrap/>
            <w:vAlign w:val="bottom"/>
            <w:hideMark/>
          </w:tcPr>
          <w:p w14:paraId="0B900C1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Th</w:t>
            </w:r>
          </w:p>
        </w:tc>
        <w:tc>
          <w:tcPr>
            <w:tcW w:w="785" w:type="dxa"/>
            <w:tcBorders>
              <w:top w:val="nil"/>
              <w:left w:val="nil"/>
              <w:bottom w:val="nil"/>
              <w:right w:val="nil"/>
            </w:tcBorders>
            <w:shd w:val="clear" w:color="auto" w:fill="auto"/>
            <w:noWrap/>
            <w:vAlign w:val="bottom"/>
            <w:hideMark/>
          </w:tcPr>
          <w:p w14:paraId="302C2F9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85" w:type="dxa"/>
            <w:tcBorders>
              <w:top w:val="nil"/>
              <w:left w:val="nil"/>
              <w:bottom w:val="nil"/>
              <w:right w:val="nil"/>
            </w:tcBorders>
            <w:shd w:val="clear" w:color="auto" w:fill="auto"/>
            <w:noWrap/>
            <w:vAlign w:val="bottom"/>
            <w:hideMark/>
          </w:tcPr>
          <w:p w14:paraId="2A29680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1189922B" w14:textId="77777777" w:rsidR="00685D45" w:rsidRPr="00685D45" w:rsidRDefault="00685D45" w:rsidP="00685D45">
            <w:pPr>
              <w:jc w:val="center"/>
              <w:rPr>
                <w:rFonts w:eastAsia="Times New Roman"/>
                <w:color w:val="000000"/>
                <w:sz w:val="18"/>
                <w:szCs w:val="18"/>
                <w:lang w:val="fr-FR" w:eastAsia="fr-FR"/>
              </w:rPr>
            </w:pPr>
          </w:p>
        </w:tc>
        <w:tc>
          <w:tcPr>
            <w:tcW w:w="650" w:type="dxa"/>
            <w:tcBorders>
              <w:top w:val="nil"/>
              <w:left w:val="nil"/>
              <w:bottom w:val="nil"/>
              <w:right w:val="nil"/>
            </w:tcBorders>
            <w:shd w:val="clear" w:color="auto" w:fill="auto"/>
            <w:noWrap/>
            <w:vAlign w:val="bottom"/>
            <w:hideMark/>
          </w:tcPr>
          <w:p w14:paraId="65B92E1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nil"/>
              <w:right w:val="nil"/>
            </w:tcBorders>
            <w:shd w:val="clear" w:color="auto" w:fill="auto"/>
            <w:noWrap/>
            <w:vAlign w:val="bottom"/>
            <w:hideMark/>
          </w:tcPr>
          <w:p w14:paraId="0C2B457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73139BEC" w14:textId="77777777" w:rsidR="00685D45" w:rsidRPr="00685D45" w:rsidRDefault="00685D45" w:rsidP="00685D45">
            <w:pPr>
              <w:jc w:val="center"/>
              <w:rPr>
                <w:rFonts w:eastAsia="Times New Roman"/>
                <w:color w:val="000000"/>
                <w:sz w:val="18"/>
                <w:szCs w:val="18"/>
                <w:lang w:val="fr-FR" w:eastAsia="fr-FR"/>
              </w:rPr>
            </w:pPr>
          </w:p>
        </w:tc>
        <w:tc>
          <w:tcPr>
            <w:tcW w:w="890" w:type="dxa"/>
            <w:tcBorders>
              <w:top w:val="nil"/>
              <w:left w:val="nil"/>
              <w:bottom w:val="nil"/>
              <w:right w:val="nil"/>
            </w:tcBorders>
            <w:shd w:val="clear" w:color="auto" w:fill="auto"/>
            <w:noWrap/>
            <w:vAlign w:val="bottom"/>
            <w:hideMark/>
          </w:tcPr>
          <w:p w14:paraId="52519C7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0" w:type="dxa"/>
            <w:tcBorders>
              <w:top w:val="nil"/>
              <w:left w:val="nil"/>
              <w:bottom w:val="nil"/>
              <w:right w:val="nil"/>
            </w:tcBorders>
            <w:shd w:val="clear" w:color="auto" w:fill="auto"/>
            <w:noWrap/>
            <w:vAlign w:val="bottom"/>
            <w:hideMark/>
          </w:tcPr>
          <w:p w14:paraId="1FEBE16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3732653D" w14:textId="77777777" w:rsidR="00685D45" w:rsidRPr="00685D45" w:rsidRDefault="00685D45" w:rsidP="00685D45">
            <w:pPr>
              <w:jc w:val="center"/>
              <w:rPr>
                <w:rFonts w:eastAsia="Times New Roman"/>
                <w:color w:val="000000"/>
                <w:sz w:val="18"/>
                <w:szCs w:val="18"/>
                <w:lang w:val="fr-FR" w:eastAsia="fr-FR"/>
              </w:rPr>
            </w:pPr>
          </w:p>
        </w:tc>
        <w:tc>
          <w:tcPr>
            <w:tcW w:w="894" w:type="dxa"/>
            <w:tcBorders>
              <w:top w:val="nil"/>
              <w:left w:val="nil"/>
              <w:bottom w:val="nil"/>
              <w:right w:val="nil"/>
            </w:tcBorders>
            <w:shd w:val="clear" w:color="auto" w:fill="auto"/>
            <w:noWrap/>
            <w:vAlign w:val="bottom"/>
            <w:hideMark/>
          </w:tcPr>
          <w:p w14:paraId="2362999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nil"/>
              <w:right w:val="nil"/>
            </w:tcBorders>
            <w:shd w:val="clear" w:color="auto" w:fill="auto"/>
            <w:noWrap/>
            <w:vAlign w:val="bottom"/>
            <w:hideMark/>
          </w:tcPr>
          <w:p w14:paraId="18AA49A9"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nil"/>
              <w:right w:val="nil"/>
            </w:tcBorders>
            <w:shd w:val="clear" w:color="auto" w:fill="auto"/>
            <w:noWrap/>
            <w:vAlign w:val="bottom"/>
            <w:hideMark/>
          </w:tcPr>
          <w:p w14:paraId="57D8A725" w14:textId="77777777" w:rsidR="00685D45" w:rsidRPr="00685D45" w:rsidRDefault="00685D45" w:rsidP="00685D45">
            <w:pPr>
              <w:jc w:val="center"/>
              <w:rPr>
                <w:rFonts w:eastAsia="Times New Roman"/>
                <w:color w:val="000000"/>
                <w:sz w:val="18"/>
                <w:szCs w:val="18"/>
                <w:lang w:val="fr-FR" w:eastAsia="fr-FR"/>
              </w:rPr>
            </w:pPr>
          </w:p>
        </w:tc>
        <w:tc>
          <w:tcPr>
            <w:tcW w:w="737" w:type="dxa"/>
            <w:tcBorders>
              <w:top w:val="nil"/>
              <w:left w:val="nil"/>
              <w:bottom w:val="nil"/>
              <w:right w:val="nil"/>
            </w:tcBorders>
            <w:shd w:val="clear" w:color="auto" w:fill="auto"/>
            <w:noWrap/>
            <w:vAlign w:val="bottom"/>
            <w:hideMark/>
          </w:tcPr>
          <w:p w14:paraId="2D910C9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nil"/>
              <w:right w:val="nil"/>
            </w:tcBorders>
            <w:shd w:val="clear" w:color="auto" w:fill="auto"/>
            <w:noWrap/>
            <w:vAlign w:val="bottom"/>
            <w:hideMark/>
          </w:tcPr>
          <w:p w14:paraId="309D922B"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center"/>
            <w:hideMark/>
          </w:tcPr>
          <w:p w14:paraId="27FD38C4" w14:textId="77777777" w:rsidR="00685D45" w:rsidRPr="00685D45" w:rsidRDefault="00685D45" w:rsidP="00685D45">
            <w:pPr>
              <w:jc w:val="center"/>
              <w:rPr>
                <w:rFonts w:eastAsia="Times New Roman"/>
                <w:color w:val="000000"/>
                <w:sz w:val="18"/>
                <w:szCs w:val="18"/>
                <w:lang w:val="fr-FR" w:eastAsia="fr-FR"/>
              </w:rPr>
            </w:pPr>
          </w:p>
        </w:tc>
        <w:tc>
          <w:tcPr>
            <w:tcW w:w="902" w:type="dxa"/>
            <w:tcBorders>
              <w:top w:val="nil"/>
              <w:left w:val="nil"/>
              <w:bottom w:val="nil"/>
              <w:right w:val="nil"/>
            </w:tcBorders>
            <w:shd w:val="clear" w:color="auto" w:fill="auto"/>
            <w:noWrap/>
            <w:vAlign w:val="bottom"/>
            <w:hideMark/>
          </w:tcPr>
          <w:p w14:paraId="3877731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7" w:type="dxa"/>
            <w:tcBorders>
              <w:top w:val="nil"/>
              <w:left w:val="nil"/>
              <w:bottom w:val="nil"/>
              <w:right w:val="nil"/>
            </w:tcBorders>
            <w:shd w:val="clear" w:color="auto" w:fill="auto"/>
            <w:noWrap/>
            <w:vAlign w:val="bottom"/>
            <w:hideMark/>
          </w:tcPr>
          <w:p w14:paraId="5986586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nil"/>
              <w:right w:val="nil"/>
            </w:tcBorders>
            <w:shd w:val="clear" w:color="auto" w:fill="auto"/>
            <w:noWrap/>
            <w:vAlign w:val="bottom"/>
            <w:hideMark/>
          </w:tcPr>
          <w:p w14:paraId="11FA1940" w14:textId="77777777" w:rsidR="00685D45" w:rsidRPr="00685D45" w:rsidRDefault="00685D45" w:rsidP="00685D45">
            <w:pPr>
              <w:jc w:val="center"/>
              <w:rPr>
                <w:rFonts w:eastAsia="Times New Roman"/>
                <w:color w:val="000000"/>
                <w:sz w:val="18"/>
                <w:szCs w:val="18"/>
                <w:lang w:val="fr-FR" w:eastAsia="fr-FR"/>
              </w:rPr>
            </w:pPr>
          </w:p>
        </w:tc>
        <w:tc>
          <w:tcPr>
            <w:tcW w:w="747" w:type="dxa"/>
            <w:tcBorders>
              <w:top w:val="nil"/>
              <w:left w:val="nil"/>
              <w:bottom w:val="nil"/>
              <w:right w:val="nil"/>
            </w:tcBorders>
            <w:shd w:val="clear" w:color="auto" w:fill="auto"/>
            <w:noWrap/>
            <w:vAlign w:val="bottom"/>
            <w:hideMark/>
          </w:tcPr>
          <w:p w14:paraId="42A757B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0.1</w:t>
            </w:r>
          </w:p>
        </w:tc>
        <w:tc>
          <w:tcPr>
            <w:tcW w:w="222" w:type="dxa"/>
            <w:tcBorders>
              <w:top w:val="nil"/>
              <w:left w:val="nil"/>
              <w:bottom w:val="nil"/>
              <w:right w:val="nil"/>
            </w:tcBorders>
            <w:shd w:val="clear" w:color="auto" w:fill="auto"/>
            <w:noWrap/>
            <w:vAlign w:val="bottom"/>
            <w:hideMark/>
          </w:tcPr>
          <w:p w14:paraId="28DCA215"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r w:rsidR="00685D45" w:rsidRPr="00685D45" w14:paraId="5F7CE9EE" w14:textId="77777777" w:rsidTr="00BC735C">
        <w:trPr>
          <w:cantSplit/>
          <w:trHeight w:val="20"/>
        </w:trPr>
        <w:tc>
          <w:tcPr>
            <w:tcW w:w="719" w:type="dxa"/>
            <w:tcBorders>
              <w:top w:val="nil"/>
              <w:left w:val="nil"/>
              <w:bottom w:val="single" w:sz="4" w:space="0" w:color="auto"/>
              <w:right w:val="nil"/>
            </w:tcBorders>
            <w:shd w:val="clear" w:color="auto" w:fill="auto"/>
            <w:noWrap/>
            <w:vAlign w:val="bottom"/>
            <w:hideMark/>
          </w:tcPr>
          <w:p w14:paraId="2E9F04B4"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U</w:t>
            </w:r>
          </w:p>
        </w:tc>
        <w:tc>
          <w:tcPr>
            <w:tcW w:w="785" w:type="dxa"/>
            <w:tcBorders>
              <w:top w:val="nil"/>
              <w:left w:val="nil"/>
              <w:bottom w:val="single" w:sz="4" w:space="0" w:color="auto"/>
              <w:right w:val="nil"/>
            </w:tcBorders>
            <w:shd w:val="clear" w:color="auto" w:fill="auto"/>
            <w:noWrap/>
            <w:vAlign w:val="bottom"/>
            <w:hideMark/>
          </w:tcPr>
          <w:p w14:paraId="25842C0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85" w:type="dxa"/>
            <w:tcBorders>
              <w:top w:val="nil"/>
              <w:left w:val="nil"/>
              <w:bottom w:val="single" w:sz="4" w:space="0" w:color="auto"/>
              <w:right w:val="nil"/>
            </w:tcBorders>
            <w:shd w:val="clear" w:color="auto" w:fill="auto"/>
            <w:noWrap/>
            <w:vAlign w:val="bottom"/>
            <w:hideMark/>
          </w:tcPr>
          <w:p w14:paraId="5A9A030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single" w:sz="4" w:space="0" w:color="auto"/>
              <w:right w:val="nil"/>
            </w:tcBorders>
            <w:shd w:val="clear" w:color="auto" w:fill="auto"/>
            <w:noWrap/>
            <w:vAlign w:val="bottom"/>
            <w:hideMark/>
          </w:tcPr>
          <w:p w14:paraId="6173E2E3"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650" w:type="dxa"/>
            <w:tcBorders>
              <w:top w:val="nil"/>
              <w:left w:val="nil"/>
              <w:bottom w:val="single" w:sz="4" w:space="0" w:color="auto"/>
              <w:right w:val="nil"/>
            </w:tcBorders>
            <w:shd w:val="clear" w:color="auto" w:fill="auto"/>
            <w:noWrap/>
            <w:vAlign w:val="bottom"/>
            <w:hideMark/>
          </w:tcPr>
          <w:p w14:paraId="35D3FE2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650" w:type="dxa"/>
            <w:tcBorders>
              <w:top w:val="nil"/>
              <w:left w:val="nil"/>
              <w:bottom w:val="single" w:sz="4" w:space="0" w:color="auto"/>
              <w:right w:val="nil"/>
            </w:tcBorders>
            <w:shd w:val="clear" w:color="auto" w:fill="auto"/>
            <w:noWrap/>
            <w:vAlign w:val="bottom"/>
            <w:hideMark/>
          </w:tcPr>
          <w:p w14:paraId="20C9CFE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single" w:sz="4" w:space="0" w:color="auto"/>
              <w:right w:val="nil"/>
            </w:tcBorders>
            <w:shd w:val="clear" w:color="auto" w:fill="auto"/>
            <w:noWrap/>
            <w:vAlign w:val="center"/>
            <w:hideMark/>
          </w:tcPr>
          <w:p w14:paraId="793A5B9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890" w:type="dxa"/>
            <w:tcBorders>
              <w:top w:val="nil"/>
              <w:left w:val="nil"/>
              <w:bottom w:val="single" w:sz="4" w:space="0" w:color="auto"/>
              <w:right w:val="nil"/>
            </w:tcBorders>
            <w:shd w:val="clear" w:color="auto" w:fill="auto"/>
            <w:noWrap/>
            <w:vAlign w:val="bottom"/>
            <w:hideMark/>
          </w:tcPr>
          <w:p w14:paraId="4ED874F0"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0" w:type="dxa"/>
            <w:tcBorders>
              <w:top w:val="nil"/>
              <w:left w:val="nil"/>
              <w:bottom w:val="single" w:sz="4" w:space="0" w:color="auto"/>
              <w:right w:val="nil"/>
            </w:tcBorders>
            <w:shd w:val="clear" w:color="auto" w:fill="auto"/>
            <w:noWrap/>
            <w:vAlign w:val="bottom"/>
            <w:hideMark/>
          </w:tcPr>
          <w:p w14:paraId="610B074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single" w:sz="4" w:space="0" w:color="auto"/>
              <w:right w:val="nil"/>
            </w:tcBorders>
            <w:shd w:val="clear" w:color="auto" w:fill="auto"/>
            <w:noWrap/>
            <w:vAlign w:val="bottom"/>
            <w:hideMark/>
          </w:tcPr>
          <w:p w14:paraId="7F243FA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894" w:type="dxa"/>
            <w:tcBorders>
              <w:top w:val="nil"/>
              <w:left w:val="nil"/>
              <w:bottom w:val="single" w:sz="4" w:space="0" w:color="auto"/>
              <w:right w:val="nil"/>
            </w:tcBorders>
            <w:shd w:val="clear" w:color="auto" w:fill="auto"/>
            <w:noWrap/>
            <w:vAlign w:val="bottom"/>
            <w:hideMark/>
          </w:tcPr>
          <w:p w14:paraId="2CAB07B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19" w:type="dxa"/>
            <w:tcBorders>
              <w:top w:val="nil"/>
              <w:left w:val="nil"/>
              <w:bottom w:val="single" w:sz="4" w:space="0" w:color="auto"/>
              <w:right w:val="nil"/>
            </w:tcBorders>
            <w:shd w:val="clear" w:color="auto" w:fill="auto"/>
            <w:noWrap/>
            <w:vAlign w:val="bottom"/>
            <w:hideMark/>
          </w:tcPr>
          <w:p w14:paraId="3852EE4A"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c>
          <w:tcPr>
            <w:tcW w:w="160" w:type="dxa"/>
            <w:tcBorders>
              <w:top w:val="nil"/>
              <w:left w:val="nil"/>
              <w:bottom w:val="single" w:sz="4" w:space="0" w:color="auto"/>
              <w:right w:val="nil"/>
            </w:tcBorders>
            <w:shd w:val="clear" w:color="auto" w:fill="auto"/>
            <w:noWrap/>
            <w:vAlign w:val="bottom"/>
            <w:hideMark/>
          </w:tcPr>
          <w:p w14:paraId="608C505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737" w:type="dxa"/>
            <w:tcBorders>
              <w:top w:val="nil"/>
              <w:left w:val="nil"/>
              <w:bottom w:val="single" w:sz="4" w:space="0" w:color="auto"/>
              <w:right w:val="nil"/>
            </w:tcBorders>
            <w:shd w:val="clear" w:color="auto" w:fill="auto"/>
            <w:noWrap/>
            <w:vAlign w:val="bottom"/>
            <w:hideMark/>
          </w:tcPr>
          <w:p w14:paraId="01F21F8D"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585" w:type="dxa"/>
            <w:tcBorders>
              <w:top w:val="nil"/>
              <w:left w:val="nil"/>
              <w:bottom w:val="single" w:sz="4" w:space="0" w:color="auto"/>
              <w:right w:val="nil"/>
            </w:tcBorders>
            <w:shd w:val="clear" w:color="auto" w:fill="auto"/>
            <w:noWrap/>
            <w:vAlign w:val="bottom"/>
            <w:hideMark/>
          </w:tcPr>
          <w:p w14:paraId="40B11BD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single" w:sz="4" w:space="0" w:color="auto"/>
              <w:right w:val="nil"/>
            </w:tcBorders>
            <w:shd w:val="clear" w:color="auto" w:fill="auto"/>
            <w:noWrap/>
            <w:vAlign w:val="center"/>
            <w:hideMark/>
          </w:tcPr>
          <w:p w14:paraId="65851896"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902" w:type="dxa"/>
            <w:tcBorders>
              <w:top w:val="nil"/>
              <w:left w:val="nil"/>
              <w:bottom w:val="single" w:sz="4" w:space="0" w:color="auto"/>
              <w:right w:val="nil"/>
            </w:tcBorders>
            <w:shd w:val="clear" w:color="auto" w:fill="auto"/>
            <w:noWrap/>
            <w:vAlign w:val="bottom"/>
            <w:hideMark/>
          </w:tcPr>
          <w:p w14:paraId="3E0D2668"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747" w:type="dxa"/>
            <w:tcBorders>
              <w:top w:val="nil"/>
              <w:left w:val="nil"/>
              <w:bottom w:val="single" w:sz="4" w:space="0" w:color="auto"/>
              <w:right w:val="nil"/>
            </w:tcBorders>
            <w:shd w:val="clear" w:color="auto" w:fill="auto"/>
            <w:noWrap/>
            <w:vAlign w:val="bottom"/>
            <w:hideMark/>
          </w:tcPr>
          <w:p w14:paraId="19873D8C"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160" w:type="dxa"/>
            <w:tcBorders>
              <w:top w:val="nil"/>
              <w:left w:val="nil"/>
              <w:bottom w:val="single" w:sz="4" w:space="0" w:color="auto"/>
              <w:right w:val="nil"/>
            </w:tcBorders>
            <w:shd w:val="clear" w:color="auto" w:fill="auto"/>
            <w:noWrap/>
            <w:vAlign w:val="bottom"/>
            <w:hideMark/>
          </w:tcPr>
          <w:p w14:paraId="7450EE8F"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 </w:t>
            </w:r>
          </w:p>
        </w:tc>
        <w:tc>
          <w:tcPr>
            <w:tcW w:w="747" w:type="dxa"/>
            <w:tcBorders>
              <w:top w:val="nil"/>
              <w:left w:val="nil"/>
              <w:bottom w:val="single" w:sz="4" w:space="0" w:color="auto"/>
              <w:right w:val="nil"/>
            </w:tcBorders>
            <w:shd w:val="clear" w:color="auto" w:fill="auto"/>
            <w:noWrap/>
            <w:vAlign w:val="bottom"/>
            <w:hideMark/>
          </w:tcPr>
          <w:p w14:paraId="5FDCE7D2"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0.0</w:t>
            </w:r>
          </w:p>
        </w:tc>
        <w:tc>
          <w:tcPr>
            <w:tcW w:w="222" w:type="dxa"/>
            <w:tcBorders>
              <w:top w:val="nil"/>
              <w:left w:val="nil"/>
              <w:bottom w:val="single" w:sz="4" w:space="0" w:color="auto"/>
              <w:right w:val="nil"/>
            </w:tcBorders>
            <w:shd w:val="clear" w:color="auto" w:fill="auto"/>
            <w:noWrap/>
            <w:vAlign w:val="bottom"/>
            <w:hideMark/>
          </w:tcPr>
          <w:p w14:paraId="38B65781" w14:textId="77777777" w:rsidR="00685D45" w:rsidRPr="00685D45" w:rsidRDefault="00685D45" w:rsidP="00685D45">
            <w:pPr>
              <w:jc w:val="center"/>
              <w:rPr>
                <w:rFonts w:eastAsia="Times New Roman"/>
                <w:color w:val="000000"/>
                <w:sz w:val="18"/>
                <w:szCs w:val="18"/>
                <w:lang w:val="fr-FR" w:eastAsia="fr-FR"/>
              </w:rPr>
            </w:pPr>
            <w:r w:rsidRPr="00685D45">
              <w:rPr>
                <w:rFonts w:eastAsia="Times New Roman"/>
                <w:color w:val="000000"/>
                <w:sz w:val="18"/>
                <w:szCs w:val="18"/>
                <w:lang w:val="fr-FR" w:eastAsia="fr-FR"/>
              </w:rPr>
              <w:t>-</w:t>
            </w:r>
          </w:p>
        </w:tc>
      </w:tr>
    </w:tbl>
    <w:p w14:paraId="07DFC044" w14:textId="77777777" w:rsidR="001A2E97" w:rsidRDefault="001A2E97" w:rsidP="008E3798">
      <w:pPr>
        <w:spacing w:after="120"/>
        <w:jc w:val="both"/>
        <w:rPr>
          <w:sz w:val="18"/>
          <w:szCs w:val="18"/>
        </w:rPr>
      </w:pPr>
    </w:p>
    <w:p w14:paraId="6FC53A0D" w14:textId="77777777" w:rsidR="00BC735C" w:rsidRDefault="00BC735C" w:rsidP="008E3798">
      <w:pPr>
        <w:spacing w:after="120"/>
        <w:jc w:val="both"/>
        <w:rPr>
          <w:sz w:val="18"/>
          <w:szCs w:val="18"/>
        </w:rPr>
      </w:pPr>
    </w:p>
    <w:p w14:paraId="7C50FF01" w14:textId="77777777" w:rsidR="00BC735C" w:rsidRDefault="00BC735C" w:rsidP="008E3798">
      <w:pPr>
        <w:spacing w:after="120"/>
        <w:jc w:val="both"/>
        <w:rPr>
          <w:sz w:val="18"/>
          <w:szCs w:val="18"/>
        </w:rPr>
      </w:pPr>
    </w:p>
    <w:tbl>
      <w:tblPr>
        <w:tblW w:w="5000" w:type="pct"/>
        <w:tblCellMar>
          <w:left w:w="70" w:type="dxa"/>
          <w:right w:w="70" w:type="dxa"/>
        </w:tblCellMar>
        <w:tblLook w:val="04A0" w:firstRow="1" w:lastRow="0" w:firstColumn="1" w:lastColumn="0" w:noHBand="0" w:noVBand="1"/>
      </w:tblPr>
      <w:tblGrid>
        <w:gridCol w:w="924"/>
        <w:gridCol w:w="1139"/>
        <w:gridCol w:w="945"/>
        <w:gridCol w:w="230"/>
        <w:gridCol w:w="1140"/>
        <w:gridCol w:w="301"/>
        <w:gridCol w:w="231"/>
        <w:gridCol w:w="1111"/>
        <w:gridCol w:w="1114"/>
        <w:gridCol w:w="231"/>
        <w:gridCol w:w="920"/>
        <w:gridCol w:w="542"/>
        <w:gridCol w:w="231"/>
        <w:gridCol w:w="1045"/>
        <w:gridCol w:w="865"/>
        <w:gridCol w:w="231"/>
        <w:gridCol w:w="1043"/>
        <w:gridCol w:w="857"/>
      </w:tblGrid>
      <w:tr w:rsidR="00A52F4F" w:rsidRPr="00A52F4F" w14:paraId="077C27A3" w14:textId="77777777" w:rsidTr="000F7CDE">
        <w:trPr>
          <w:trHeight w:val="240"/>
        </w:trPr>
        <w:tc>
          <w:tcPr>
            <w:tcW w:w="353" w:type="pct"/>
            <w:tcBorders>
              <w:top w:val="single" w:sz="4" w:space="0" w:color="auto"/>
              <w:left w:val="nil"/>
              <w:bottom w:val="nil"/>
              <w:right w:val="nil"/>
            </w:tcBorders>
            <w:shd w:val="clear" w:color="auto" w:fill="auto"/>
            <w:noWrap/>
            <w:vAlign w:val="center"/>
            <w:hideMark/>
          </w:tcPr>
          <w:p w14:paraId="15D1D6F5" w14:textId="21A85FC8" w:rsidR="00A52F4F" w:rsidRPr="00A52F4F" w:rsidRDefault="00A52F4F" w:rsidP="000F7CDE">
            <w:pPr>
              <w:jc w:val="center"/>
              <w:rPr>
                <w:rFonts w:eastAsia="Times New Roman"/>
                <w:color w:val="000000"/>
                <w:sz w:val="18"/>
                <w:szCs w:val="18"/>
                <w:lang w:val="fr-FR" w:eastAsia="fr-FR"/>
              </w:rPr>
            </w:pPr>
          </w:p>
        </w:tc>
        <w:tc>
          <w:tcPr>
            <w:tcW w:w="1433" w:type="pct"/>
            <w:gridSpan w:val="5"/>
            <w:tcBorders>
              <w:top w:val="single" w:sz="4" w:space="0" w:color="auto"/>
              <w:left w:val="nil"/>
              <w:bottom w:val="single" w:sz="4" w:space="0" w:color="auto"/>
              <w:right w:val="nil"/>
            </w:tcBorders>
            <w:shd w:val="clear" w:color="auto" w:fill="auto"/>
            <w:noWrap/>
            <w:vAlign w:val="center"/>
            <w:hideMark/>
          </w:tcPr>
          <w:p w14:paraId="6543EFF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SMS29-3-9</w:t>
            </w:r>
          </w:p>
        </w:tc>
        <w:tc>
          <w:tcPr>
            <w:tcW w:w="88" w:type="pct"/>
            <w:tcBorders>
              <w:top w:val="single" w:sz="4" w:space="0" w:color="auto"/>
              <w:left w:val="nil"/>
              <w:bottom w:val="nil"/>
              <w:right w:val="nil"/>
            </w:tcBorders>
            <w:shd w:val="clear" w:color="auto" w:fill="auto"/>
            <w:noWrap/>
            <w:vAlign w:val="center"/>
            <w:hideMark/>
          </w:tcPr>
          <w:p w14:paraId="7A59AAA6" w14:textId="536F32F4" w:rsidR="00A52F4F" w:rsidRPr="00A52F4F" w:rsidRDefault="00A52F4F" w:rsidP="000F7CDE">
            <w:pPr>
              <w:jc w:val="center"/>
              <w:rPr>
                <w:rFonts w:eastAsia="Times New Roman"/>
                <w:color w:val="000000"/>
                <w:sz w:val="18"/>
                <w:szCs w:val="18"/>
                <w:lang w:val="fr-FR" w:eastAsia="fr-FR"/>
              </w:rPr>
            </w:pPr>
          </w:p>
        </w:tc>
        <w:tc>
          <w:tcPr>
            <w:tcW w:w="1495" w:type="pct"/>
            <w:gridSpan w:val="5"/>
            <w:tcBorders>
              <w:top w:val="single" w:sz="4" w:space="0" w:color="auto"/>
              <w:left w:val="nil"/>
              <w:bottom w:val="single" w:sz="4" w:space="0" w:color="auto"/>
              <w:right w:val="nil"/>
            </w:tcBorders>
            <w:shd w:val="clear" w:color="auto" w:fill="auto"/>
            <w:noWrap/>
            <w:vAlign w:val="center"/>
            <w:hideMark/>
          </w:tcPr>
          <w:p w14:paraId="5CF48CE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ED21-10-3</w:t>
            </w:r>
          </w:p>
        </w:tc>
        <w:tc>
          <w:tcPr>
            <w:tcW w:w="88" w:type="pct"/>
            <w:tcBorders>
              <w:top w:val="single" w:sz="4" w:space="0" w:color="auto"/>
              <w:left w:val="nil"/>
              <w:bottom w:val="nil"/>
              <w:right w:val="nil"/>
            </w:tcBorders>
            <w:shd w:val="clear" w:color="auto" w:fill="auto"/>
            <w:noWrap/>
            <w:vAlign w:val="center"/>
            <w:hideMark/>
          </w:tcPr>
          <w:p w14:paraId="2CCF4C38" w14:textId="6C02966D" w:rsidR="00A52F4F" w:rsidRPr="00A52F4F" w:rsidRDefault="00A52F4F" w:rsidP="000F7CDE">
            <w:pPr>
              <w:jc w:val="center"/>
              <w:rPr>
                <w:rFonts w:eastAsia="Times New Roman"/>
                <w:color w:val="000000"/>
                <w:sz w:val="18"/>
                <w:szCs w:val="18"/>
                <w:lang w:val="fr-FR" w:eastAsia="fr-FR"/>
              </w:rPr>
            </w:pPr>
          </w:p>
        </w:tc>
        <w:tc>
          <w:tcPr>
            <w:tcW w:w="1542" w:type="pct"/>
            <w:gridSpan w:val="5"/>
            <w:tcBorders>
              <w:top w:val="single" w:sz="4" w:space="0" w:color="auto"/>
              <w:left w:val="nil"/>
              <w:bottom w:val="single" w:sz="4" w:space="0" w:color="auto"/>
              <w:right w:val="nil"/>
            </w:tcBorders>
            <w:shd w:val="clear" w:color="auto" w:fill="auto"/>
            <w:noWrap/>
            <w:vAlign w:val="center"/>
            <w:hideMark/>
          </w:tcPr>
          <w:p w14:paraId="27ABDE4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ED23-3-6</w:t>
            </w:r>
          </w:p>
        </w:tc>
      </w:tr>
      <w:tr w:rsidR="00A52F4F" w:rsidRPr="00A52F4F" w14:paraId="4D850971" w14:textId="77777777" w:rsidTr="000F7CDE">
        <w:trPr>
          <w:trHeight w:val="240"/>
        </w:trPr>
        <w:tc>
          <w:tcPr>
            <w:tcW w:w="353" w:type="pct"/>
            <w:tcBorders>
              <w:top w:val="nil"/>
              <w:left w:val="nil"/>
              <w:bottom w:val="nil"/>
              <w:right w:val="nil"/>
            </w:tcBorders>
            <w:shd w:val="clear" w:color="auto" w:fill="auto"/>
            <w:noWrap/>
            <w:vAlign w:val="center"/>
            <w:hideMark/>
          </w:tcPr>
          <w:p w14:paraId="41094EC3" w14:textId="77777777" w:rsidR="00A52F4F" w:rsidRPr="00A52F4F" w:rsidRDefault="00A52F4F" w:rsidP="000F7CDE">
            <w:pPr>
              <w:jc w:val="center"/>
              <w:rPr>
                <w:rFonts w:eastAsia="Times New Roman"/>
                <w:color w:val="000000"/>
                <w:sz w:val="18"/>
                <w:szCs w:val="18"/>
                <w:lang w:val="fr-FR" w:eastAsia="fr-FR"/>
              </w:rPr>
            </w:pPr>
          </w:p>
        </w:tc>
        <w:tc>
          <w:tcPr>
            <w:tcW w:w="795" w:type="pct"/>
            <w:gridSpan w:val="2"/>
            <w:tcBorders>
              <w:top w:val="single" w:sz="4" w:space="0" w:color="auto"/>
              <w:left w:val="nil"/>
              <w:bottom w:val="single" w:sz="4" w:space="0" w:color="auto"/>
              <w:right w:val="nil"/>
            </w:tcBorders>
            <w:shd w:val="clear" w:color="auto" w:fill="auto"/>
            <w:noWrap/>
            <w:vAlign w:val="center"/>
            <w:hideMark/>
          </w:tcPr>
          <w:p w14:paraId="556E569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Cpx</w:t>
            </w:r>
          </w:p>
        </w:tc>
        <w:tc>
          <w:tcPr>
            <w:tcW w:w="88" w:type="pct"/>
            <w:tcBorders>
              <w:top w:val="nil"/>
              <w:left w:val="nil"/>
              <w:bottom w:val="nil"/>
              <w:right w:val="nil"/>
            </w:tcBorders>
            <w:shd w:val="clear" w:color="auto" w:fill="auto"/>
            <w:noWrap/>
            <w:vAlign w:val="center"/>
            <w:hideMark/>
          </w:tcPr>
          <w:p w14:paraId="04FC39C5" w14:textId="3A51C0FE" w:rsidR="00A52F4F" w:rsidRPr="00A52F4F" w:rsidRDefault="00A52F4F" w:rsidP="000F7CDE">
            <w:pPr>
              <w:jc w:val="center"/>
              <w:rPr>
                <w:rFonts w:eastAsia="Times New Roman"/>
                <w:color w:val="000000"/>
                <w:sz w:val="18"/>
                <w:szCs w:val="18"/>
                <w:lang w:val="fr-FR" w:eastAsia="fr-FR"/>
              </w:rPr>
            </w:pPr>
          </w:p>
        </w:tc>
        <w:tc>
          <w:tcPr>
            <w:tcW w:w="550" w:type="pct"/>
            <w:gridSpan w:val="2"/>
            <w:tcBorders>
              <w:top w:val="single" w:sz="4" w:space="0" w:color="auto"/>
              <w:left w:val="nil"/>
              <w:bottom w:val="single" w:sz="4" w:space="0" w:color="auto"/>
              <w:right w:val="nil"/>
            </w:tcBorders>
            <w:shd w:val="clear" w:color="auto" w:fill="auto"/>
            <w:noWrap/>
            <w:vAlign w:val="center"/>
            <w:hideMark/>
          </w:tcPr>
          <w:p w14:paraId="5B40F16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Opx</w:t>
            </w:r>
          </w:p>
        </w:tc>
        <w:tc>
          <w:tcPr>
            <w:tcW w:w="88" w:type="pct"/>
            <w:tcBorders>
              <w:top w:val="nil"/>
              <w:left w:val="nil"/>
              <w:bottom w:val="nil"/>
              <w:right w:val="nil"/>
            </w:tcBorders>
            <w:shd w:val="clear" w:color="auto" w:fill="auto"/>
            <w:noWrap/>
            <w:vAlign w:val="center"/>
            <w:hideMark/>
          </w:tcPr>
          <w:p w14:paraId="657A47D9" w14:textId="77777777" w:rsidR="00A52F4F" w:rsidRPr="00A52F4F" w:rsidRDefault="00A52F4F" w:rsidP="000F7CDE">
            <w:pPr>
              <w:jc w:val="center"/>
              <w:rPr>
                <w:rFonts w:eastAsia="Times New Roman"/>
                <w:color w:val="000000"/>
                <w:sz w:val="18"/>
                <w:szCs w:val="18"/>
                <w:lang w:val="fr-FR" w:eastAsia="fr-FR"/>
              </w:rPr>
            </w:pPr>
          </w:p>
        </w:tc>
        <w:tc>
          <w:tcPr>
            <w:tcW w:w="849" w:type="pct"/>
            <w:gridSpan w:val="2"/>
            <w:tcBorders>
              <w:top w:val="single" w:sz="4" w:space="0" w:color="auto"/>
              <w:left w:val="nil"/>
              <w:bottom w:val="single" w:sz="4" w:space="0" w:color="auto"/>
              <w:right w:val="nil"/>
            </w:tcBorders>
            <w:shd w:val="clear" w:color="auto" w:fill="auto"/>
            <w:noWrap/>
            <w:vAlign w:val="center"/>
            <w:hideMark/>
          </w:tcPr>
          <w:p w14:paraId="1F232F9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Cpx</w:t>
            </w:r>
          </w:p>
        </w:tc>
        <w:tc>
          <w:tcPr>
            <w:tcW w:w="88" w:type="pct"/>
            <w:tcBorders>
              <w:top w:val="nil"/>
              <w:left w:val="nil"/>
              <w:bottom w:val="nil"/>
              <w:right w:val="nil"/>
            </w:tcBorders>
            <w:shd w:val="clear" w:color="auto" w:fill="auto"/>
            <w:noWrap/>
            <w:vAlign w:val="center"/>
            <w:hideMark/>
          </w:tcPr>
          <w:p w14:paraId="23E592F1" w14:textId="6D65B19A" w:rsidR="00A52F4F" w:rsidRPr="00A52F4F" w:rsidRDefault="00A52F4F" w:rsidP="000F7CDE">
            <w:pPr>
              <w:jc w:val="center"/>
              <w:rPr>
                <w:rFonts w:eastAsia="Times New Roman"/>
                <w:color w:val="000000"/>
                <w:sz w:val="18"/>
                <w:szCs w:val="18"/>
                <w:lang w:val="fr-FR" w:eastAsia="fr-FR"/>
              </w:rPr>
            </w:pPr>
          </w:p>
        </w:tc>
        <w:tc>
          <w:tcPr>
            <w:tcW w:w="558" w:type="pct"/>
            <w:gridSpan w:val="2"/>
            <w:tcBorders>
              <w:top w:val="single" w:sz="4" w:space="0" w:color="auto"/>
              <w:left w:val="nil"/>
              <w:bottom w:val="single" w:sz="4" w:space="0" w:color="auto"/>
              <w:right w:val="nil"/>
            </w:tcBorders>
            <w:shd w:val="clear" w:color="auto" w:fill="auto"/>
            <w:noWrap/>
            <w:vAlign w:val="center"/>
            <w:hideMark/>
          </w:tcPr>
          <w:p w14:paraId="3942EE4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Pl</w:t>
            </w:r>
          </w:p>
        </w:tc>
        <w:tc>
          <w:tcPr>
            <w:tcW w:w="88" w:type="pct"/>
            <w:tcBorders>
              <w:top w:val="nil"/>
              <w:left w:val="nil"/>
              <w:bottom w:val="nil"/>
              <w:right w:val="nil"/>
            </w:tcBorders>
            <w:shd w:val="clear" w:color="auto" w:fill="auto"/>
            <w:noWrap/>
            <w:vAlign w:val="center"/>
            <w:hideMark/>
          </w:tcPr>
          <w:p w14:paraId="57BC2BFA" w14:textId="77777777" w:rsidR="00A52F4F" w:rsidRPr="00A52F4F" w:rsidRDefault="00A52F4F" w:rsidP="000F7CDE">
            <w:pPr>
              <w:jc w:val="center"/>
              <w:rPr>
                <w:rFonts w:eastAsia="Times New Roman"/>
                <w:color w:val="000000"/>
                <w:sz w:val="18"/>
                <w:szCs w:val="18"/>
                <w:lang w:val="fr-FR" w:eastAsia="fr-FR"/>
              </w:rPr>
            </w:pPr>
          </w:p>
        </w:tc>
        <w:tc>
          <w:tcPr>
            <w:tcW w:w="729" w:type="pct"/>
            <w:gridSpan w:val="2"/>
            <w:tcBorders>
              <w:top w:val="single" w:sz="4" w:space="0" w:color="auto"/>
              <w:left w:val="nil"/>
              <w:bottom w:val="single" w:sz="4" w:space="0" w:color="auto"/>
              <w:right w:val="nil"/>
            </w:tcBorders>
            <w:shd w:val="clear" w:color="auto" w:fill="auto"/>
            <w:noWrap/>
            <w:vAlign w:val="center"/>
            <w:hideMark/>
          </w:tcPr>
          <w:p w14:paraId="68EFFE4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Cpx</w:t>
            </w:r>
          </w:p>
        </w:tc>
        <w:tc>
          <w:tcPr>
            <w:tcW w:w="88" w:type="pct"/>
            <w:tcBorders>
              <w:top w:val="nil"/>
              <w:left w:val="nil"/>
              <w:bottom w:val="nil"/>
              <w:right w:val="nil"/>
            </w:tcBorders>
            <w:shd w:val="clear" w:color="auto" w:fill="auto"/>
            <w:noWrap/>
            <w:vAlign w:val="center"/>
            <w:hideMark/>
          </w:tcPr>
          <w:p w14:paraId="59FA7ED9" w14:textId="715B5F46" w:rsidR="00A52F4F" w:rsidRPr="00A52F4F" w:rsidRDefault="00A52F4F" w:rsidP="000F7CDE">
            <w:pPr>
              <w:jc w:val="center"/>
              <w:rPr>
                <w:rFonts w:eastAsia="Times New Roman"/>
                <w:color w:val="000000"/>
                <w:sz w:val="18"/>
                <w:szCs w:val="18"/>
                <w:lang w:val="fr-FR" w:eastAsia="fr-FR"/>
              </w:rPr>
            </w:pPr>
          </w:p>
        </w:tc>
        <w:tc>
          <w:tcPr>
            <w:tcW w:w="725" w:type="pct"/>
            <w:gridSpan w:val="2"/>
            <w:tcBorders>
              <w:top w:val="single" w:sz="4" w:space="0" w:color="auto"/>
              <w:left w:val="nil"/>
              <w:bottom w:val="single" w:sz="4" w:space="0" w:color="auto"/>
              <w:right w:val="nil"/>
            </w:tcBorders>
            <w:shd w:val="clear" w:color="auto" w:fill="auto"/>
            <w:noWrap/>
            <w:vAlign w:val="center"/>
            <w:hideMark/>
          </w:tcPr>
          <w:p w14:paraId="79E1263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Opx</w:t>
            </w:r>
          </w:p>
        </w:tc>
      </w:tr>
      <w:tr w:rsidR="000F7CDE" w:rsidRPr="00A52F4F" w14:paraId="51FCC2A9" w14:textId="77777777" w:rsidTr="000F7CDE">
        <w:trPr>
          <w:trHeight w:val="240"/>
        </w:trPr>
        <w:tc>
          <w:tcPr>
            <w:tcW w:w="353" w:type="pct"/>
            <w:tcBorders>
              <w:top w:val="nil"/>
              <w:left w:val="nil"/>
              <w:bottom w:val="nil"/>
              <w:right w:val="nil"/>
            </w:tcBorders>
            <w:shd w:val="clear" w:color="auto" w:fill="auto"/>
            <w:noWrap/>
            <w:vAlign w:val="center"/>
            <w:hideMark/>
          </w:tcPr>
          <w:p w14:paraId="03C803B4" w14:textId="77777777" w:rsidR="000F7CDE" w:rsidRPr="00A52F4F" w:rsidRDefault="000F7CDE" w:rsidP="000F7CDE">
            <w:pPr>
              <w:jc w:val="center"/>
              <w:rPr>
                <w:rFonts w:eastAsia="Times New Roman"/>
                <w:color w:val="000000"/>
                <w:sz w:val="18"/>
                <w:szCs w:val="18"/>
                <w:lang w:val="fr-FR" w:eastAsia="fr-FR"/>
              </w:rPr>
            </w:pPr>
          </w:p>
        </w:tc>
        <w:tc>
          <w:tcPr>
            <w:tcW w:w="795" w:type="pct"/>
            <w:gridSpan w:val="2"/>
            <w:tcBorders>
              <w:top w:val="nil"/>
              <w:left w:val="nil"/>
              <w:bottom w:val="nil"/>
              <w:right w:val="nil"/>
            </w:tcBorders>
            <w:shd w:val="clear" w:color="auto" w:fill="auto"/>
            <w:noWrap/>
            <w:vAlign w:val="center"/>
            <w:hideMark/>
          </w:tcPr>
          <w:p w14:paraId="74091BE8" w14:textId="0391F6E5" w:rsidR="000F7CDE" w:rsidRPr="00A52F4F" w:rsidRDefault="000F7CDE"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Core</w:t>
            </w:r>
          </w:p>
        </w:tc>
        <w:tc>
          <w:tcPr>
            <w:tcW w:w="88" w:type="pct"/>
            <w:tcBorders>
              <w:top w:val="nil"/>
              <w:left w:val="nil"/>
              <w:bottom w:val="nil"/>
              <w:right w:val="nil"/>
            </w:tcBorders>
            <w:shd w:val="clear" w:color="auto" w:fill="auto"/>
            <w:noWrap/>
            <w:vAlign w:val="center"/>
            <w:hideMark/>
          </w:tcPr>
          <w:p w14:paraId="1C809150" w14:textId="77777777" w:rsidR="000F7CDE" w:rsidRPr="00A52F4F" w:rsidRDefault="000F7CDE" w:rsidP="000F7CDE">
            <w:pPr>
              <w:jc w:val="center"/>
              <w:rPr>
                <w:rFonts w:eastAsia="Times New Roman"/>
                <w:color w:val="000000"/>
                <w:sz w:val="18"/>
                <w:szCs w:val="18"/>
                <w:lang w:val="fr-FR" w:eastAsia="fr-FR"/>
              </w:rPr>
            </w:pPr>
          </w:p>
        </w:tc>
        <w:tc>
          <w:tcPr>
            <w:tcW w:w="550" w:type="pct"/>
            <w:gridSpan w:val="2"/>
            <w:tcBorders>
              <w:top w:val="nil"/>
              <w:left w:val="nil"/>
              <w:bottom w:val="nil"/>
              <w:right w:val="nil"/>
            </w:tcBorders>
            <w:shd w:val="clear" w:color="auto" w:fill="auto"/>
            <w:noWrap/>
            <w:vAlign w:val="center"/>
            <w:hideMark/>
          </w:tcPr>
          <w:p w14:paraId="1B3AA626" w14:textId="0FAC3010" w:rsidR="000F7CDE" w:rsidRPr="00A52F4F" w:rsidRDefault="000F7CDE"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Core</w:t>
            </w:r>
          </w:p>
        </w:tc>
        <w:tc>
          <w:tcPr>
            <w:tcW w:w="88" w:type="pct"/>
            <w:tcBorders>
              <w:top w:val="nil"/>
              <w:left w:val="nil"/>
              <w:bottom w:val="nil"/>
              <w:right w:val="nil"/>
            </w:tcBorders>
            <w:shd w:val="clear" w:color="auto" w:fill="auto"/>
            <w:noWrap/>
            <w:vAlign w:val="center"/>
            <w:hideMark/>
          </w:tcPr>
          <w:p w14:paraId="3404BAED" w14:textId="77777777" w:rsidR="000F7CDE" w:rsidRPr="00A52F4F" w:rsidRDefault="000F7CDE" w:rsidP="000F7CDE">
            <w:pPr>
              <w:jc w:val="center"/>
              <w:rPr>
                <w:rFonts w:eastAsia="Times New Roman"/>
                <w:color w:val="000000"/>
                <w:sz w:val="18"/>
                <w:szCs w:val="18"/>
                <w:lang w:val="fr-FR" w:eastAsia="fr-FR"/>
              </w:rPr>
            </w:pPr>
          </w:p>
        </w:tc>
        <w:tc>
          <w:tcPr>
            <w:tcW w:w="849" w:type="pct"/>
            <w:gridSpan w:val="2"/>
            <w:tcBorders>
              <w:top w:val="nil"/>
              <w:left w:val="nil"/>
              <w:bottom w:val="nil"/>
              <w:right w:val="nil"/>
            </w:tcBorders>
            <w:shd w:val="clear" w:color="auto" w:fill="auto"/>
            <w:noWrap/>
            <w:vAlign w:val="center"/>
            <w:hideMark/>
          </w:tcPr>
          <w:p w14:paraId="40A7A941" w14:textId="6DFC6A3F" w:rsidR="000F7CDE" w:rsidRPr="00A52F4F" w:rsidRDefault="000F7CDE"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Core</w:t>
            </w:r>
          </w:p>
        </w:tc>
        <w:tc>
          <w:tcPr>
            <w:tcW w:w="88" w:type="pct"/>
            <w:tcBorders>
              <w:top w:val="nil"/>
              <w:left w:val="nil"/>
              <w:bottom w:val="nil"/>
              <w:right w:val="nil"/>
            </w:tcBorders>
            <w:shd w:val="clear" w:color="auto" w:fill="auto"/>
            <w:noWrap/>
            <w:vAlign w:val="center"/>
            <w:hideMark/>
          </w:tcPr>
          <w:p w14:paraId="7B14F0AF" w14:textId="77777777" w:rsidR="000F7CDE" w:rsidRPr="00A52F4F" w:rsidRDefault="000F7CDE" w:rsidP="000F7CDE">
            <w:pPr>
              <w:jc w:val="center"/>
              <w:rPr>
                <w:rFonts w:eastAsia="Times New Roman"/>
                <w:color w:val="000000"/>
                <w:sz w:val="18"/>
                <w:szCs w:val="18"/>
                <w:lang w:val="fr-FR" w:eastAsia="fr-FR"/>
              </w:rPr>
            </w:pPr>
          </w:p>
        </w:tc>
        <w:tc>
          <w:tcPr>
            <w:tcW w:w="558" w:type="pct"/>
            <w:gridSpan w:val="2"/>
            <w:tcBorders>
              <w:top w:val="nil"/>
              <w:left w:val="nil"/>
              <w:bottom w:val="nil"/>
              <w:right w:val="nil"/>
            </w:tcBorders>
            <w:shd w:val="clear" w:color="auto" w:fill="auto"/>
            <w:noWrap/>
            <w:vAlign w:val="center"/>
            <w:hideMark/>
          </w:tcPr>
          <w:p w14:paraId="750D7731" w14:textId="107D418E" w:rsidR="000F7CDE" w:rsidRPr="00A52F4F" w:rsidRDefault="000F7CDE"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Core</w:t>
            </w:r>
          </w:p>
        </w:tc>
        <w:tc>
          <w:tcPr>
            <w:tcW w:w="88" w:type="pct"/>
            <w:tcBorders>
              <w:top w:val="nil"/>
              <w:left w:val="nil"/>
              <w:bottom w:val="nil"/>
              <w:right w:val="nil"/>
            </w:tcBorders>
            <w:shd w:val="clear" w:color="auto" w:fill="auto"/>
            <w:noWrap/>
            <w:vAlign w:val="center"/>
            <w:hideMark/>
          </w:tcPr>
          <w:p w14:paraId="20A279FB" w14:textId="77777777" w:rsidR="000F7CDE" w:rsidRPr="00A52F4F" w:rsidRDefault="000F7CDE" w:rsidP="000F7CDE">
            <w:pPr>
              <w:jc w:val="center"/>
              <w:rPr>
                <w:rFonts w:eastAsia="Times New Roman"/>
                <w:color w:val="000000"/>
                <w:sz w:val="18"/>
                <w:szCs w:val="18"/>
                <w:lang w:val="fr-FR" w:eastAsia="fr-FR"/>
              </w:rPr>
            </w:pPr>
          </w:p>
        </w:tc>
        <w:tc>
          <w:tcPr>
            <w:tcW w:w="729" w:type="pct"/>
            <w:gridSpan w:val="2"/>
            <w:tcBorders>
              <w:top w:val="nil"/>
              <w:left w:val="nil"/>
              <w:bottom w:val="nil"/>
              <w:right w:val="nil"/>
            </w:tcBorders>
            <w:shd w:val="clear" w:color="auto" w:fill="auto"/>
            <w:noWrap/>
            <w:vAlign w:val="center"/>
            <w:hideMark/>
          </w:tcPr>
          <w:p w14:paraId="4EE56E0C" w14:textId="6B9F93C0" w:rsidR="000F7CDE" w:rsidRPr="00A52F4F" w:rsidRDefault="000F7CDE"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Core</w:t>
            </w:r>
          </w:p>
        </w:tc>
        <w:tc>
          <w:tcPr>
            <w:tcW w:w="88" w:type="pct"/>
            <w:tcBorders>
              <w:top w:val="nil"/>
              <w:left w:val="nil"/>
              <w:bottom w:val="nil"/>
              <w:right w:val="nil"/>
            </w:tcBorders>
            <w:shd w:val="clear" w:color="auto" w:fill="auto"/>
            <w:noWrap/>
            <w:vAlign w:val="center"/>
            <w:hideMark/>
          </w:tcPr>
          <w:p w14:paraId="52BBA8C9" w14:textId="77777777" w:rsidR="000F7CDE" w:rsidRPr="00A52F4F" w:rsidRDefault="000F7CDE" w:rsidP="000F7CDE">
            <w:pPr>
              <w:jc w:val="center"/>
              <w:rPr>
                <w:rFonts w:eastAsia="Times New Roman"/>
                <w:color w:val="000000"/>
                <w:sz w:val="18"/>
                <w:szCs w:val="18"/>
                <w:lang w:val="fr-FR" w:eastAsia="fr-FR"/>
              </w:rPr>
            </w:pPr>
          </w:p>
        </w:tc>
        <w:tc>
          <w:tcPr>
            <w:tcW w:w="725" w:type="pct"/>
            <w:gridSpan w:val="2"/>
            <w:tcBorders>
              <w:top w:val="nil"/>
              <w:left w:val="nil"/>
              <w:bottom w:val="nil"/>
              <w:right w:val="nil"/>
            </w:tcBorders>
            <w:shd w:val="clear" w:color="auto" w:fill="auto"/>
            <w:noWrap/>
            <w:vAlign w:val="center"/>
            <w:hideMark/>
          </w:tcPr>
          <w:p w14:paraId="34B6558D" w14:textId="26BE5D39" w:rsidR="000F7CDE" w:rsidRPr="00A52F4F" w:rsidRDefault="000F7CDE"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Core</w:t>
            </w:r>
          </w:p>
        </w:tc>
      </w:tr>
      <w:tr w:rsidR="00A52F4F" w:rsidRPr="00A52F4F" w14:paraId="7DC36BA8" w14:textId="77777777" w:rsidTr="000F7CDE">
        <w:trPr>
          <w:trHeight w:val="300"/>
        </w:trPr>
        <w:tc>
          <w:tcPr>
            <w:tcW w:w="353" w:type="pct"/>
            <w:tcBorders>
              <w:top w:val="nil"/>
              <w:left w:val="nil"/>
              <w:bottom w:val="single" w:sz="4" w:space="0" w:color="auto"/>
              <w:right w:val="nil"/>
            </w:tcBorders>
            <w:shd w:val="clear" w:color="auto" w:fill="auto"/>
            <w:noWrap/>
            <w:vAlign w:val="center"/>
            <w:hideMark/>
          </w:tcPr>
          <w:p w14:paraId="68C4AF53" w14:textId="5962E3DC"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single" w:sz="4" w:space="0" w:color="auto"/>
              <w:right w:val="nil"/>
            </w:tcBorders>
            <w:shd w:val="clear" w:color="auto" w:fill="auto"/>
            <w:noWrap/>
            <w:vAlign w:val="center"/>
            <w:hideMark/>
          </w:tcPr>
          <w:p w14:paraId="113E322F" w14:textId="727ECA97" w:rsidR="00A52F4F" w:rsidRPr="00A52F4F" w:rsidRDefault="005227D8" w:rsidP="000F7CDE">
            <w:pPr>
              <w:jc w:val="center"/>
              <w:rPr>
                <w:rFonts w:eastAsia="Times New Roman"/>
                <w:color w:val="000000"/>
                <w:sz w:val="18"/>
                <w:szCs w:val="18"/>
                <w:lang w:val="fr-FR" w:eastAsia="fr-FR"/>
              </w:rPr>
            </w:pPr>
            <w:r>
              <w:rPr>
                <w:rFonts w:eastAsia="Times New Roman"/>
                <w:color w:val="000000"/>
                <w:sz w:val="18"/>
                <w:szCs w:val="18"/>
                <w:lang w:val="fr-FR" w:eastAsia="fr-FR"/>
              </w:rPr>
              <w:t>(</w:t>
            </w:r>
            <w:r w:rsidR="00A52F4F" w:rsidRPr="00A52F4F">
              <w:rPr>
                <w:rFonts w:eastAsia="Times New Roman"/>
                <w:color w:val="000000"/>
                <w:sz w:val="18"/>
                <w:szCs w:val="18"/>
                <w:lang w:val="fr-FR" w:eastAsia="fr-FR"/>
              </w:rPr>
              <w:t>n=7</w:t>
            </w:r>
            <w:r>
              <w:rPr>
                <w:rFonts w:eastAsia="Times New Roman"/>
                <w:color w:val="000000"/>
                <w:sz w:val="18"/>
                <w:szCs w:val="18"/>
                <w:lang w:val="fr-FR" w:eastAsia="fr-FR"/>
              </w:rPr>
              <w:t>)</w:t>
            </w:r>
          </w:p>
        </w:tc>
        <w:tc>
          <w:tcPr>
            <w:tcW w:w="361" w:type="pct"/>
            <w:tcBorders>
              <w:top w:val="nil"/>
              <w:left w:val="nil"/>
              <w:bottom w:val="single" w:sz="4" w:space="0" w:color="auto"/>
              <w:right w:val="nil"/>
            </w:tcBorders>
            <w:shd w:val="clear" w:color="auto" w:fill="auto"/>
            <w:noWrap/>
            <w:vAlign w:val="center"/>
            <w:hideMark/>
          </w:tcPr>
          <w:p w14:paraId="1A17E0C3" w14:textId="41CC4A42" w:rsidR="00A52F4F" w:rsidRPr="00A52F4F" w:rsidRDefault="000F7CDE" w:rsidP="000F7CDE">
            <w:pPr>
              <w:jc w:val="center"/>
              <w:rPr>
                <w:rFonts w:ascii="Calibri" w:eastAsia="Times New Roman" w:hAnsi="Calibri"/>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single" w:sz="4" w:space="0" w:color="auto"/>
              <w:right w:val="nil"/>
            </w:tcBorders>
            <w:shd w:val="clear" w:color="auto" w:fill="auto"/>
            <w:noWrap/>
            <w:vAlign w:val="center"/>
            <w:hideMark/>
          </w:tcPr>
          <w:p w14:paraId="21164859" w14:textId="5549AFED" w:rsidR="00A52F4F" w:rsidRPr="00A52F4F" w:rsidRDefault="00A52F4F" w:rsidP="000F7CDE">
            <w:pPr>
              <w:jc w:val="center"/>
              <w:rPr>
                <w:rFonts w:ascii="Calibri" w:eastAsia="Times New Roman" w:hAnsi="Calibri"/>
                <w:color w:val="000000"/>
                <w:sz w:val="18"/>
                <w:szCs w:val="18"/>
                <w:lang w:val="fr-FR" w:eastAsia="fr-FR"/>
              </w:rPr>
            </w:pPr>
          </w:p>
        </w:tc>
        <w:tc>
          <w:tcPr>
            <w:tcW w:w="435" w:type="pct"/>
            <w:tcBorders>
              <w:top w:val="nil"/>
              <w:left w:val="nil"/>
              <w:bottom w:val="single" w:sz="4" w:space="0" w:color="auto"/>
              <w:right w:val="nil"/>
            </w:tcBorders>
            <w:shd w:val="clear" w:color="auto" w:fill="auto"/>
            <w:noWrap/>
            <w:vAlign w:val="center"/>
            <w:hideMark/>
          </w:tcPr>
          <w:p w14:paraId="6EE237F3" w14:textId="75E5FB98" w:rsidR="00A52F4F" w:rsidRPr="00A52F4F" w:rsidRDefault="005227D8" w:rsidP="000F7CDE">
            <w:pPr>
              <w:jc w:val="center"/>
              <w:rPr>
                <w:rFonts w:eastAsia="Times New Roman"/>
                <w:color w:val="000000"/>
                <w:sz w:val="18"/>
                <w:szCs w:val="18"/>
                <w:lang w:val="fr-FR" w:eastAsia="fr-FR"/>
              </w:rPr>
            </w:pPr>
            <w:r>
              <w:rPr>
                <w:rFonts w:eastAsia="Times New Roman"/>
                <w:color w:val="000000"/>
                <w:sz w:val="18"/>
                <w:szCs w:val="18"/>
                <w:lang w:val="fr-FR" w:eastAsia="fr-FR"/>
              </w:rPr>
              <w:t>(</w:t>
            </w:r>
            <w:r w:rsidR="00A52F4F" w:rsidRPr="00A52F4F">
              <w:rPr>
                <w:rFonts w:eastAsia="Times New Roman"/>
                <w:color w:val="000000"/>
                <w:sz w:val="18"/>
                <w:szCs w:val="18"/>
                <w:lang w:val="fr-FR" w:eastAsia="fr-FR"/>
              </w:rPr>
              <w:t>n=1</w:t>
            </w:r>
            <w:r>
              <w:rPr>
                <w:rFonts w:eastAsia="Times New Roman"/>
                <w:color w:val="000000"/>
                <w:sz w:val="18"/>
                <w:szCs w:val="18"/>
                <w:lang w:val="fr-FR" w:eastAsia="fr-FR"/>
              </w:rPr>
              <w:t>)</w:t>
            </w:r>
          </w:p>
        </w:tc>
        <w:tc>
          <w:tcPr>
            <w:tcW w:w="115" w:type="pct"/>
            <w:tcBorders>
              <w:top w:val="nil"/>
              <w:left w:val="nil"/>
              <w:bottom w:val="single" w:sz="4" w:space="0" w:color="auto"/>
              <w:right w:val="nil"/>
            </w:tcBorders>
            <w:shd w:val="clear" w:color="auto" w:fill="auto"/>
            <w:noWrap/>
            <w:vAlign w:val="center"/>
            <w:hideMark/>
          </w:tcPr>
          <w:p w14:paraId="77895943" w14:textId="06EEEACC" w:rsidR="00A52F4F" w:rsidRPr="00A52F4F" w:rsidRDefault="000F7CDE" w:rsidP="000F7CDE">
            <w:pPr>
              <w:jc w:val="center"/>
              <w:rPr>
                <w:rFonts w:ascii="Calibri" w:eastAsia="Times New Roman" w:hAnsi="Calibri"/>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single" w:sz="4" w:space="0" w:color="auto"/>
              <w:right w:val="nil"/>
            </w:tcBorders>
            <w:shd w:val="clear" w:color="auto" w:fill="auto"/>
            <w:noWrap/>
            <w:vAlign w:val="center"/>
            <w:hideMark/>
          </w:tcPr>
          <w:p w14:paraId="6B32666F" w14:textId="16B24378"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single" w:sz="4" w:space="0" w:color="auto"/>
              <w:right w:val="nil"/>
            </w:tcBorders>
            <w:shd w:val="clear" w:color="auto" w:fill="auto"/>
            <w:noWrap/>
            <w:vAlign w:val="center"/>
            <w:hideMark/>
          </w:tcPr>
          <w:p w14:paraId="07909D59" w14:textId="63686E5E" w:rsidR="00A52F4F" w:rsidRPr="00A52F4F" w:rsidRDefault="005227D8" w:rsidP="000F7CDE">
            <w:pPr>
              <w:jc w:val="center"/>
              <w:rPr>
                <w:rFonts w:eastAsia="Times New Roman"/>
                <w:color w:val="000000"/>
                <w:sz w:val="18"/>
                <w:szCs w:val="18"/>
                <w:lang w:val="fr-FR" w:eastAsia="fr-FR"/>
              </w:rPr>
            </w:pPr>
            <w:r>
              <w:rPr>
                <w:rFonts w:eastAsia="Times New Roman"/>
                <w:color w:val="000000"/>
                <w:sz w:val="18"/>
                <w:szCs w:val="18"/>
                <w:lang w:val="fr-FR" w:eastAsia="fr-FR"/>
              </w:rPr>
              <w:t>(</w:t>
            </w:r>
            <w:r w:rsidR="00A52F4F" w:rsidRPr="00A52F4F">
              <w:rPr>
                <w:rFonts w:eastAsia="Times New Roman"/>
                <w:color w:val="000000"/>
                <w:sz w:val="18"/>
                <w:szCs w:val="18"/>
                <w:lang w:val="fr-FR" w:eastAsia="fr-FR"/>
              </w:rPr>
              <w:t>n=9</w:t>
            </w:r>
            <w:r>
              <w:rPr>
                <w:rFonts w:eastAsia="Times New Roman"/>
                <w:color w:val="000000"/>
                <w:sz w:val="18"/>
                <w:szCs w:val="18"/>
                <w:lang w:val="fr-FR" w:eastAsia="fr-FR"/>
              </w:rPr>
              <w:t>)</w:t>
            </w:r>
          </w:p>
        </w:tc>
        <w:tc>
          <w:tcPr>
            <w:tcW w:w="425" w:type="pct"/>
            <w:tcBorders>
              <w:top w:val="nil"/>
              <w:left w:val="nil"/>
              <w:bottom w:val="single" w:sz="4" w:space="0" w:color="auto"/>
              <w:right w:val="nil"/>
            </w:tcBorders>
            <w:shd w:val="clear" w:color="auto" w:fill="auto"/>
            <w:noWrap/>
            <w:vAlign w:val="center"/>
            <w:hideMark/>
          </w:tcPr>
          <w:p w14:paraId="51F11DE5" w14:textId="4FD2FE47" w:rsidR="00A52F4F" w:rsidRPr="00A52F4F" w:rsidRDefault="000F7CDE" w:rsidP="000F7CDE">
            <w:pPr>
              <w:jc w:val="center"/>
              <w:rPr>
                <w:rFonts w:ascii="Calibri" w:eastAsia="Times New Roman" w:hAnsi="Calibri"/>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single" w:sz="4" w:space="0" w:color="auto"/>
              <w:right w:val="nil"/>
            </w:tcBorders>
            <w:shd w:val="clear" w:color="auto" w:fill="auto"/>
            <w:noWrap/>
            <w:vAlign w:val="center"/>
            <w:hideMark/>
          </w:tcPr>
          <w:p w14:paraId="2A14CDBC" w14:textId="6C71BFA9" w:rsidR="00A52F4F" w:rsidRPr="00A52F4F" w:rsidRDefault="00A52F4F" w:rsidP="000F7CDE">
            <w:pPr>
              <w:jc w:val="center"/>
              <w:rPr>
                <w:rFonts w:ascii="Calibri" w:eastAsia="Times New Roman" w:hAnsi="Calibri"/>
                <w:color w:val="000000"/>
                <w:sz w:val="18"/>
                <w:szCs w:val="18"/>
                <w:lang w:val="fr-FR" w:eastAsia="fr-FR"/>
              </w:rPr>
            </w:pPr>
          </w:p>
        </w:tc>
        <w:tc>
          <w:tcPr>
            <w:tcW w:w="351" w:type="pct"/>
            <w:tcBorders>
              <w:top w:val="nil"/>
              <w:left w:val="nil"/>
              <w:bottom w:val="single" w:sz="4" w:space="0" w:color="auto"/>
              <w:right w:val="nil"/>
            </w:tcBorders>
            <w:shd w:val="clear" w:color="auto" w:fill="auto"/>
            <w:noWrap/>
            <w:vAlign w:val="center"/>
            <w:hideMark/>
          </w:tcPr>
          <w:p w14:paraId="7B255C37" w14:textId="2E08714C" w:rsidR="00A52F4F" w:rsidRPr="00A52F4F" w:rsidRDefault="005227D8" w:rsidP="000F7CDE">
            <w:pPr>
              <w:jc w:val="center"/>
              <w:rPr>
                <w:rFonts w:eastAsia="Times New Roman"/>
                <w:color w:val="000000"/>
                <w:sz w:val="18"/>
                <w:szCs w:val="18"/>
                <w:lang w:val="fr-FR" w:eastAsia="fr-FR"/>
              </w:rPr>
            </w:pPr>
            <w:r>
              <w:rPr>
                <w:rFonts w:eastAsia="Times New Roman"/>
                <w:color w:val="000000"/>
                <w:sz w:val="18"/>
                <w:szCs w:val="18"/>
                <w:lang w:val="fr-FR" w:eastAsia="fr-FR"/>
              </w:rPr>
              <w:t>(</w:t>
            </w:r>
            <w:r w:rsidR="00A52F4F" w:rsidRPr="00A52F4F">
              <w:rPr>
                <w:rFonts w:eastAsia="Times New Roman"/>
                <w:color w:val="000000"/>
                <w:sz w:val="18"/>
                <w:szCs w:val="18"/>
                <w:lang w:val="fr-FR" w:eastAsia="fr-FR"/>
              </w:rPr>
              <w:t>n=2</w:t>
            </w:r>
            <w:r>
              <w:rPr>
                <w:rFonts w:eastAsia="Times New Roman"/>
                <w:color w:val="000000"/>
                <w:sz w:val="18"/>
                <w:szCs w:val="18"/>
                <w:lang w:val="fr-FR" w:eastAsia="fr-FR"/>
              </w:rPr>
              <w:t>)</w:t>
            </w:r>
          </w:p>
        </w:tc>
        <w:tc>
          <w:tcPr>
            <w:tcW w:w="207" w:type="pct"/>
            <w:tcBorders>
              <w:top w:val="nil"/>
              <w:left w:val="nil"/>
              <w:bottom w:val="single" w:sz="4" w:space="0" w:color="auto"/>
              <w:right w:val="nil"/>
            </w:tcBorders>
            <w:shd w:val="clear" w:color="auto" w:fill="auto"/>
            <w:noWrap/>
            <w:vAlign w:val="center"/>
            <w:hideMark/>
          </w:tcPr>
          <w:p w14:paraId="634FAFA7" w14:textId="62D29660" w:rsidR="00A52F4F" w:rsidRPr="00A52F4F" w:rsidRDefault="000F7CDE" w:rsidP="000F7CDE">
            <w:pPr>
              <w:jc w:val="center"/>
              <w:rPr>
                <w:rFonts w:ascii="Calibri" w:eastAsia="Times New Roman" w:hAnsi="Calibri"/>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single" w:sz="4" w:space="0" w:color="auto"/>
              <w:right w:val="nil"/>
            </w:tcBorders>
            <w:shd w:val="clear" w:color="auto" w:fill="auto"/>
            <w:noWrap/>
            <w:vAlign w:val="center"/>
            <w:hideMark/>
          </w:tcPr>
          <w:p w14:paraId="0312754F" w14:textId="43DFD4F0"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single" w:sz="4" w:space="0" w:color="auto"/>
              <w:right w:val="nil"/>
            </w:tcBorders>
            <w:shd w:val="clear" w:color="auto" w:fill="auto"/>
            <w:noWrap/>
            <w:vAlign w:val="center"/>
            <w:hideMark/>
          </w:tcPr>
          <w:p w14:paraId="762B10CB" w14:textId="37227C53" w:rsidR="00A52F4F" w:rsidRPr="00A52F4F" w:rsidRDefault="005227D8" w:rsidP="000F7CDE">
            <w:pPr>
              <w:jc w:val="center"/>
              <w:rPr>
                <w:rFonts w:eastAsia="Times New Roman"/>
                <w:color w:val="000000"/>
                <w:sz w:val="18"/>
                <w:szCs w:val="18"/>
                <w:lang w:val="fr-FR" w:eastAsia="fr-FR"/>
              </w:rPr>
            </w:pPr>
            <w:r>
              <w:rPr>
                <w:rFonts w:eastAsia="Times New Roman"/>
                <w:color w:val="000000"/>
                <w:sz w:val="18"/>
                <w:szCs w:val="18"/>
                <w:lang w:val="fr-FR" w:eastAsia="fr-FR"/>
              </w:rPr>
              <w:t>(</w:t>
            </w:r>
            <w:r w:rsidR="00A52F4F" w:rsidRPr="00A52F4F">
              <w:rPr>
                <w:rFonts w:eastAsia="Times New Roman"/>
                <w:color w:val="000000"/>
                <w:sz w:val="18"/>
                <w:szCs w:val="18"/>
                <w:lang w:val="fr-FR" w:eastAsia="fr-FR"/>
              </w:rPr>
              <w:t>n=4</w:t>
            </w:r>
            <w:r>
              <w:rPr>
                <w:rFonts w:eastAsia="Times New Roman"/>
                <w:color w:val="000000"/>
                <w:sz w:val="18"/>
                <w:szCs w:val="18"/>
                <w:lang w:val="fr-FR" w:eastAsia="fr-FR"/>
              </w:rPr>
              <w:t>)</w:t>
            </w:r>
          </w:p>
        </w:tc>
        <w:tc>
          <w:tcPr>
            <w:tcW w:w="330" w:type="pct"/>
            <w:tcBorders>
              <w:top w:val="nil"/>
              <w:left w:val="nil"/>
              <w:bottom w:val="single" w:sz="4" w:space="0" w:color="auto"/>
              <w:right w:val="nil"/>
            </w:tcBorders>
            <w:shd w:val="clear" w:color="auto" w:fill="auto"/>
            <w:noWrap/>
            <w:vAlign w:val="center"/>
            <w:hideMark/>
          </w:tcPr>
          <w:p w14:paraId="6D302552" w14:textId="7CF8E2E3" w:rsidR="00A52F4F" w:rsidRPr="00A52F4F" w:rsidRDefault="00A52F4F" w:rsidP="000F7CDE">
            <w:pPr>
              <w:jc w:val="center"/>
              <w:rPr>
                <w:rFonts w:ascii="Calibri" w:eastAsia="Times New Roman" w:hAnsi="Calibri"/>
                <w:color w:val="000000"/>
                <w:sz w:val="18"/>
                <w:szCs w:val="18"/>
                <w:lang w:val="fr-FR" w:eastAsia="fr-FR"/>
              </w:rPr>
            </w:pPr>
          </w:p>
        </w:tc>
        <w:tc>
          <w:tcPr>
            <w:tcW w:w="88" w:type="pct"/>
            <w:tcBorders>
              <w:top w:val="nil"/>
              <w:left w:val="nil"/>
              <w:bottom w:val="single" w:sz="4" w:space="0" w:color="auto"/>
              <w:right w:val="nil"/>
            </w:tcBorders>
            <w:shd w:val="clear" w:color="auto" w:fill="auto"/>
            <w:noWrap/>
            <w:vAlign w:val="center"/>
            <w:hideMark/>
          </w:tcPr>
          <w:p w14:paraId="6B14A902" w14:textId="73250749" w:rsidR="00A52F4F" w:rsidRPr="00A52F4F" w:rsidRDefault="00A52F4F" w:rsidP="000F7CDE">
            <w:pPr>
              <w:jc w:val="center"/>
              <w:rPr>
                <w:rFonts w:ascii="Calibri" w:eastAsia="Times New Roman" w:hAnsi="Calibri"/>
                <w:color w:val="000000"/>
                <w:sz w:val="18"/>
                <w:szCs w:val="18"/>
                <w:lang w:val="fr-FR" w:eastAsia="fr-FR"/>
              </w:rPr>
            </w:pPr>
          </w:p>
        </w:tc>
        <w:tc>
          <w:tcPr>
            <w:tcW w:w="398" w:type="pct"/>
            <w:tcBorders>
              <w:top w:val="nil"/>
              <w:left w:val="nil"/>
              <w:bottom w:val="single" w:sz="4" w:space="0" w:color="auto"/>
              <w:right w:val="nil"/>
            </w:tcBorders>
            <w:shd w:val="clear" w:color="auto" w:fill="auto"/>
            <w:noWrap/>
            <w:vAlign w:val="center"/>
            <w:hideMark/>
          </w:tcPr>
          <w:p w14:paraId="12A49310" w14:textId="795BD17C" w:rsidR="00A52F4F" w:rsidRPr="00A52F4F" w:rsidRDefault="005227D8" w:rsidP="000F7CDE">
            <w:pPr>
              <w:jc w:val="center"/>
              <w:rPr>
                <w:rFonts w:eastAsia="Times New Roman"/>
                <w:color w:val="000000"/>
                <w:sz w:val="18"/>
                <w:szCs w:val="18"/>
                <w:lang w:val="fr-FR" w:eastAsia="fr-FR"/>
              </w:rPr>
            </w:pPr>
            <w:r>
              <w:rPr>
                <w:rFonts w:eastAsia="Times New Roman"/>
                <w:color w:val="000000"/>
                <w:sz w:val="18"/>
                <w:szCs w:val="18"/>
                <w:lang w:val="fr-FR" w:eastAsia="fr-FR"/>
              </w:rPr>
              <w:t>(</w:t>
            </w:r>
            <w:r w:rsidR="00A52F4F" w:rsidRPr="00A52F4F">
              <w:rPr>
                <w:rFonts w:eastAsia="Times New Roman"/>
                <w:color w:val="000000"/>
                <w:sz w:val="18"/>
                <w:szCs w:val="18"/>
                <w:lang w:val="fr-FR" w:eastAsia="fr-FR"/>
              </w:rPr>
              <w:t>n=6</w:t>
            </w:r>
            <w:r>
              <w:rPr>
                <w:rFonts w:eastAsia="Times New Roman"/>
                <w:color w:val="000000"/>
                <w:sz w:val="18"/>
                <w:szCs w:val="18"/>
                <w:lang w:val="fr-FR" w:eastAsia="fr-FR"/>
              </w:rPr>
              <w:t>)</w:t>
            </w:r>
          </w:p>
        </w:tc>
        <w:tc>
          <w:tcPr>
            <w:tcW w:w="327" w:type="pct"/>
            <w:tcBorders>
              <w:top w:val="nil"/>
              <w:left w:val="nil"/>
              <w:bottom w:val="single" w:sz="4" w:space="0" w:color="auto"/>
              <w:right w:val="nil"/>
            </w:tcBorders>
            <w:shd w:val="clear" w:color="auto" w:fill="auto"/>
            <w:noWrap/>
            <w:vAlign w:val="center"/>
            <w:hideMark/>
          </w:tcPr>
          <w:p w14:paraId="4EAA7E7D" w14:textId="6E958037" w:rsidR="00A52F4F" w:rsidRPr="00A52F4F" w:rsidRDefault="000F7CDE"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r>
      <w:tr w:rsidR="00A52F4F" w:rsidRPr="00A52F4F" w14:paraId="237A44E3" w14:textId="77777777" w:rsidTr="000F7CDE">
        <w:trPr>
          <w:trHeight w:val="240"/>
        </w:trPr>
        <w:tc>
          <w:tcPr>
            <w:tcW w:w="353" w:type="pct"/>
            <w:tcBorders>
              <w:top w:val="nil"/>
              <w:left w:val="nil"/>
              <w:bottom w:val="nil"/>
              <w:right w:val="nil"/>
            </w:tcBorders>
            <w:shd w:val="clear" w:color="auto" w:fill="auto"/>
            <w:noWrap/>
            <w:vAlign w:val="center"/>
            <w:hideMark/>
          </w:tcPr>
          <w:p w14:paraId="4D05FB9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Sc</w:t>
            </w:r>
          </w:p>
        </w:tc>
        <w:tc>
          <w:tcPr>
            <w:tcW w:w="435" w:type="pct"/>
            <w:tcBorders>
              <w:top w:val="nil"/>
              <w:left w:val="nil"/>
              <w:bottom w:val="nil"/>
              <w:right w:val="nil"/>
            </w:tcBorders>
            <w:shd w:val="clear" w:color="auto" w:fill="auto"/>
            <w:noWrap/>
            <w:vAlign w:val="center"/>
            <w:hideMark/>
          </w:tcPr>
          <w:p w14:paraId="367EB86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53.1</w:t>
            </w:r>
          </w:p>
        </w:tc>
        <w:tc>
          <w:tcPr>
            <w:tcW w:w="361" w:type="pct"/>
            <w:tcBorders>
              <w:top w:val="nil"/>
              <w:left w:val="nil"/>
              <w:bottom w:val="nil"/>
              <w:right w:val="nil"/>
            </w:tcBorders>
            <w:shd w:val="clear" w:color="auto" w:fill="auto"/>
            <w:noWrap/>
            <w:vAlign w:val="center"/>
            <w:hideMark/>
          </w:tcPr>
          <w:p w14:paraId="3676102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21.7</w:t>
            </w:r>
          </w:p>
        </w:tc>
        <w:tc>
          <w:tcPr>
            <w:tcW w:w="88" w:type="pct"/>
            <w:tcBorders>
              <w:top w:val="nil"/>
              <w:left w:val="nil"/>
              <w:bottom w:val="nil"/>
              <w:right w:val="nil"/>
            </w:tcBorders>
            <w:shd w:val="clear" w:color="auto" w:fill="auto"/>
            <w:noWrap/>
            <w:vAlign w:val="center"/>
            <w:hideMark/>
          </w:tcPr>
          <w:p w14:paraId="6A55965B"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0760F2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17.1</w:t>
            </w:r>
          </w:p>
        </w:tc>
        <w:tc>
          <w:tcPr>
            <w:tcW w:w="115" w:type="pct"/>
            <w:tcBorders>
              <w:top w:val="nil"/>
              <w:left w:val="nil"/>
              <w:bottom w:val="nil"/>
              <w:right w:val="nil"/>
            </w:tcBorders>
            <w:shd w:val="clear" w:color="auto" w:fill="auto"/>
            <w:noWrap/>
            <w:vAlign w:val="center"/>
            <w:hideMark/>
          </w:tcPr>
          <w:p w14:paraId="7C2F384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A9007F1"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428D68E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62.1</w:t>
            </w:r>
          </w:p>
        </w:tc>
        <w:tc>
          <w:tcPr>
            <w:tcW w:w="425" w:type="pct"/>
            <w:tcBorders>
              <w:top w:val="nil"/>
              <w:left w:val="nil"/>
              <w:bottom w:val="nil"/>
              <w:right w:val="nil"/>
            </w:tcBorders>
            <w:shd w:val="clear" w:color="auto" w:fill="auto"/>
            <w:noWrap/>
            <w:vAlign w:val="center"/>
            <w:hideMark/>
          </w:tcPr>
          <w:p w14:paraId="45FEB3F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22.0</w:t>
            </w:r>
          </w:p>
        </w:tc>
        <w:tc>
          <w:tcPr>
            <w:tcW w:w="88" w:type="pct"/>
            <w:tcBorders>
              <w:top w:val="nil"/>
              <w:left w:val="nil"/>
              <w:bottom w:val="nil"/>
              <w:right w:val="nil"/>
            </w:tcBorders>
            <w:shd w:val="clear" w:color="auto" w:fill="auto"/>
            <w:noWrap/>
            <w:vAlign w:val="center"/>
            <w:hideMark/>
          </w:tcPr>
          <w:p w14:paraId="574B1E90"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77E0629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0.9</w:t>
            </w:r>
          </w:p>
        </w:tc>
        <w:tc>
          <w:tcPr>
            <w:tcW w:w="207" w:type="pct"/>
            <w:tcBorders>
              <w:top w:val="nil"/>
              <w:left w:val="nil"/>
              <w:bottom w:val="nil"/>
              <w:right w:val="nil"/>
            </w:tcBorders>
            <w:shd w:val="clear" w:color="auto" w:fill="auto"/>
            <w:noWrap/>
            <w:vAlign w:val="center"/>
            <w:hideMark/>
          </w:tcPr>
          <w:p w14:paraId="7633F4E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88" w:type="pct"/>
            <w:tcBorders>
              <w:top w:val="nil"/>
              <w:left w:val="nil"/>
              <w:bottom w:val="nil"/>
              <w:right w:val="nil"/>
            </w:tcBorders>
            <w:shd w:val="clear" w:color="auto" w:fill="auto"/>
            <w:noWrap/>
            <w:vAlign w:val="center"/>
            <w:hideMark/>
          </w:tcPr>
          <w:p w14:paraId="42463F78"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1BFDAF7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53.0</w:t>
            </w:r>
          </w:p>
        </w:tc>
        <w:tc>
          <w:tcPr>
            <w:tcW w:w="330" w:type="pct"/>
            <w:tcBorders>
              <w:top w:val="nil"/>
              <w:left w:val="nil"/>
              <w:bottom w:val="nil"/>
              <w:right w:val="nil"/>
            </w:tcBorders>
            <w:shd w:val="clear" w:color="auto" w:fill="auto"/>
            <w:noWrap/>
            <w:vAlign w:val="center"/>
            <w:hideMark/>
          </w:tcPr>
          <w:p w14:paraId="6E405B8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9.0</w:t>
            </w:r>
          </w:p>
        </w:tc>
        <w:tc>
          <w:tcPr>
            <w:tcW w:w="88" w:type="pct"/>
            <w:tcBorders>
              <w:top w:val="nil"/>
              <w:left w:val="nil"/>
              <w:bottom w:val="nil"/>
              <w:right w:val="nil"/>
            </w:tcBorders>
            <w:shd w:val="clear" w:color="auto" w:fill="auto"/>
            <w:noWrap/>
            <w:vAlign w:val="center"/>
            <w:hideMark/>
          </w:tcPr>
          <w:p w14:paraId="3603AC26"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45EFF58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29.1</w:t>
            </w:r>
          </w:p>
        </w:tc>
        <w:tc>
          <w:tcPr>
            <w:tcW w:w="327" w:type="pct"/>
            <w:tcBorders>
              <w:top w:val="nil"/>
              <w:left w:val="nil"/>
              <w:bottom w:val="nil"/>
              <w:right w:val="nil"/>
            </w:tcBorders>
            <w:shd w:val="clear" w:color="auto" w:fill="auto"/>
            <w:noWrap/>
            <w:vAlign w:val="center"/>
            <w:hideMark/>
          </w:tcPr>
          <w:p w14:paraId="21AA75E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2.2</w:t>
            </w:r>
          </w:p>
        </w:tc>
      </w:tr>
      <w:tr w:rsidR="00A52F4F" w:rsidRPr="00A52F4F" w14:paraId="00B7A129" w14:textId="77777777" w:rsidTr="000F7CDE">
        <w:trPr>
          <w:trHeight w:val="240"/>
        </w:trPr>
        <w:tc>
          <w:tcPr>
            <w:tcW w:w="353" w:type="pct"/>
            <w:tcBorders>
              <w:top w:val="nil"/>
              <w:left w:val="nil"/>
              <w:bottom w:val="nil"/>
              <w:right w:val="nil"/>
            </w:tcBorders>
            <w:shd w:val="clear" w:color="auto" w:fill="auto"/>
            <w:noWrap/>
            <w:vAlign w:val="center"/>
            <w:hideMark/>
          </w:tcPr>
          <w:p w14:paraId="24B178C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Ti</w:t>
            </w:r>
          </w:p>
        </w:tc>
        <w:tc>
          <w:tcPr>
            <w:tcW w:w="435" w:type="pct"/>
            <w:tcBorders>
              <w:top w:val="nil"/>
              <w:left w:val="nil"/>
              <w:bottom w:val="nil"/>
              <w:right w:val="nil"/>
            </w:tcBorders>
            <w:shd w:val="clear" w:color="auto" w:fill="auto"/>
            <w:noWrap/>
            <w:vAlign w:val="center"/>
            <w:hideMark/>
          </w:tcPr>
          <w:p w14:paraId="3193505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1822.8</w:t>
            </w:r>
          </w:p>
        </w:tc>
        <w:tc>
          <w:tcPr>
            <w:tcW w:w="361" w:type="pct"/>
            <w:tcBorders>
              <w:top w:val="nil"/>
              <w:left w:val="nil"/>
              <w:bottom w:val="nil"/>
              <w:right w:val="nil"/>
            </w:tcBorders>
            <w:shd w:val="clear" w:color="auto" w:fill="auto"/>
            <w:noWrap/>
            <w:vAlign w:val="center"/>
            <w:hideMark/>
          </w:tcPr>
          <w:p w14:paraId="7B7ED83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362.3</w:t>
            </w:r>
          </w:p>
        </w:tc>
        <w:tc>
          <w:tcPr>
            <w:tcW w:w="88" w:type="pct"/>
            <w:tcBorders>
              <w:top w:val="nil"/>
              <w:left w:val="nil"/>
              <w:bottom w:val="nil"/>
              <w:right w:val="nil"/>
            </w:tcBorders>
            <w:shd w:val="clear" w:color="auto" w:fill="auto"/>
            <w:noWrap/>
            <w:vAlign w:val="center"/>
            <w:hideMark/>
          </w:tcPr>
          <w:p w14:paraId="4C390341"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423EAFA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868.0</w:t>
            </w:r>
          </w:p>
        </w:tc>
        <w:tc>
          <w:tcPr>
            <w:tcW w:w="115" w:type="pct"/>
            <w:tcBorders>
              <w:top w:val="nil"/>
              <w:left w:val="nil"/>
              <w:bottom w:val="nil"/>
              <w:right w:val="nil"/>
            </w:tcBorders>
            <w:shd w:val="clear" w:color="auto" w:fill="auto"/>
            <w:noWrap/>
            <w:vAlign w:val="center"/>
            <w:hideMark/>
          </w:tcPr>
          <w:p w14:paraId="79E567B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70C9C833"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0812473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1552.7</w:t>
            </w:r>
          </w:p>
        </w:tc>
        <w:tc>
          <w:tcPr>
            <w:tcW w:w="425" w:type="pct"/>
            <w:tcBorders>
              <w:top w:val="nil"/>
              <w:left w:val="nil"/>
              <w:bottom w:val="nil"/>
              <w:right w:val="nil"/>
            </w:tcBorders>
            <w:shd w:val="clear" w:color="auto" w:fill="auto"/>
            <w:noWrap/>
            <w:vAlign w:val="center"/>
            <w:hideMark/>
          </w:tcPr>
          <w:p w14:paraId="4041BD4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544.8</w:t>
            </w:r>
          </w:p>
        </w:tc>
        <w:tc>
          <w:tcPr>
            <w:tcW w:w="88" w:type="pct"/>
            <w:tcBorders>
              <w:top w:val="nil"/>
              <w:left w:val="nil"/>
              <w:bottom w:val="nil"/>
              <w:right w:val="nil"/>
            </w:tcBorders>
            <w:shd w:val="clear" w:color="auto" w:fill="auto"/>
            <w:noWrap/>
            <w:vAlign w:val="center"/>
            <w:hideMark/>
          </w:tcPr>
          <w:p w14:paraId="35061EA9"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46D30E2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152.3</w:t>
            </w:r>
          </w:p>
        </w:tc>
        <w:tc>
          <w:tcPr>
            <w:tcW w:w="207" w:type="pct"/>
            <w:tcBorders>
              <w:top w:val="nil"/>
              <w:left w:val="nil"/>
              <w:bottom w:val="nil"/>
              <w:right w:val="nil"/>
            </w:tcBorders>
            <w:shd w:val="clear" w:color="auto" w:fill="auto"/>
            <w:noWrap/>
            <w:vAlign w:val="center"/>
            <w:hideMark/>
          </w:tcPr>
          <w:p w14:paraId="29D23F4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3.6</w:t>
            </w:r>
          </w:p>
        </w:tc>
        <w:tc>
          <w:tcPr>
            <w:tcW w:w="88" w:type="pct"/>
            <w:tcBorders>
              <w:top w:val="nil"/>
              <w:left w:val="nil"/>
              <w:bottom w:val="nil"/>
              <w:right w:val="nil"/>
            </w:tcBorders>
            <w:shd w:val="clear" w:color="auto" w:fill="auto"/>
            <w:noWrap/>
            <w:vAlign w:val="center"/>
            <w:hideMark/>
          </w:tcPr>
          <w:p w14:paraId="01D1D26C"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69822DF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1618.2</w:t>
            </w:r>
          </w:p>
        </w:tc>
        <w:tc>
          <w:tcPr>
            <w:tcW w:w="330" w:type="pct"/>
            <w:tcBorders>
              <w:top w:val="nil"/>
              <w:left w:val="nil"/>
              <w:bottom w:val="nil"/>
              <w:right w:val="nil"/>
            </w:tcBorders>
            <w:shd w:val="clear" w:color="auto" w:fill="auto"/>
            <w:noWrap/>
            <w:vAlign w:val="center"/>
            <w:hideMark/>
          </w:tcPr>
          <w:p w14:paraId="422AF19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176.9</w:t>
            </w:r>
          </w:p>
        </w:tc>
        <w:tc>
          <w:tcPr>
            <w:tcW w:w="88" w:type="pct"/>
            <w:tcBorders>
              <w:top w:val="nil"/>
              <w:left w:val="nil"/>
              <w:bottom w:val="nil"/>
              <w:right w:val="nil"/>
            </w:tcBorders>
            <w:shd w:val="clear" w:color="auto" w:fill="auto"/>
            <w:noWrap/>
            <w:vAlign w:val="center"/>
            <w:hideMark/>
          </w:tcPr>
          <w:p w14:paraId="048324EC"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362C16E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752.0</w:t>
            </w:r>
          </w:p>
        </w:tc>
        <w:tc>
          <w:tcPr>
            <w:tcW w:w="327" w:type="pct"/>
            <w:tcBorders>
              <w:top w:val="nil"/>
              <w:left w:val="nil"/>
              <w:bottom w:val="nil"/>
              <w:right w:val="nil"/>
            </w:tcBorders>
            <w:shd w:val="clear" w:color="auto" w:fill="auto"/>
            <w:noWrap/>
            <w:vAlign w:val="center"/>
            <w:hideMark/>
          </w:tcPr>
          <w:p w14:paraId="547752F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44.5</w:t>
            </w:r>
          </w:p>
        </w:tc>
      </w:tr>
      <w:tr w:rsidR="00A52F4F" w:rsidRPr="00A52F4F" w14:paraId="55CF42E0" w14:textId="77777777" w:rsidTr="000F7CDE">
        <w:trPr>
          <w:trHeight w:val="240"/>
        </w:trPr>
        <w:tc>
          <w:tcPr>
            <w:tcW w:w="353" w:type="pct"/>
            <w:tcBorders>
              <w:top w:val="nil"/>
              <w:left w:val="nil"/>
              <w:bottom w:val="nil"/>
              <w:right w:val="nil"/>
            </w:tcBorders>
            <w:shd w:val="clear" w:color="auto" w:fill="auto"/>
            <w:noWrap/>
            <w:vAlign w:val="center"/>
            <w:hideMark/>
          </w:tcPr>
          <w:p w14:paraId="1FAE4EE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V</w:t>
            </w:r>
          </w:p>
        </w:tc>
        <w:tc>
          <w:tcPr>
            <w:tcW w:w="435" w:type="pct"/>
            <w:tcBorders>
              <w:top w:val="nil"/>
              <w:left w:val="nil"/>
              <w:bottom w:val="nil"/>
              <w:right w:val="nil"/>
            </w:tcBorders>
            <w:shd w:val="clear" w:color="auto" w:fill="auto"/>
            <w:noWrap/>
            <w:vAlign w:val="center"/>
            <w:hideMark/>
          </w:tcPr>
          <w:p w14:paraId="13EA679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255.4</w:t>
            </w:r>
          </w:p>
        </w:tc>
        <w:tc>
          <w:tcPr>
            <w:tcW w:w="361" w:type="pct"/>
            <w:tcBorders>
              <w:top w:val="nil"/>
              <w:left w:val="nil"/>
              <w:bottom w:val="nil"/>
              <w:right w:val="nil"/>
            </w:tcBorders>
            <w:shd w:val="clear" w:color="auto" w:fill="auto"/>
            <w:noWrap/>
            <w:vAlign w:val="center"/>
            <w:hideMark/>
          </w:tcPr>
          <w:p w14:paraId="2294CA7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108.4</w:t>
            </w:r>
          </w:p>
        </w:tc>
        <w:tc>
          <w:tcPr>
            <w:tcW w:w="88" w:type="pct"/>
            <w:tcBorders>
              <w:top w:val="nil"/>
              <w:left w:val="nil"/>
              <w:bottom w:val="nil"/>
              <w:right w:val="nil"/>
            </w:tcBorders>
            <w:shd w:val="clear" w:color="auto" w:fill="auto"/>
            <w:noWrap/>
            <w:vAlign w:val="center"/>
            <w:hideMark/>
          </w:tcPr>
          <w:p w14:paraId="41293E48"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6647295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103.3</w:t>
            </w:r>
          </w:p>
        </w:tc>
        <w:tc>
          <w:tcPr>
            <w:tcW w:w="115" w:type="pct"/>
            <w:tcBorders>
              <w:top w:val="nil"/>
              <w:left w:val="nil"/>
              <w:bottom w:val="nil"/>
              <w:right w:val="nil"/>
            </w:tcBorders>
            <w:shd w:val="clear" w:color="auto" w:fill="auto"/>
            <w:noWrap/>
            <w:vAlign w:val="center"/>
            <w:hideMark/>
          </w:tcPr>
          <w:p w14:paraId="53090E7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1D7D1013"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61DE73C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264.3</w:t>
            </w:r>
          </w:p>
        </w:tc>
        <w:tc>
          <w:tcPr>
            <w:tcW w:w="425" w:type="pct"/>
            <w:tcBorders>
              <w:top w:val="nil"/>
              <w:left w:val="nil"/>
              <w:bottom w:val="nil"/>
              <w:right w:val="nil"/>
            </w:tcBorders>
            <w:shd w:val="clear" w:color="auto" w:fill="auto"/>
            <w:noWrap/>
            <w:vAlign w:val="center"/>
            <w:hideMark/>
          </w:tcPr>
          <w:p w14:paraId="2E0B9E9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101.6</w:t>
            </w:r>
          </w:p>
        </w:tc>
        <w:tc>
          <w:tcPr>
            <w:tcW w:w="88" w:type="pct"/>
            <w:tcBorders>
              <w:top w:val="nil"/>
              <w:left w:val="nil"/>
              <w:bottom w:val="nil"/>
              <w:right w:val="nil"/>
            </w:tcBorders>
            <w:shd w:val="clear" w:color="auto" w:fill="auto"/>
            <w:noWrap/>
            <w:vAlign w:val="center"/>
            <w:hideMark/>
          </w:tcPr>
          <w:p w14:paraId="0ECEBFED"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2CA590C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1.1</w:t>
            </w:r>
          </w:p>
        </w:tc>
        <w:tc>
          <w:tcPr>
            <w:tcW w:w="207" w:type="pct"/>
            <w:tcBorders>
              <w:top w:val="nil"/>
              <w:left w:val="nil"/>
              <w:bottom w:val="nil"/>
              <w:right w:val="nil"/>
            </w:tcBorders>
            <w:shd w:val="clear" w:color="auto" w:fill="auto"/>
            <w:noWrap/>
            <w:vAlign w:val="center"/>
            <w:hideMark/>
          </w:tcPr>
          <w:p w14:paraId="66AF3C0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6B9E419D"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31480DE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237.4</w:t>
            </w:r>
          </w:p>
        </w:tc>
        <w:tc>
          <w:tcPr>
            <w:tcW w:w="330" w:type="pct"/>
            <w:tcBorders>
              <w:top w:val="nil"/>
              <w:left w:val="nil"/>
              <w:bottom w:val="nil"/>
              <w:right w:val="nil"/>
            </w:tcBorders>
            <w:shd w:val="clear" w:color="auto" w:fill="auto"/>
            <w:noWrap/>
            <w:vAlign w:val="center"/>
            <w:hideMark/>
          </w:tcPr>
          <w:p w14:paraId="344A707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22.0</w:t>
            </w:r>
          </w:p>
        </w:tc>
        <w:tc>
          <w:tcPr>
            <w:tcW w:w="88" w:type="pct"/>
            <w:tcBorders>
              <w:top w:val="nil"/>
              <w:left w:val="nil"/>
              <w:bottom w:val="nil"/>
              <w:right w:val="nil"/>
            </w:tcBorders>
            <w:shd w:val="clear" w:color="auto" w:fill="auto"/>
            <w:noWrap/>
            <w:vAlign w:val="center"/>
            <w:hideMark/>
          </w:tcPr>
          <w:p w14:paraId="26C8A639"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7A9DA64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136.2</w:t>
            </w:r>
          </w:p>
        </w:tc>
        <w:tc>
          <w:tcPr>
            <w:tcW w:w="327" w:type="pct"/>
            <w:tcBorders>
              <w:top w:val="nil"/>
              <w:left w:val="nil"/>
              <w:bottom w:val="nil"/>
              <w:right w:val="nil"/>
            </w:tcBorders>
            <w:shd w:val="clear" w:color="auto" w:fill="auto"/>
            <w:noWrap/>
            <w:vAlign w:val="center"/>
            <w:hideMark/>
          </w:tcPr>
          <w:p w14:paraId="0D000BB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8.1</w:t>
            </w:r>
          </w:p>
        </w:tc>
      </w:tr>
      <w:tr w:rsidR="00A52F4F" w:rsidRPr="00A52F4F" w14:paraId="36B05C4E" w14:textId="77777777" w:rsidTr="000F7CDE">
        <w:trPr>
          <w:trHeight w:val="240"/>
        </w:trPr>
        <w:tc>
          <w:tcPr>
            <w:tcW w:w="353" w:type="pct"/>
            <w:tcBorders>
              <w:top w:val="nil"/>
              <w:left w:val="nil"/>
              <w:bottom w:val="nil"/>
              <w:right w:val="nil"/>
            </w:tcBorders>
            <w:shd w:val="clear" w:color="auto" w:fill="auto"/>
            <w:noWrap/>
            <w:vAlign w:val="center"/>
            <w:hideMark/>
          </w:tcPr>
          <w:p w14:paraId="0B4576D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Cr</w:t>
            </w:r>
          </w:p>
        </w:tc>
        <w:tc>
          <w:tcPr>
            <w:tcW w:w="435" w:type="pct"/>
            <w:tcBorders>
              <w:top w:val="nil"/>
              <w:left w:val="nil"/>
              <w:bottom w:val="nil"/>
              <w:right w:val="nil"/>
            </w:tcBorders>
            <w:shd w:val="clear" w:color="auto" w:fill="auto"/>
            <w:noWrap/>
            <w:vAlign w:val="center"/>
            <w:hideMark/>
          </w:tcPr>
          <w:p w14:paraId="7A72C93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2824.9</w:t>
            </w:r>
          </w:p>
        </w:tc>
        <w:tc>
          <w:tcPr>
            <w:tcW w:w="361" w:type="pct"/>
            <w:tcBorders>
              <w:top w:val="nil"/>
              <w:left w:val="nil"/>
              <w:bottom w:val="nil"/>
              <w:right w:val="nil"/>
            </w:tcBorders>
            <w:shd w:val="clear" w:color="auto" w:fill="auto"/>
            <w:noWrap/>
            <w:vAlign w:val="center"/>
            <w:hideMark/>
          </w:tcPr>
          <w:p w14:paraId="209D954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722.1</w:t>
            </w:r>
          </w:p>
        </w:tc>
        <w:tc>
          <w:tcPr>
            <w:tcW w:w="88" w:type="pct"/>
            <w:tcBorders>
              <w:top w:val="nil"/>
              <w:left w:val="nil"/>
              <w:bottom w:val="nil"/>
              <w:right w:val="nil"/>
            </w:tcBorders>
            <w:shd w:val="clear" w:color="auto" w:fill="auto"/>
            <w:noWrap/>
            <w:vAlign w:val="center"/>
            <w:hideMark/>
          </w:tcPr>
          <w:p w14:paraId="5874800F"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0861B34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2444.2</w:t>
            </w:r>
          </w:p>
        </w:tc>
        <w:tc>
          <w:tcPr>
            <w:tcW w:w="115" w:type="pct"/>
            <w:tcBorders>
              <w:top w:val="nil"/>
              <w:left w:val="nil"/>
              <w:bottom w:val="nil"/>
              <w:right w:val="nil"/>
            </w:tcBorders>
            <w:shd w:val="clear" w:color="auto" w:fill="auto"/>
            <w:noWrap/>
            <w:vAlign w:val="center"/>
            <w:hideMark/>
          </w:tcPr>
          <w:p w14:paraId="2727F0A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42491209"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0845C06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4115.9</w:t>
            </w:r>
          </w:p>
        </w:tc>
        <w:tc>
          <w:tcPr>
            <w:tcW w:w="425" w:type="pct"/>
            <w:tcBorders>
              <w:top w:val="nil"/>
              <w:left w:val="nil"/>
              <w:bottom w:val="nil"/>
              <w:right w:val="nil"/>
            </w:tcBorders>
            <w:shd w:val="clear" w:color="auto" w:fill="auto"/>
            <w:noWrap/>
            <w:vAlign w:val="center"/>
            <w:hideMark/>
          </w:tcPr>
          <w:p w14:paraId="76F3272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1691.9</w:t>
            </w:r>
          </w:p>
        </w:tc>
        <w:tc>
          <w:tcPr>
            <w:tcW w:w="88" w:type="pct"/>
            <w:tcBorders>
              <w:top w:val="nil"/>
              <w:left w:val="nil"/>
              <w:bottom w:val="nil"/>
              <w:right w:val="nil"/>
            </w:tcBorders>
            <w:shd w:val="clear" w:color="auto" w:fill="auto"/>
            <w:noWrap/>
            <w:vAlign w:val="center"/>
            <w:hideMark/>
          </w:tcPr>
          <w:p w14:paraId="6931E70C"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3A79962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0.7</w:t>
            </w:r>
          </w:p>
        </w:tc>
        <w:tc>
          <w:tcPr>
            <w:tcW w:w="207" w:type="pct"/>
            <w:tcBorders>
              <w:top w:val="nil"/>
              <w:left w:val="nil"/>
              <w:bottom w:val="nil"/>
              <w:right w:val="nil"/>
            </w:tcBorders>
            <w:shd w:val="clear" w:color="auto" w:fill="auto"/>
            <w:noWrap/>
            <w:vAlign w:val="center"/>
            <w:hideMark/>
          </w:tcPr>
          <w:p w14:paraId="6581DAA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0.7</w:t>
            </w:r>
          </w:p>
        </w:tc>
        <w:tc>
          <w:tcPr>
            <w:tcW w:w="88" w:type="pct"/>
            <w:tcBorders>
              <w:top w:val="nil"/>
              <w:left w:val="nil"/>
              <w:bottom w:val="nil"/>
              <w:right w:val="nil"/>
            </w:tcBorders>
            <w:shd w:val="clear" w:color="auto" w:fill="auto"/>
            <w:noWrap/>
            <w:vAlign w:val="center"/>
            <w:hideMark/>
          </w:tcPr>
          <w:p w14:paraId="41AE81B3"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5EB296F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7691.1</w:t>
            </w:r>
          </w:p>
        </w:tc>
        <w:tc>
          <w:tcPr>
            <w:tcW w:w="330" w:type="pct"/>
            <w:tcBorders>
              <w:top w:val="nil"/>
              <w:left w:val="nil"/>
              <w:bottom w:val="nil"/>
              <w:right w:val="nil"/>
            </w:tcBorders>
            <w:shd w:val="clear" w:color="auto" w:fill="auto"/>
            <w:noWrap/>
            <w:vAlign w:val="center"/>
            <w:hideMark/>
          </w:tcPr>
          <w:p w14:paraId="0456E4B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167.5</w:t>
            </w:r>
          </w:p>
        </w:tc>
        <w:tc>
          <w:tcPr>
            <w:tcW w:w="88" w:type="pct"/>
            <w:tcBorders>
              <w:top w:val="nil"/>
              <w:left w:val="nil"/>
              <w:bottom w:val="nil"/>
              <w:right w:val="nil"/>
            </w:tcBorders>
            <w:shd w:val="clear" w:color="auto" w:fill="auto"/>
            <w:noWrap/>
            <w:vAlign w:val="center"/>
            <w:hideMark/>
          </w:tcPr>
          <w:p w14:paraId="1490150C"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7684306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5105.3</w:t>
            </w:r>
          </w:p>
        </w:tc>
        <w:tc>
          <w:tcPr>
            <w:tcW w:w="327" w:type="pct"/>
            <w:tcBorders>
              <w:top w:val="nil"/>
              <w:left w:val="nil"/>
              <w:bottom w:val="nil"/>
              <w:right w:val="nil"/>
            </w:tcBorders>
            <w:shd w:val="clear" w:color="auto" w:fill="auto"/>
            <w:noWrap/>
            <w:vAlign w:val="center"/>
            <w:hideMark/>
          </w:tcPr>
          <w:p w14:paraId="4842688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451.8</w:t>
            </w:r>
          </w:p>
        </w:tc>
      </w:tr>
      <w:tr w:rsidR="00A52F4F" w:rsidRPr="00A52F4F" w14:paraId="337C451B" w14:textId="77777777" w:rsidTr="000F7CDE">
        <w:trPr>
          <w:trHeight w:val="240"/>
        </w:trPr>
        <w:tc>
          <w:tcPr>
            <w:tcW w:w="353" w:type="pct"/>
            <w:tcBorders>
              <w:top w:val="nil"/>
              <w:left w:val="nil"/>
              <w:bottom w:val="nil"/>
              <w:right w:val="nil"/>
            </w:tcBorders>
            <w:shd w:val="clear" w:color="auto" w:fill="auto"/>
            <w:noWrap/>
            <w:vAlign w:val="center"/>
            <w:hideMark/>
          </w:tcPr>
          <w:p w14:paraId="26D1F9B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Mn</w:t>
            </w:r>
          </w:p>
        </w:tc>
        <w:tc>
          <w:tcPr>
            <w:tcW w:w="435" w:type="pct"/>
            <w:tcBorders>
              <w:top w:val="nil"/>
              <w:left w:val="nil"/>
              <w:bottom w:val="nil"/>
              <w:right w:val="nil"/>
            </w:tcBorders>
            <w:shd w:val="clear" w:color="auto" w:fill="auto"/>
            <w:noWrap/>
            <w:vAlign w:val="center"/>
            <w:hideMark/>
          </w:tcPr>
          <w:p w14:paraId="3EEBBFA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1076.8</w:t>
            </w:r>
          </w:p>
        </w:tc>
        <w:tc>
          <w:tcPr>
            <w:tcW w:w="361" w:type="pct"/>
            <w:tcBorders>
              <w:top w:val="nil"/>
              <w:left w:val="nil"/>
              <w:bottom w:val="nil"/>
              <w:right w:val="nil"/>
            </w:tcBorders>
            <w:shd w:val="clear" w:color="auto" w:fill="auto"/>
            <w:noWrap/>
            <w:vAlign w:val="center"/>
            <w:hideMark/>
          </w:tcPr>
          <w:p w14:paraId="7525428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59.8</w:t>
            </w:r>
          </w:p>
        </w:tc>
        <w:tc>
          <w:tcPr>
            <w:tcW w:w="88" w:type="pct"/>
            <w:tcBorders>
              <w:top w:val="nil"/>
              <w:left w:val="nil"/>
              <w:bottom w:val="nil"/>
              <w:right w:val="nil"/>
            </w:tcBorders>
            <w:shd w:val="clear" w:color="auto" w:fill="auto"/>
            <w:noWrap/>
            <w:vAlign w:val="center"/>
            <w:hideMark/>
          </w:tcPr>
          <w:p w14:paraId="31776BAD"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4D6A8BE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1080.3</w:t>
            </w:r>
          </w:p>
        </w:tc>
        <w:tc>
          <w:tcPr>
            <w:tcW w:w="115" w:type="pct"/>
            <w:tcBorders>
              <w:top w:val="nil"/>
              <w:left w:val="nil"/>
              <w:bottom w:val="nil"/>
              <w:right w:val="nil"/>
            </w:tcBorders>
            <w:shd w:val="clear" w:color="auto" w:fill="auto"/>
            <w:noWrap/>
            <w:vAlign w:val="center"/>
            <w:hideMark/>
          </w:tcPr>
          <w:p w14:paraId="0B864F1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A9549AD"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0C38324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773.0</w:t>
            </w:r>
          </w:p>
        </w:tc>
        <w:tc>
          <w:tcPr>
            <w:tcW w:w="425" w:type="pct"/>
            <w:tcBorders>
              <w:top w:val="nil"/>
              <w:left w:val="nil"/>
              <w:bottom w:val="nil"/>
              <w:right w:val="nil"/>
            </w:tcBorders>
            <w:shd w:val="clear" w:color="auto" w:fill="auto"/>
            <w:noWrap/>
            <w:vAlign w:val="center"/>
            <w:hideMark/>
          </w:tcPr>
          <w:p w14:paraId="62EDFC7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190.3</w:t>
            </w:r>
          </w:p>
        </w:tc>
        <w:tc>
          <w:tcPr>
            <w:tcW w:w="88" w:type="pct"/>
            <w:tcBorders>
              <w:top w:val="nil"/>
              <w:left w:val="nil"/>
              <w:bottom w:val="nil"/>
              <w:right w:val="nil"/>
            </w:tcBorders>
            <w:shd w:val="clear" w:color="auto" w:fill="auto"/>
            <w:noWrap/>
            <w:vAlign w:val="center"/>
            <w:hideMark/>
          </w:tcPr>
          <w:p w14:paraId="5EFAB120"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526A014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17.5</w:t>
            </w:r>
          </w:p>
        </w:tc>
        <w:tc>
          <w:tcPr>
            <w:tcW w:w="207" w:type="pct"/>
            <w:tcBorders>
              <w:top w:val="nil"/>
              <w:left w:val="nil"/>
              <w:bottom w:val="nil"/>
              <w:right w:val="nil"/>
            </w:tcBorders>
            <w:shd w:val="clear" w:color="auto" w:fill="auto"/>
            <w:noWrap/>
            <w:vAlign w:val="center"/>
            <w:hideMark/>
          </w:tcPr>
          <w:p w14:paraId="47C0B74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0.8</w:t>
            </w:r>
          </w:p>
        </w:tc>
        <w:tc>
          <w:tcPr>
            <w:tcW w:w="88" w:type="pct"/>
            <w:tcBorders>
              <w:top w:val="nil"/>
              <w:left w:val="nil"/>
              <w:bottom w:val="nil"/>
              <w:right w:val="nil"/>
            </w:tcBorders>
            <w:shd w:val="clear" w:color="auto" w:fill="auto"/>
            <w:noWrap/>
            <w:vAlign w:val="center"/>
            <w:hideMark/>
          </w:tcPr>
          <w:p w14:paraId="4744ADA9"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30C6F81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694.0</w:t>
            </w:r>
          </w:p>
        </w:tc>
        <w:tc>
          <w:tcPr>
            <w:tcW w:w="330" w:type="pct"/>
            <w:tcBorders>
              <w:top w:val="nil"/>
              <w:left w:val="nil"/>
              <w:bottom w:val="nil"/>
              <w:right w:val="nil"/>
            </w:tcBorders>
            <w:shd w:val="clear" w:color="auto" w:fill="auto"/>
            <w:noWrap/>
            <w:vAlign w:val="center"/>
            <w:hideMark/>
          </w:tcPr>
          <w:p w14:paraId="5C27B5E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68.7</w:t>
            </w:r>
          </w:p>
        </w:tc>
        <w:tc>
          <w:tcPr>
            <w:tcW w:w="88" w:type="pct"/>
            <w:tcBorders>
              <w:top w:val="nil"/>
              <w:left w:val="nil"/>
              <w:bottom w:val="nil"/>
              <w:right w:val="nil"/>
            </w:tcBorders>
            <w:shd w:val="clear" w:color="auto" w:fill="auto"/>
            <w:noWrap/>
            <w:vAlign w:val="center"/>
            <w:hideMark/>
          </w:tcPr>
          <w:p w14:paraId="7A7A90A5"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4B0C047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993.5</w:t>
            </w:r>
          </w:p>
        </w:tc>
        <w:tc>
          <w:tcPr>
            <w:tcW w:w="327" w:type="pct"/>
            <w:tcBorders>
              <w:top w:val="nil"/>
              <w:left w:val="nil"/>
              <w:bottom w:val="nil"/>
              <w:right w:val="nil"/>
            </w:tcBorders>
            <w:shd w:val="clear" w:color="auto" w:fill="auto"/>
            <w:noWrap/>
            <w:vAlign w:val="center"/>
            <w:hideMark/>
          </w:tcPr>
          <w:p w14:paraId="2713890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60.5</w:t>
            </w:r>
          </w:p>
        </w:tc>
      </w:tr>
      <w:tr w:rsidR="00A52F4F" w:rsidRPr="00A52F4F" w14:paraId="2BA252AB" w14:textId="77777777" w:rsidTr="000F7CDE">
        <w:trPr>
          <w:trHeight w:val="240"/>
        </w:trPr>
        <w:tc>
          <w:tcPr>
            <w:tcW w:w="353" w:type="pct"/>
            <w:tcBorders>
              <w:top w:val="nil"/>
              <w:left w:val="nil"/>
              <w:bottom w:val="nil"/>
              <w:right w:val="nil"/>
            </w:tcBorders>
            <w:shd w:val="clear" w:color="auto" w:fill="auto"/>
            <w:noWrap/>
            <w:vAlign w:val="center"/>
            <w:hideMark/>
          </w:tcPr>
          <w:p w14:paraId="4173F0C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Co</w:t>
            </w:r>
          </w:p>
        </w:tc>
        <w:tc>
          <w:tcPr>
            <w:tcW w:w="435" w:type="pct"/>
            <w:tcBorders>
              <w:top w:val="nil"/>
              <w:left w:val="nil"/>
              <w:bottom w:val="nil"/>
              <w:right w:val="nil"/>
            </w:tcBorders>
            <w:shd w:val="clear" w:color="auto" w:fill="auto"/>
            <w:noWrap/>
            <w:vAlign w:val="center"/>
            <w:hideMark/>
          </w:tcPr>
          <w:p w14:paraId="51A3DED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25.8</w:t>
            </w:r>
          </w:p>
        </w:tc>
        <w:tc>
          <w:tcPr>
            <w:tcW w:w="361" w:type="pct"/>
            <w:tcBorders>
              <w:top w:val="nil"/>
              <w:left w:val="nil"/>
              <w:bottom w:val="nil"/>
              <w:right w:val="nil"/>
            </w:tcBorders>
            <w:shd w:val="clear" w:color="auto" w:fill="auto"/>
            <w:noWrap/>
            <w:vAlign w:val="center"/>
            <w:hideMark/>
          </w:tcPr>
          <w:p w14:paraId="16A970A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2.4</w:t>
            </w:r>
          </w:p>
        </w:tc>
        <w:tc>
          <w:tcPr>
            <w:tcW w:w="88" w:type="pct"/>
            <w:tcBorders>
              <w:top w:val="nil"/>
              <w:left w:val="nil"/>
              <w:bottom w:val="nil"/>
              <w:right w:val="nil"/>
            </w:tcBorders>
            <w:shd w:val="clear" w:color="auto" w:fill="auto"/>
            <w:noWrap/>
            <w:vAlign w:val="center"/>
            <w:hideMark/>
          </w:tcPr>
          <w:p w14:paraId="7D5331CB"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BAA405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57.1</w:t>
            </w:r>
          </w:p>
        </w:tc>
        <w:tc>
          <w:tcPr>
            <w:tcW w:w="115" w:type="pct"/>
            <w:tcBorders>
              <w:top w:val="nil"/>
              <w:left w:val="nil"/>
              <w:bottom w:val="nil"/>
              <w:right w:val="nil"/>
            </w:tcBorders>
            <w:shd w:val="clear" w:color="auto" w:fill="auto"/>
            <w:noWrap/>
            <w:vAlign w:val="center"/>
            <w:hideMark/>
          </w:tcPr>
          <w:p w14:paraId="4D74274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7C145DA8"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3459E81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23.0</w:t>
            </w:r>
          </w:p>
        </w:tc>
        <w:tc>
          <w:tcPr>
            <w:tcW w:w="425" w:type="pct"/>
            <w:tcBorders>
              <w:top w:val="nil"/>
              <w:left w:val="nil"/>
              <w:bottom w:val="nil"/>
              <w:right w:val="nil"/>
            </w:tcBorders>
            <w:shd w:val="clear" w:color="auto" w:fill="auto"/>
            <w:noWrap/>
            <w:vAlign w:val="center"/>
            <w:hideMark/>
          </w:tcPr>
          <w:p w14:paraId="7828E60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8.6</w:t>
            </w:r>
          </w:p>
        </w:tc>
        <w:tc>
          <w:tcPr>
            <w:tcW w:w="88" w:type="pct"/>
            <w:tcBorders>
              <w:top w:val="nil"/>
              <w:left w:val="nil"/>
              <w:bottom w:val="nil"/>
              <w:right w:val="nil"/>
            </w:tcBorders>
            <w:shd w:val="clear" w:color="auto" w:fill="auto"/>
            <w:noWrap/>
            <w:vAlign w:val="center"/>
            <w:hideMark/>
          </w:tcPr>
          <w:p w14:paraId="540EC063"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54F7886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207" w:type="pct"/>
            <w:tcBorders>
              <w:top w:val="nil"/>
              <w:left w:val="nil"/>
              <w:bottom w:val="nil"/>
              <w:right w:val="nil"/>
            </w:tcBorders>
            <w:shd w:val="clear" w:color="auto" w:fill="auto"/>
            <w:noWrap/>
            <w:vAlign w:val="center"/>
            <w:hideMark/>
          </w:tcPr>
          <w:p w14:paraId="3737D91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749017C0"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56EC1D2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23.8</w:t>
            </w:r>
          </w:p>
        </w:tc>
        <w:tc>
          <w:tcPr>
            <w:tcW w:w="330" w:type="pct"/>
            <w:tcBorders>
              <w:top w:val="nil"/>
              <w:left w:val="nil"/>
              <w:bottom w:val="nil"/>
              <w:right w:val="nil"/>
            </w:tcBorders>
            <w:shd w:val="clear" w:color="auto" w:fill="auto"/>
            <w:noWrap/>
            <w:vAlign w:val="center"/>
            <w:hideMark/>
          </w:tcPr>
          <w:p w14:paraId="3B2668E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3.1</w:t>
            </w:r>
          </w:p>
        </w:tc>
        <w:tc>
          <w:tcPr>
            <w:tcW w:w="88" w:type="pct"/>
            <w:tcBorders>
              <w:top w:val="nil"/>
              <w:left w:val="nil"/>
              <w:bottom w:val="nil"/>
              <w:right w:val="nil"/>
            </w:tcBorders>
            <w:shd w:val="clear" w:color="auto" w:fill="auto"/>
            <w:noWrap/>
            <w:vAlign w:val="center"/>
            <w:hideMark/>
          </w:tcPr>
          <w:p w14:paraId="4B937807"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7370860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50.2</w:t>
            </w:r>
          </w:p>
        </w:tc>
        <w:tc>
          <w:tcPr>
            <w:tcW w:w="327" w:type="pct"/>
            <w:tcBorders>
              <w:top w:val="nil"/>
              <w:left w:val="nil"/>
              <w:bottom w:val="nil"/>
              <w:right w:val="nil"/>
            </w:tcBorders>
            <w:shd w:val="clear" w:color="auto" w:fill="auto"/>
            <w:noWrap/>
            <w:vAlign w:val="center"/>
            <w:hideMark/>
          </w:tcPr>
          <w:p w14:paraId="3ED27A1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1.7</w:t>
            </w:r>
          </w:p>
        </w:tc>
      </w:tr>
      <w:tr w:rsidR="00A52F4F" w:rsidRPr="00A52F4F" w14:paraId="3BFF5A4E" w14:textId="77777777" w:rsidTr="000F7CDE">
        <w:trPr>
          <w:trHeight w:val="240"/>
        </w:trPr>
        <w:tc>
          <w:tcPr>
            <w:tcW w:w="353" w:type="pct"/>
            <w:tcBorders>
              <w:top w:val="nil"/>
              <w:left w:val="nil"/>
              <w:bottom w:val="nil"/>
              <w:right w:val="nil"/>
            </w:tcBorders>
            <w:shd w:val="clear" w:color="auto" w:fill="auto"/>
            <w:noWrap/>
            <w:vAlign w:val="center"/>
            <w:hideMark/>
          </w:tcPr>
          <w:p w14:paraId="0D4A383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Ni</w:t>
            </w:r>
          </w:p>
        </w:tc>
        <w:tc>
          <w:tcPr>
            <w:tcW w:w="435" w:type="pct"/>
            <w:tcBorders>
              <w:top w:val="nil"/>
              <w:left w:val="nil"/>
              <w:bottom w:val="nil"/>
              <w:right w:val="nil"/>
            </w:tcBorders>
            <w:shd w:val="clear" w:color="auto" w:fill="auto"/>
            <w:noWrap/>
            <w:vAlign w:val="center"/>
            <w:hideMark/>
          </w:tcPr>
          <w:p w14:paraId="63BBFEC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313.8</w:t>
            </w:r>
          </w:p>
        </w:tc>
        <w:tc>
          <w:tcPr>
            <w:tcW w:w="361" w:type="pct"/>
            <w:tcBorders>
              <w:top w:val="nil"/>
              <w:left w:val="nil"/>
              <w:bottom w:val="nil"/>
              <w:right w:val="nil"/>
            </w:tcBorders>
            <w:shd w:val="clear" w:color="auto" w:fill="auto"/>
            <w:noWrap/>
            <w:vAlign w:val="center"/>
            <w:hideMark/>
          </w:tcPr>
          <w:p w14:paraId="3E2950D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29.6</w:t>
            </w:r>
          </w:p>
        </w:tc>
        <w:tc>
          <w:tcPr>
            <w:tcW w:w="88" w:type="pct"/>
            <w:tcBorders>
              <w:top w:val="nil"/>
              <w:left w:val="nil"/>
              <w:bottom w:val="nil"/>
              <w:right w:val="nil"/>
            </w:tcBorders>
            <w:shd w:val="clear" w:color="auto" w:fill="auto"/>
            <w:noWrap/>
            <w:vAlign w:val="center"/>
            <w:hideMark/>
          </w:tcPr>
          <w:p w14:paraId="520E0A76"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FB434F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642.9</w:t>
            </w:r>
          </w:p>
        </w:tc>
        <w:tc>
          <w:tcPr>
            <w:tcW w:w="115" w:type="pct"/>
            <w:tcBorders>
              <w:top w:val="nil"/>
              <w:left w:val="nil"/>
              <w:bottom w:val="nil"/>
              <w:right w:val="nil"/>
            </w:tcBorders>
            <w:shd w:val="clear" w:color="auto" w:fill="auto"/>
            <w:noWrap/>
            <w:vAlign w:val="center"/>
            <w:hideMark/>
          </w:tcPr>
          <w:p w14:paraId="3F6101B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078B6116"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091844C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290.4</w:t>
            </w:r>
          </w:p>
        </w:tc>
        <w:tc>
          <w:tcPr>
            <w:tcW w:w="425" w:type="pct"/>
            <w:tcBorders>
              <w:top w:val="nil"/>
              <w:left w:val="nil"/>
              <w:bottom w:val="nil"/>
              <w:right w:val="nil"/>
            </w:tcBorders>
            <w:shd w:val="clear" w:color="auto" w:fill="auto"/>
            <w:noWrap/>
            <w:vAlign w:val="center"/>
            <w:hideMark/>
          </w:tcPr>
          <w:p w14:paraId="0313AAE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161.3</w:t>
            </w:r>
          </w:p>
        </w:tc>
        <w:tc>
          <w:tcPr>
            <w:tcW w:w="88" w:type="pct"/>
            <w:tcBorders>
              <w:top w:val="nil"/>
              <w:left w:val="nil"/>
              <w:bottom w:val="nil"/>
              <w:right w:val="nil"/>
            </w:tcBorders>
            <w:shd w:val="clear" w:color="auto" w:fill="auto"/>
            <w:noWrap/>
            <w:vAlign w:val="center"/>
            <w:hideMark/>
          </w:tcPr>
          <w:p w14:paraId="249088F5"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57E2F07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1.7</w:t>
            </w:r>
          </w:p>
        </w:tc>
        <w:tc>
          <w:tcPr>
            <w:tcW w:w="207" w:type="pct"/>
            <w:tcBorders>
              <w:top w:val="nil"/>
              <w:left w:val="nil"/>
              <w:bottom w:val="nil"/>
              <w:right w:val="nil"/>
            </w:tcBorders>
            <w:shd w:val="clear" w:color="auto" w:fill="auto"/>
            <w:noWrap/>
            <w:vAlign w:val="center"/>
            <w:hideMark/>
          </w:tcPr>
          <w:p w14:paraId="382F6DA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2.4</w:t>
            </w:r>
          </w:p>
        </w:tc>
        <w:tc>
          <w:tcPr>
            <w:tcW w:w="88" w:type="pct"/>
            <w:tcBorders>
              <w:top w:val="nil"/>
              <w:left w:val="nil"/>
              <w:bottom w:val="nil"/>
              <w:right w:val="nil"/>
            </w:tcBorders>
            <w:shd w:val="clear" w:color="auto" w:fill="auto"/>
            <w:noWrap/>
            <w:vAlign w:val="center"/>
            <w:hideMark/>
          </w:tcPr>
          <w:p w14:paraId="0E8D8B03"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671ABD8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386.4</w:t>
            </w:r>
          </w:p>
        </w:tc>
        <w:tc>
          <w:tcPr>
            <w:tcW w:w="330" w:type="pct"/>
            <w:tcBorders>
              <w:top w:val="nil"/>
              <w:left w:val="nil"/>
              <w:bottom w:val="nil"/>
              <w:right w:val="nil"/>
            </w:tcBorders>
            <w:shd w:val="clear" w:color="auto" w:fill="auto"/>
            <w:noWrap/>
            <w:vAlign w:val="center"/>
            <w:hideMark/>
          </w:tcPr>
          <w:p w14:paraId="07E653F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26.5</w:t>
            </w:r>
          </w:p>
        </w:tc>
        <w:tc>
          <w:tcPr>
            <w:tcW w:w="88" w:type="pct"/>
            <w:tcBorders>
              <w:top w:val="nil"/>
              <w:left w:val="nil"/>
              <w:bottom w:val="nil"/>
              <w:right w:val="nil"/>
            </w:tcBorders>
            <w:shd w:val="clear" w:color="auto" w:fill="auto"/>
            <w:noWrap/>
            <w:vAlign w:val="center"/>
            <w:hideMark/>
          </w:tcPr>
          <w:p w14:paraId="2A2FF5BC"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0CF3005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674.7</w:t>
            </w:r>
          </w:p>
        </w:tc>
        <w:tc>
          <w:tcPr>
            <w:tcW w:w="327" w:type="pct"/>
            <w:tcBorders>
              <w:top w:val="nil"/>
              <w:left w:val="nil"/>
              <w:bottom w:val="nil"/>
              <w:right w:val="nil"/>
            </w:tcBorders>
            <w:shd w:val="clear" w:color="auto" w:fill="auto"/>
            <w:noWrap/>
            <w:vAlign w:val="center"/>
            <w:hideMark/>
          </w:tcPr>
          <w:p w14:paraId="6160072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23.3</w:t>
            </w:r>
          </w:p>
        </w:tc>
      </w:tr>
      <w:tr w:rsidR="00A52F4F" w:rsidRPr="00A52F4F" w14:paraId="4FDA9432" w14:textId="77777777" w:rsidTr="000F7CDE">
        <w:trPr>
          <w:trHeight w:val="240"/>
        </w:trPr>
        <w:tc>
          <w:tcPr>
            <w:tcW w:w="353" w:type="pct"/>
            <w:tcBorders>
              <w:top w:val="nil"/>
              <w:left w:val="nil"/>
              <w:bottom w:val="nil"/>
              <w:right w:val="nil"/>
            </w:tcBorders>
            <w:shd w:val="clear" w:color="auto" w:fill="auto"/>
            <w:noWrap/>
            <w:vAlign w:val="center"/>
            <w:hideMark/>
          </w:tcPr>
          <w:p w14:paraId="4E3834D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Zn</w:t>
            </w:r>
          </w:p>
        </w:tc>
        <w:tc>
          <w:tcPr>
            <w:tcW w:w="435" w:type="pct"/>
            <w:tcBorders>
              <w:top w:val="nil"/>
              <w:left w:val="nil"/>
              <w:bottom w:val="nil"/>
              <w:right w:val="nil"/>
            </w:tcBorders>
            <w:shd w:val="clear" w:color="auto" w:fill="auto"/>
            <w:noWrap/>
            <w:vAlign w:val="center"/>
            <w:hideMark/>
          </w:tcPr>
          <w:p w14:paraId="79B99DA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5.2</w:t>
            </w:r>
          </w:p>
        </w:tc>
        <w:tc>
          <w:tcPr>
            <w:tcW w:w="361" w:type="pct"/>
            <w:tcBorders>
              <w:top w:val="nil"/>
              <w:left w:val="nil"/>
              <w:bottom w:val="nil"/>
              <w:right w:val="nil"/>
            </w:tcBorders>
            <w:shd w:val="clear" w:color="auto" w:fill="auto"/>
            <w:noWrap/>
            <w:vAlign w:val="center"/>
            <w:hideMark/>
          </w:tcPr>
          <w:p w14:paraId="60E25AC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0.6</w:t>
            </w:r>
          </w:p>
        </w:tc>
        <w:tc>
          <w:tcPr>
            <w:tcW w:w="88" w:type="pct"/>
            <w:tcBorders>
              <w:top w:val="nil"/>
              <w:left w:val="nil"/>
              <w:bottom w:val="nil"/>
              <w:right w:val="nil"/>
            </w:tcBorders>
            <w:shd w:val="clear" w:color="auto" w:fill="auto"/>
            <w:noWrap/>
            <w:vAlign w:val="center"/>
            <w:hideMark/>
          </w:tcPr>
          <w:p w14:paraId="66C22E6E"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427C287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12.7</w:t>
            </w:r>
          </w:p>
        </w:tc>
        <w:tc>
          <w:tcPr>
            <w:tcW w:w="115" w:type="pct"/>
            <w:tcBorders>
              <w:top w:val="nil"/>
              <w:left w:val="nil"/>
              <w:bottom w:val="nil"/>
              <w:right w:val="nil"/>
            </w:tcBorders>
            <w:shd w:val="clear" w:color="auto" w:fill="auto"/>
            <w:noWrap/>
            <w:vAlign w:val="center"/>
            <w:hideMark/>
          </w:tcPr>
          <w:p w14:paraId="302A779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683B95F4"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50F49C4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14.4</w:t>
            </w:r>
          </w:p>
        </w:tc>
        <w:tc>
          <w:tcPr>
            <w:tcW w:w="425" w:type="pct"/>
            <w:tcBorders>
              <w:top w:val="nil"/>
              <w:left w:val="nil"/>
              <w:bottom w:val="nil"/>
              <w:right w:val="nil"/>
            </w:tcBorders>
            <w:shd w:val="clear" w:color="auto" w:fill="auto"/>
            <w:noWrap/>
            <w:vAlign w:val="center"/>
            <w:hideMark/>
          </w:tcPr>
          <w:p w14:paraId="531BA26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3.5</w:t>
            </w:r>
          </w:p>
        </w:tc>
        <w:tc>
          <w:tcPr>
            <w:tcW w:w="88" w:type="pct"/>
            <w:tcBorders>
              <w:top w:val="nil"/>
              <w:left w:val="nil"/>
              <w:bottom w:val="nil"/>
              <w:right w:val="nil"/>
            </w:tcBorders>
            <w:shd w:val="clear" w:color="auto" w:fill="auto"/>
            <w:noWrap/>
            <w:vAlign w:val="center"/>
            <w:hideMark/>
          </w:tcPr>
          <w:p w14:paraId="663186F4"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15133A6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1.2</w:t>
            </w:r>
          </w:p>
        </w:tc>
        <w:tc>
          <w:tcPr>
            <w:tcW w:w="207" w:type="pct"/>
            <w:tcBorders>
              <w:top w:val="nil"/>
              <w:left w:val="nil"/>
              <w:bottom w:val="nil"/>
              <w:right w:val="nil"/>
            </w:tcBorders>
            <w:shd w:val="clear" w:color="auto" w:fill="auto"/>
            <w:noWrap/>
            <w:vAlign w:val="center"/>
            <w:hideMark/>
          </w:tcPr>
          <w:p w14:paraId="1DB51DC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4843F4EB"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7217B9D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5.1</w:t>
            </w:r>
          </w:p>
        </w:tc>
        <w:tc>
          <w:tcPr>
            <w:tcW w:w="330" w:type="pct"/>
            <w:tcBorders>
              <w:top w:val="nil"/>
              <w:left w:val="nil"/>
              <w:bottom w:val="nil"/>
              <w:right w:val="nil"/>
            </w:tcBorders>
            <w:shd w:val="clear" w:color="auto" w:fill="auto"/>
            <w:noWrap/>
            <w:vAlign w:val="center"/>
            <w:hideMark/>
          </w:tcPr>
          <w:p w14:paraId="1341E24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w:t>
            </w:r>
          </w:p>
        </w:tc>
        <w:tc>
          <w:tcPr>
            <w:tcW w:w="88" w:type="pct"/>
            <w:tcBorders>
              <w:top w:val="nil"/>
              <w:left w:val="nil"/>
              <w:bottom w:val="nil"/>
              <w:right w:val="nil"/>
            </w:tcBorders>
            <w:shd w:val="clear" w:color="auto" w:fill="auto"/>
            <w:noWrap/>
            <w:vAlign w:val="center"/>
            <w:hideMark/>
          </w:tcPr>
          <w:p w14:paraId="6192577E"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4633623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15.4</w:t>
            </w:r>
          </w:p>
        </w:tc>
        <w:tc>
          <w:tcPr>
            <w:tcW w:w="327" w:type="pct"/>
            <w:tcBorders>
              <w:top w:val="nil"/>
              <w:left w:val="nil"/>
              <w:bottom w:val="nil"/>
              <w:right w:val="nil"/>
            </w:tcBorders>
            <w:shd w:val="clear" w:color="auto" w:fill="auto"/>
            <w:noWrap/>
            <w:vAlign w:val="center"/>
            <w:hideMark/>
          </w:tcPr>
          <w:p w14:paraId="3C4C22A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r>
      <w:tr w:rsidR="00A52F4F" w:rsidRPr="00A52F4F" w14:paraId="797EEB20" w14:textId="77777777" w:rsidTr="000F7CDE">
        <w:trPr>
          <w:trHeight w:val="240"/>
        </w:trPr>
        <w:tc>
          <w:tcPr>
            <w:tcW w:w="353" w:type="pct"/>
            <w:tcBorders>
              <w:top w:val="nil"/>
              <w:left w:val="nil"/>
              <w:bottom w:val="nil"/>
              <w:right w:val="nil"/>
            </w:tcBorders>
            <w:shd w:val="clear" w:color="auto" w:fill="auto"/>
            <w:noWrap/>
            <w:vAlign w:val="center"/>
            <w:hideMark/>
          </w:tcPr>
          <w:p w14:paraId="0F74241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Rb</w:t>
            </w:r>
          </w:p>
        </w:tc>
        <w:tc>
          <w:tcPr>
            <w:tcW w:w="435" w:type="pct"/>
            <w:tcBorders>
              <w:top w:val="nil"/>
              <w:left w:val="nil"/>
              <w:bottom w:val="nil"/>
              <w:right w:val="nil"/>
            </w:tcBorders>
            <w:shd w:val="clear" w:color="auto" w:fill="auto"/>
            <w:noWrap/>
            <w:vAlign w:val="center"/>
            <w:hideMark/>
          </w:tcPr>
          <w:p w14:paraId="6B7C954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61" w:type="pct"/>
            <w:tcBorders>
              <w:top w:val="nil"/>
              <w:left w:val="nil"/>
              <w:bottom w:val="nil"/>
              <w:right w:val="nil"/>
            </w:tcBorders>
            <w:shd w:val="clear" w:color="auto" w:fill="auto"/>
            <w:noWrap/>
            <w:vAlign w:val="center"/>
            <w:hideMark/>
          </w:tcPr>
          <w:p w14:paraId="257894A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DEA7619"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46C16AD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052D423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4528FC6"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5E627D9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425" w:type="pct"/>
            <w:tcBorders>
              <w:top w:val="nil"/>
              <w:left w:val="nil"/>
              <w:bottom w:val="nil"/>
              <w:right w:val="nil"/>
            </w:tcBorders>
            <w:shd w:val="clear" w:color="auto" w:fill="auto"/>
            <w:noWrap/>
            <w:vAlign w:val="center"/>
            <w:hideMark/>
          </w:tcPr>
          <w:p w14:paraId="0377E6F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29E4498E"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35E68C6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207" w:type="pct"/>
            <w:tcBorders>
              <w:top w:val="nil"/>
              <w:left w:val="nil"/>
              <w:bottom w:val="nil"/>
              <w:right w:val="nil"/>
            </w:tcBorders>
            <w:shd w:val="clear" w:color="auto" w:fill="auto"/>
            <w:noWrap/>
            <w:vAlign w:val="center"/>
            <w:hideMark/>
          </w:tcPr>
          <w:p w14:paraId="68A6022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3AD2965"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6519ED5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30" w:type="pct"/>
            <w:tcBorders>
              <w:top w:val="nil"/>
              <w:left w:val="nil"/>
              <w:bottom w:val="nil"/>
              <w:right w:val="nil"/>
            </w:tcBorders>
            <w:shd w:val="clear" w:color="auto" w:fill="auto"/>
            <w:noWrap/>
            <w:vAlign w:val="center"/>
            <w:hideMark/>
          </w:tcPr>
          <w:p w14:paraId="2EB41BA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E956361"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5412634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6078130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163509D1" w14:textId="77777777" w:rsidTr="000F7CDE">
        <w:trPr>
          <w:trHeight w:val="240"/>
        </w:trPr>
        <w:tc>
          <w:tcPr>
            <w:tcW w:w="353" w:type="pct"/>
            <w:tcBorders>
              <w:top w:val="nil"/>
              <w:left w:val="nil"/>
              <w:bottom w:val="nil"/>
              <w:right w:val="nil"/>
            </w:tcBorders>
            <w:shd w:val="clear" w:color="auto" w:fill="auto"/>
            <w:noWrap/>
            <w:vAlign w:val="center"/>
            <w:hideMark/>
          </w:tcPr>
          <w:p w14:paraId="150F26E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Sr</w:t>
            </w:r>
          </w:p>
        </w:tc>
        <w:tc>
          <w:tcPr>
            <w:tcW w:w="435" w:type="pct"/>
            <w:tcBorders>
              <w:top w:val="nil"/>
              <w:left w:val="nil"/>
              <w:bottom w:val="nil"/>
              <w:right w:val="nil"/>
            </w:tcBorders>
            <w:shd w:val="clear" w:color="auto" w:fill="auto"/>
            <w:noWrap/>
            <w:vAlign w:val="center"/>
            <w:hideMark/>
          </w:tcPr>
          <w:p w14:paraId="42D9F48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5.5</w:t>
            </w:r>
          </w:p>
        </w:tc>
        <w:tc>
          <w:tcPr>
            <w:tcW w:w="361" w:type="pct"/>
            <w:tcBorders>
              <w:top w:val="nil"/>
              <w:left w:val="nil"/>
              <w:bottom w:val="nil"/>
              <w:right w:val="nil"/>
            </w:tcBorders>
            <w:shd w:val="clear" w:color="auto" w:fill="auto"/>
            <w:noWrap/>
            <w:vAlign w:val="center"/>
            <w:hideMark/>
          </w:tcPr>
          <w:p w14:paraId="3E85F74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3.6</w:t>
            </w:r>
          </w:p>
        </w:tc>
        <w:tc>
          <w:tcPr>
            <w:tcW w:w="88" w:type="pct"/>
            <w:tcBorders>
              <w:top w:val="nil"/>
              <w:left w:val="nil"/>
              <w:bottom w:val="nil"/>
              <w:right w:val="nil"/>
            </w:tcBorders>
            <w:shd w:val="clear" w:color="auto" w:fill="auto"/>
            <w:noWrap/>
            <w:vAlign w:val="center"/>
            <w:hideMark/>
          </w:tcPr>
          <w:p w14:paraId="346BD5F4"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27FBBAD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115" w:type="pct"/>
            <w:tcBorders>
              <w:top w:val="nil"/>
              <w:left w:val="nil"/>
              <w:bottom w:val="nil"/>
              <w:right w:val="nil"/>
            </w:tcBorders>
            <w:shd w:val="clear" w:color="auto" w:fill="auto"/>
            <w:noWrap/>
            <w:vAlign w:val="center"/>
            <w:hideMark/>
          </w:tcPr>
          <w:p w14:paraId="7F3BDC1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6764BB9"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7343C00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25.4</w:t>
            </w:r>
          </w:p>
        </w:tc>
        <w:tc>
          <w:tcPr>
            <w:tcW w:w="425" w:type="pct"/>
            <w:tcBorders>
              <w:top w:val="nil"/>
              <w:left w:val="nil"/>
              <w:bottom w:val="nil"/>
              <w:right w:val="nil"/>
            </w:tcBorders>
            <w:shd w:val="clear" w:color="auto" w:fill="auto"/>
            <w:noWrap/>
            <w:vAlign w:val="center"/>
            <w:hideMark/>
          </w:tcPr>
          <w:p w14:paraId="092C071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50.9</w:t>
            </w:r>
          </w:p>
        </w:tc>
        <w:tc>
          <w:tcPr>
            <w:tcW w:w="88" w:type="pct"/>
            <w:tcBorders>
              <w:top w:val="nil"/>
              <w:left w:val="nil"/>
              <w:bottom w:val="nil"/>
              <w:right w:val="nil"/>
            </w:tcBorders>
            <w:shd w:val="clear" w:color="auto" w:fill="auto"/>
            <w:noWrap/>
            <w:vAlign w:val="center"/>
            <w:hideMark/>
          </w:tcPr>
          <w:p w14:paraId="79180EAF"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2AF844E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232.8</w:t>
            </w:r>
          </w:p>
        </w:tc>
        <w:tc>
          <w:tcPr>
            <w:tcW w:w="207" w:type="pct"/>
            <w:tcBorders>
              <w:top w:val="nil"/>
              <w:left w:val="nil"/>
              <w:bottom w:val="nil"/>
              <w:right w:val="nil"/>
            </w:tcBorders>
            <w:shd w:val="clear" w:color="auto" w:fill="auto"/>
            <w:noWrap/>
            <w:vAlign w:val="center"/>
            <w:hideMark/>
          </w:tcPr>
          <w:p w14:paraId="117889D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7.0</w:t>
            </w:r>
          </w:p>
        </w:tc>
        <w:tc>
          <w:tcPr>
            <w:tcW w:w="88" w:type="pct"/>
            <w:tcBorders>
              <w:top w:val="nil"/>
              <w:left w:val="nil"/>
              <w:bottom w:val="nil"/>
              <w:right w:val="nil"/>
            </w:tcBorders>
            <w:shd w:val="clear" w:color="auto" w:fill="auto"/>
            <w:noWrap/>
            <w:vAlign w:val="center"/>
            <w:hideMark/>
          </w:tcPr>
          <w:p w14:paraId="584DE0B7"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3EB2A8D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6.2</w:t>
            </w:r>
          </w:p>
        </w:tc>
        <w:tc>
          <w:tcPr>
            <w:tcW w:w="330" w:type="pct"/>
            <w:tcBorders>
              <w:top w:val="nil"/>
              <w:left w:val="nil"/>
              <w:bottom w:val="nil"/>
              <w:right w:val="nil"/>
            </w:tcBorders>
            <w:shd w:val="clear" w:color="auto" w:fill="auto"/>
            <w:noWrap/>
            <w:vAlign w:val="center"/>
            <w:hideMark/>
          </w:tcPr>
          <w:p w14:paraId="6705251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2.0</w:t>
            </w:r>
          </w:p>
        </w:tc>
        <w:tc>
          <w:tcPr>
            <w:tcW w:w="88" w:type="pct"/>
            <w:tcBorders>
              <w:top w:val="nil"/>
              <w:left w:val="nil"/>
              <w:bottom w:val="nil"/>
              <w:right w:val="nil"/>
            </w:tcBorders>
            <w:shd w:val="clear" w:color="auto" w:fill="auto"/>
            <w:noWrap/>
            <w:vAlign w:val="center"/>
            <w:hideMark/>
          </w:tcPr>
          <w:p w14:paraId="4B6BBD8A"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7F53321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327" w:type="pct"/>
            <w:tcBorders>
              <w:top w:val="nil"/>
              <w:left w:val="nil"/>
              <w:bottom w:val="nil"/>
              <w:right w:val="nil"/>
            </w:tcBorders>
            <w:shd w:val="clear" w:color="auto" w:fill="auto"/>
            <w:noWrap/>
            <w:vAlign w:val="center"/>
            <w:hideMark/>
          </w:tcPr>
          <w:p w14:paraId="35B5B03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3813BCE7" w14:textId="77777777" w:rsidTr="000F7CDE">
        <w:trPr>
          <w:trHeight w:val="240"/>
        </w:trPr>
        <w:tc>
          <w:tcPr>
            <w:tcW w:w="353" w:type="pct"/>
            <w:tcBorders>
              <w:top w:val="nil"/>
              <w:left w:val="nil"/>
              <w:bottom w:val="nil"/>
              <w:right w:val="nil"/>
            </w:tcBorders>
            <w:shd w:val="clear" w:color="auto" w:fill="auto"/>
            <w:noWrap/>
            <w:vAlign w:val="center"/>
            <w:hideMark/>
          </w:tcPr>
          <w:p w14:paraId="0BC64B6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Y</w:t>
            </w:r>
          </w:p>
        </w:tc>
        <w:tc>
          <w:tcPr>
            <w:tcW w:w="435" w:type="pct"/>
            <w:tcBorders>
              <w:top w:val="nil"/>
              <w:left w:val="nil"/>
              <w:bottom w:val="nil"/>
              <w:right w:val="nil"/>
            </w:tcBorders>
            <w:shd w:val="clear" w:color="auto" w:fill="auto"/>
            <w:noWrap/>
            <w:vAlign w:val="center"/>
            <w:hideMark/>
          </w:tcPr>
          <w:p w14:paraId="6AEB025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10.2</w:t>
            </w:r>
          </w:p>
        </w:tc>
        <w:tc>
          <w:tcPr>
            <w:tcW w:w="361" w:type="pct"/>
            <w:tcBorders>
              <w:top w:val="nil"/>
              <w:left w:val="nil"/>
              <w:bottom w:val="nil"/>
              <w:right w:val="nil"/>
            </w:tcBorders>
            <w:shd w:val="clear" w:color="auto" w:fill="auto"/>
            <w:noWrap/>
            <w:vAlign w:val="center"/>
            <w:hideMark/>
          </w:tcPr>
          <w:p w14:paraId="54C5966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2.2</w:t>
            </w:r>
          </w:p>
        </w:tc>
        <w:tc>
          <w:tcPr>
            <w:tcW w:w="88" w:type="pct"/>
            <w:tcBorders>
              <w:top w:val="nil"/>
              <w:left w:val="nil"/>
              <w:bottom w:val="nil"/>
              <w:right w:val="nil"/>
            </w:tcBorders>
            <w:shd w:val="clear" w:color="auto" w:fill="auto"/>
            <w:noWrap/>
            <w:vAlign w:val="center"/>
            <w:hideMark/>
          </w:tcPr>
          <w:p w14:paraId="3B27BC51"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E70538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w:t>
            </w:r>
          </w:p>
        </w:tc>
        <w:tc>
          <w:tcPr>
            <w:tcW w:w="115" w:type="pct"/>
            <w:tcBorders>
              <w:top w:val="nil"/>
              <w:left w:val="nil"/>
              <w:bottom w:val="nil"/>
              <w:right w:val="nil"/>
            </w:tcBorders>
            <w:shd w:val="clear" w:color="auto" w:fill="auto"/>
            <w:noWrap/>
            <w:vAlign w:val="center"/>
            <w:hideMark/>
          </w:tcPr>
          <w:p w14:paraId="364155A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037FF25D"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5E81959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9.5</w:t>
            </w:r>
          </w:p>
        </w:tc>
        <w:tc>
          <w:tcPr>
            <w:tcW w:w="425" w:type="pct"/>
            <w:tcBorders>
              <w:top w:val="nil"/>
              <w:left w:val="nil"/>
              <w:bottom w:val="nil"/>
              <w:right w:val="nil"/>
            </w:tcBorders>
            <w:shd w:val="clear" w:color="auto" w:fill="auto"/>
            <w:noWrap/>
            <w:vAlign w:val="center"/>
            <w:hideMark/>
          </w:tcPr>
          <w:p w14:paraId="2C5426A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4.0</w:t>
            </w:r>
          </w:p>
        </w:tc>
        <w:tc>
          <w:tcPr>
            <w:tcW w:w="88" w:type="pct"/>
            <w:tcBorders>
              <w:top w:val="nil"/>
              <w:left w:val="nil"/>
              <w:bottom w:val="nil"/>
              <w:right w:val="nil"/>
            </w:tcBorders>
            <w:shd w:val="clear" w:color="auto" w:fill="auto"/>
            <w:noWrap/>
            <w:vAlign w:val="center"/>
            <w:hideMark/>
          </w:tcPr>
          <w:p w14:paraId="335BD758"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65611C6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207" w:type="pct"/>
            <w:tcBorders>
              <w:top w:val="nil"/>
              <w:left w:val="nil"/>
              <w:bottom w:val="nil"/>
              <w:right w:val="nil"/>
            </w:tcBorders>
            <w:shd w:val="clear" w:color="auto" w:fill="auto"/>
            <w:noWrap/>
            <w:vAlign w:val="center"/>
            <w:hideMark/>
          </w:tcPr>
          <w:p w14:paraId="598BF95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69E9F2A5"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4F0E94E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11.9</w:t>
            </w:r>
          </w:p>
        </w:tc>
        <w:tc>
          <w:tcPr>
            <w:tcW w:w="330" w:type="pct"/>
            <w:tcBorders>
              <w:top w:val="nil"/>
              <w:left w:val="nil"/>
              <w:bottom w:val="nil"/>
              <w:right w:val="nil"/>
            </w:tcBorders>
            <w:shd w:val="clear" w:color="auto" w:fill="auto"/>
            <w:noWrap/>
            <w:vAlign w:val="center"/>
            <w:hideMark/>
          </w:tcPr>
          <w:p w14:paraId="7D746B5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1.3</w:t>
            </w:r>
          </w:p>
        </w:tc>
        <w:tc>
          <w:tcPr>
            <w:tcW w:w="88" w:type="pct"/>
            <w:tcBorders>
              <w:top w:val="nil"/>
              <w:left w:val="nil"/>
              <w:bottom w:val="nil"/>
              <w:right w:val="nil"/>
            </w:tcBorders>
            <w:shd w:val="clear" w:color="auto" w:fill="auto"/>
            <w:noWrap/>
            <w:vAlign w:val="center"/>
            <w:hideMark/>
          </w:tcPr>
          <w:p w14:paraId="7647C71E"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3AAEBF5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1.8</w:t>
            </w:r>
          </w:p>
        </w:tc>
        <w:tc>
          <w:tcPr>
            <w:tcW w:w="327" w:type="pct"/>
            <w:tcBorders>
              <w:top w:val="nil"/>
              <w:left w:val="nil"/>
              <w:bottom w:val="nil"/>
              <w:right w:val="nil"/>
            </w:tcBorders>
            <w:shd w:val="clear" w:color="auto" w:fill="auto"/>
            <w:noWrap/>
            <w:vAlign w:val="center"/>
            <w:hideMark/>
          </w:tcPr>
          <w:p w14:paraId="5CEE2BD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r>
      <w:tr w:rsidR="00A52F4F" w:rsidRPr="00A52F4F" w14:paraId="1AA2F2D5" w14:textId="77777777" w:rsidTr="000F7CDE">
        <w:trPr>
          <w:trHeight w:val="240"/>
        </w:trPr>
        <w:tc>
          <w:tcPr>
            <w:tcW w:w="353" w:type="pct"/>
            <w:tcBorders>
              <w:top w:val="nil"/>
              <w:left w:val="nil"/>
              <w:bottom w:val="nil"/>
              <w:right w:val="nil"/>
            </w:tcBorders>
            <w:shd w:val="clear" w:color="auto" w:fill="auto"/>
            <w:noWrap/>
            <w:vAlign w:val="center"/>
            <w:hideMark/>
          </w:tcPr>
          <w:p w14:paraId="6842CAC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Zr</w:t>
            </w:r>
          </w:p>
        </w:tc>
        <w:tc>
          <w:tcPr>
            <w:tcW w:w="435" w:type="pct"/>
            <w:tcBorders>
              <w:top w:val="nil"/>
              <w:left w:val="nil"/>
              <w:bottom w:val="nil"/>
              <w:right w:val="nil"/>
            </w:tcBorders>
            <w:shd w:val="clear" w:color="auto" w:fill="auto"/>
            <w:noWrap/>
            <w:vAlign w:val="center"/>
            <w:hideMark/>
          </w:tcPr>
          <w:p w14:paraId="34DE723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7.7</w:t>
            </w:r>
          </w:p>
        </w:tc>
        <w:tc>
          <w:tcPr>
            <w:tcW w:w="361" w:type="pct"/>
            <w:tcBorders>
              <w:top w:val="nil"/>
              <w:left w:val="nil"/>
              <w:bottom w:val="nil"/>
              <w:right w:val="nil"/>
            </w:tcBorders>
            <w:shd w:val="clear" w:color="auto" w:fill="auto"/>
            <w:noWrap/>
            <w:vAlign w:val="center"/>
            <w:hideMark/>
          </w:tcPr>
          <w:p w14:paraId="54D1770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1.7</w:t>
            </w:r>
          </w:p>
        </w:tc>
        <w:tc>
          <w:tcPr>
            <w:tcW w:w="88" w:type="pct"/>
            <w:tcBorders>
              <w:top w:val="nil"/>
              <w:left w:val="nil"/>
              <w:bottom w:val="nil"/>
              <w:right w:val="nil"/>
            </w:tcBorders>
            <w:shd w:val="clear" w:color="auto" w:fill="auto"/>
            <w:noWrap/>
            <w:vAlign w:val="center"/>
            <w:hideMark/>
          </w:tcPr>
          <w:p w14:paraId="02D15FAE"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355058E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2.7</w:t>
            </w:r>
          </w:p>
        </w:tc>
        <w:tc>
          <w:tcPr>
            <w:tcW w:w="115" w:type="pct"/>
            <w:tcBorders>
              <w:top w:val="nil"/>
              <w:left w:val="nil"/>
              <w:bottom w:val="nil"/>
              <w:right w:val="nil"/>
            </w:tcBorders>
            <w:shd w:val="clear" w:color="auto" w:fill="auto"/>
            <w:noWrap/>
            <w:vAlign w:val="center"/>
            <w:hideMark/>
          </w:tcPr>
          <w:p w14:paraId="666F3C5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546B66DE"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37563D7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8.3</w:t>
            </w:r>
          </w:p>
        </w:tc>
        <w:tc>
          <w:tcPr>
            <w:tcW w:w="425" w:type="pct"/>
            <w:tcBorders>
              <w:top w:val="nil"/>
              <w:left w:val="nil"/>
              <w:bottom w:val="nil"/>
              <w:right w:val="nil"/>
            </w:tcBorders>
            <w:shd w:val="clear" w:color="auto" w:fill="auto"/>
            <w:noWrap/>
            <w:vAlign w:val="center"/>
            <w:hideMark/>
          </w:tcPr>
          <w:p w14:paraId="02820BB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4.0</w:t>
            </w:r>
          </w:p>
        </w:tc>
        <w:tc>
          <w:tcPr>
            <w:tcW w:w="88" w:type="pct"/>
            <w:tcBorders>
              <w:top w:val="nil"/>
              <w:left w:val="nil"/>
              <w:bottom w:val="nil"/>
              <w:right w:val="nil"/>
            </w:tcBorders>
            <w:shd w:val="clear" w:color="auto" w:fill="auto"/>
            <w:noWrap/>
            <w:vAlign w:val="center"/>
            <w:hideMark/>
          </w:tcPr>
          <w:p w14:paraId="5208A933"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314FE01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207" w:type="pct"/>
            <w:tcBorders>
              <w:top w:val="nil"/>
              <w:left w:val="nil"/>
              <w:bottom w:val="nil"/>
              <w:right w:val="nil"/>
            </w:tcBorders>
            <w:shd w:val="clear" w:color="auto" w:fill="auto"/>
            <w:noWrap/>
            <w:vAlign w:val="center"/>
            <w:hideMark/>
          </w:tcPr>
          <w:p w14:paraId="6053FB8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10E4BCCA"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322B4FF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8.7</w:t>
            </w:r>
          </w:p>
        </w:tc>
        <w:tc>
          <w:tcPr>
            <w:tcW w:w="330" w:type="pct"/>
            <w:tcBorders>
              <w:top w:val="nil"/>
              <w:left w:val="nil"/>
              <w:bottom w:val="nil"/>
              <w:right w:val="nil"/>
            </w:tcBorders>
            <w:shd w:val="clear" w:color="auto" w:fill="auto"/>
            <w:noWrap/>
            <w:vAlign w:val="center"/>
            <w:hideMark/>
          </w:tcPr>
          <w:p w14:paraId="42A6EA7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w:t>
            </w:r>
          </w:p>
        </w:tc>
        <w:tc>
          <w:tcPr>
            <w:tcW w:w="88" w:type="pct"/>
            <w:tcBorders>
              <w:top w:val="nil"/>
              <w:left w:val="nil"/>
              <w:bottom w:val="nil"/>
              <w:right w:val="nil"/>
            </w:tcBorders>
            <w:shd w:val="clear" w:color="auto" w:fill="auto"/>
            <w:noWrap/>
            <w:vAlign w:val="center"/>
            <w:hideMark/>
          </w:tcPr>
          <w:p w14:paraId="187D416E"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1843D1E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w:t>
            </w:r>
          </w:p>
        </w:tc>
        <w:tc>
          <w:tcPr>
            <w:tcW w:w="327" w:type="pct"/>
            <w:tcBorders>
              <w:top w:val="nil"/>
              <w:left w:val="nil"/>
              <w:bottom w:val="nil"/>
              <w:right w:val="nil"/>
            </w:tcBorders>
            <w:shd w:val="clear" w:color="auto" w:fill="auto"/>
            <w:noWrap/>
            <w:vAlign w:val="center"/>
            <w:hideMark/>
          </w:tcPr>
          <w:p w14:paraId="7CD88CE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r>
      <w:tr w:rsidR="00A52F4F" w:rsidRPr="00A52F4F" w14:paraId="1B6ECE5D" w14:textId="77777777" w:rsidTr="000F7CDE">
        <w:trPr>
          <w:trHeight w:val="240"/>
        </w:trPr>
        <w:tc>
          <w:tcPr>
            <w:tcW w:w="353" w:type="pct"/>
            <w:tcBorders>
              <w:top w:val="nil"/>
              <w:left w:val="nil"/>
              <w:bottom w:val="nil"/>
              <w:right w:val="nil"/>
            </w:tcBorders>
            <w:shd w:val="clear" w:color="auto" w:fill="auto"/>
            <w:noWrap/>
            <w:vAlign w:val="center"/>
            <w:hideMark/>
          </w:tcPr>
          <w:p w14:paraId="784A98B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Nb</w:t>
            </w:r>
          </w:p>
        </w:tc>
        <w:tc>
          <w:tcPr>
            <w:tcW w:w="435" w:type="pct"/>
            <w:tcBorders>
              <w:top w:val="nil"/>
              <w:left w:val="nil"/>
              <w:bottom w:val="nil"/>
              <w:right w:val="nil"/>
            </w:tcBorders>
            <w:shd w:val="clear" w:color="auto" w:fill="auto"/>
            <w:noWrap/>
            <w:vAlign w:val="center"/>
            <w:hideMark/>
          </w:tcPr>
          <w:p w14:paraId="271F739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61" w:type="pct"/>
            <w:tcBorders>
              <w:top w:val="nil"/>
              <w:left w:val="nil"/>
              <w:bottom w:val="nil"/>
              <w:right w:val="nil"/>
            </w:tcBorders>
            <w:shd w:val="clear" w:color="auto" w:fill="auto"/>
            <w:noWrap/>
            <w:vAlign w:val="center"/>
            <w:hideMark/>
          </w:tcPr>
          <w:p w14:paraId="7CA18D4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5CB552C0"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3334831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0094EB9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6C1D9241"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4580C87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425" w:type="pct"/>
            <w:tcBorders>
              <w:top w:val="nil"/>
              <w:left w:val="nil"/>
              <w:bottom w:val="nil"/>
              <w:right w:val="nil"/>
            </w:tcBorders>
            <w:shd w:val="clear" w:color="auto" w:fill="auto"/>
            <w:noWrap/>
            <w:vAlign w:val="center"/>
            <w:hideMark/>
          </w:tcPr>
          <w:p w14:paraId="789858F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79A2213"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3F19EFA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610C58D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31BA567A"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54945CA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30" w:type="pct"/>
            <w:tcBorders>
              <w:top w:val="nil"/>
              <w:left w:val="nil"/>
              <w:bottom w:val="nil"/>
              <w:right w:val="nil"/>
            </w:tcBorders>
            <w:shd w:val="clear" w:color="auto" w:fill="auto"/>
            <w:noWrap/>
            <w:vAlign w:val="center"/>
            <w:hideMark/>
          </w:tcPr>
          <w:p w14:paraId="5AB2BCA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5FBE135"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7AFB6AD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1A3FC4D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78719D0B" w14:textId="77777777" w:rsidTr="000F7CDE">
        <w:trPr>
          <w:trHeight w:val="240"/>
        </w:trPr>
        <w:tc>
          <w:tcPr>
            <w:tcW w:w="353" w:type="pct"/>
            <w:tcBorders>
              <w:top w:val="nil"/>
              <w:left w:val="nil"/>
              <w:bottom w:val="nil"/>
              <w:right w:val="nil"/>
            </w:tcBorders>
            <w:shd w:val="clear" w:color="auto" w:fill="auto"/>
            <w:noWrap/>
            <w:vAlign w:val="center"/>
            <w:hideMark/>
          </w:tcPr>
          <w:p w14:paraId="04EF74F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Ba</w:t>
            </w:r>
          </w:p>
        </w:tc>
        <w:tc>
          <w:tcPr>
            <w:tcW w:w="435" w:type="pct"/>
            <w:tcBorders>
              <w:top w:val="nil"/>
              <w:left w:val="nil"/>
              <w:bottom w:val="nil"/>
              <w:right w:val="nil"/>
            </w:tcBorders>
            <w:shd w:val="clear" w:color="auto" w:fill="auto"/>
            <w:noWrap/>
            <w:vAlign w:val="center"/>
            <w:hideMark/>
          </w:tcPr>
          <w:p w14:paraId="16DCBCA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361" w:type="pct"/>
            <w:tcBorders>
              <w:top w:val="nil"/>
              <w:left w:val="nil"/>
              <w:bottom w:val="nil"/>
              <w:right w:val="nil"/>
            </w:tcBorders>
            <w:shd w:val="clear" w:color="auto" w:fill="auto"/>
            <w:noWrap/>
            <w:vAlign w:val="center"/>
            <w:hideMark/>
          </w:tcPr>
          <w:p w14:paraId="2D3DC62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35E7B98F"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15C6724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791BB52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701C0C9"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594D9F3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425" w:type="pct"/>
            <w:tcBorders>
              <w:top w:val="nil"/>
              <w:left w:val="nil"/>
              <w:bottom w:val="nil"/>
              <w:right w:val="nil"/>
            </w:tcBorders>
            <w:shd w:val="clear" w:color="auto" w:fill="auto"/>
            <w:noWrap/>
            <w:vAlign w:val="center"/>
            <w:hideMark/>
          </w:tcPr>
          <w:p w14:paraId="11E28DD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0.7</w:t>
            </w:r>
          </w:p>
        </w:tc>
        <w:tc>
          <w:tcPr>
            <w:tcW w:w="88" w:type="pct"/>
            <w:tcBorders>
              <w:top w:val="nil"/>
              <w:left w:val="nil"/>
              <w:bottom w:val="nil"/>
              <w:right w:val="nil"/>
            </w:tcBorders>
            <w:shd w:val="clear" w:color="auto" w:fill="auto"/>
            <w:noWrap/>
            <w:vAlign w:val="center"/>
            <w:hideMark/>
          </w:tcPr>
          <w:p w14:paraId="3B67A701"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127E928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2.6</w:t>
            </w:r>
          </w:p>
        </w:tc>
        <w:tc>
          <w:tcPr>
            <w:tcW w:w="207" w:type="pct"/>
            <w:tcBorders>
              <w:top w:val="nil"/>
              <w:left w:val="nil"/>
              <w:bottom w:val="nil"/>
              <w:right w:val="nil"/>
            </w:tcBorders>
            <w:shd w:val="clear" w:color="auto" w:fill="auto"/>
            <w:noWrap/>
            <w:vAlign w:val="center"/>
            <w:hideMark/>
          </w:tcPr>
          <w:p w14:paraId="1CC9061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88" w:type="pct"/>
            <w:tcBorders>
              <w:top w:val="nil"/>
              <w:left w:val="nil"/>
              <w:bottom w:val="nil"/>
              <w:right w:val="nil"/>
            </w:tcBorders>
            <w:shd w:val="clear" w:color="auto" w:fill="auto"/>
            <w:noWrap/>
            <w:vAlign w:val="center"/>
            <w:hideMark/>
          </w:tcPr>
          <w:p w14:paraId="66FC46AC"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773020E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30" w:type="pct"/>
            <w:tcBorders>
              <w:top w:val="nil"/>
              <w:left w:val="nil"/>
              <w:bottom w:val="nil"/>
              <w:right w:val="nil"/>
            </w:tcBorders>
            <w:shd w:val="clear" w:color="auto" w:fill="auto"/>
            <w:noWrap/>
            <w:vAlign w:val="center"/>
            <w:hideMark/>
          </w:tcPr>
          <w:p w14:paraId="0C6B37C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846A814"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19AACD4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4890DCC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6BF80487" w14:textId="77777777" w:rsidTr="000F7CDE">
        <w:trPr>
          <w:trHeight w:val="240"/>
        </w:trPr>
        <w:tc>
          <w:tcPr>
            <w:tcW w:w="353" w:type="pct"/>
            <w:tcBorders>
              <w:top w:val="nil"/>
              <w:left w:val="nil"/>
              <w:bottom w:val="nil"/>
              <w:right w:val="nil"/>
            </w:tcBorders>
            <w:shd w:val="clear" w:color="auto" w:fill="auto"/>
            <w:noWrap/>
            <w:vAlign w:val="center"/>
            <w:hideMark/>
          </w:tcPr>
          <w:p w14:paraId="39A2B36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La</w:t>
            </w:r>
          </w:p>
        </w:tc>
        <w:tc>
          <w:tcPr>
            <w:tcW w:w="435" w:type="pct"/>
            <w:tcBorders>
              <w:top w:val="nil"/>
              <w:left w:val="nil"/>
              <w:bottom w:val="nil"/>
              <w:right w:val="nil"/>
            </w:tcBorders>
            <w:shd w:val="clear" w:color="auto" w:fill="auto"/>
            <w:noWrap/>
            <w:vAlign w:val="center"/>
            <w:hideMark/>
          </w:tcPr>
          <w:p w14:paraId="57E83AE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361" w:type="pct"/>
            <w:tcBorders>
              <w:top w:val="nil"/>
              <w:left w:val="nil"/>
              <w:bottom w:val="nil"/>
              <w:right w:val="nil"/>
            </w:tcBorders>
            <w:shd w:val="clear" w:color="auto" w:fill="auto"/>
            <w:noWrap/>
            <w:vAlign w:val="center"/>
            <w:hideMark/>
          </w:tcPr>
          <w:p w14:paraId="032876A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25CAA20"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7F7761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6B79AFA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655C549"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137E4CF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425" w:type="pct"/>
            <w:tcBorders>
              <w:top w:val="nil"/>
              <w:left w:val="nil"/>
              <w:bottom w:val="nil"/>
              <w:right w:val="nil"/>
            </w:tcBorders>
            <w:shd w:val="clear" w:color="auto" w:fill="auto"/>
            <w:noWrap/>
            <w:vAlign w:val="center"/>
            <w:hideMark/>
          </w:tcPr>
          <w:p w14:paraId="6F5BC2E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2E51C91A"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129CBD8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207" w:type="pct"/>
            <w:tcBorders>
              <w:top w:val="nil"/>
              <w:left w:val="nil"/>
              <w:bottom w:val="nil"/>
              <w:right w:val="nil"/>
            </w:tcBorders>
            <w:shd w:val="clear" w:color="auto" w:fill="auto"/>
            <w:noWrap/>
            <w:vAlign w:val="center"/>
            <w:hideMark/>
          </w:tcPr>
          <w:p w14:paraId="222041D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A8A5508"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37ECE6C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30" w:type="pct"/>
            <w:tcBorders>
              <w:top w:val="nil"/>
              <w:left w:val="nil"/>
              <w:bottom w:val="nil"/>
              <w:right w:val="nil"/>
            </w:tcBorders>
            <w:shd w:val="clear" w:color="auto" w:fill="auto"/>
            <w:noWrap/>
            <w:vAlign w:val="center"/>
            <w:hideMark/>
          </w:tcPr>
          <w:p w14:paraId="165E361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374DC302"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3D3EF57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335C035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2300F62A" w14:textId="77777777" w:rsidTr="000F7CDE">
        <w:trPr>
          <w:trHeight w:val="240"/>
        </w:trPr>
        <w:tc>
          <w:tcPr>
            <w:tcW w:w="353" w:type="pct"/>
            <w:tcBorders>
              <w:top w:val="nil"/>
              <w:left w:val="nil"/>
              <w:bottom w:val="nil"/>
              <w:right w:val="nil"/>
            </w:tcBorders>
            <w:shd w:val="clear" w:color="auto" w:fill="auto"/>
            <w:noWrap/>
            <w:vAlign w:val="center"/>
            <w:hideMark/>
          </w:tcPr>
          <w:p w14:paraId="24D2A18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Ce</w:t>
            </w:r>
          </w:p>
        </w:tc>
        <w:tc>
          <w:tcPr>
            <w:tcW w:w="435" w:type="pct"/>
            <w:tcBorders>
              <w:top w:val="nil"/>
              <w:left w:val="nil"/>
              <w:bottom w:val="nil"/>
              <w:right w:val="nil"/>
            </w:tcBorders>
            <w:shd w:val="clear" w:color="auto" w:fill="auto"/>
            <w:noWrap/>
            <w:vAlign w:val="center"/>
            <w:hideMark/>
          </w:tcPr>
          <w:p w14:paraId="0B65AED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0.8</w:t>
            </w:r>
          </w:p>
        </w:tc>
        <w:tc>
          <w:tcPr>
            <w:tcW w:w="361" w:type="pct"/>
            <w:tcBorders>
              <w:top w:val="nil"/>
              <w:left w:val="nil"/>
              <w:bottom w:val="nil"/>
              <w:right w:val="nil"/>
            </w:tcBorders>
            <w:shd w:val="clear" w:color="auto" w:fill="auto"/>
            <w:noWrap/>
            <w:vAlign w:val="center"/>
            <w:hideMark/>
          </w:tcPr>
          <w:p w14:paraId="56F1EC7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1A0A4497"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16F60BC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782EB09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239DF95"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714336A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0.9</w:t>
            </w:r>
          </w:p>
        </w:tc>
        <w:tc>
          <w:tcPr>
            <w:tcW w:w="425" w:type="pct"/>
            <w:tcBorders>
              <w:top w:val="nil"/>
              <w:left w:val="nil"/>
              <w:bottom w:val="nil"/>
              <w:right w:val="nil"/>
            </w:tcBorders>
            <w:shd w:val="clear" w:color="auto" w:fill="auto"/>
            <w:noWrap/>
            <w:vAlign w:val="center"/>
            <w:hideMark/>
          </w:tcPr>
          <w:p w14:paraId="3A94E1F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7CAC876E"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01D47F9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0.5</w:t>
            </w:r>
          </w:p>
        </w:tc>
        <w:tc>
          <w:tcPr>
            <w:tcW w:w="207" w:type="pct"/>
            <w:tcBorders>
              <w:top w:val="nil"/>
              <w:left w:val="nil"/>
              <w:bottom w:val="nil"/>
              <w:right w:val="nil"/>
            </w:tcBorders>
            <w:shd w:val="clear" w:color="auto" w:fill="auto"/>
            <w:noWrap/>
            <w:vAlign w:val="center"/>
            <w:hideMark/>
          </w:tcPr>
          <w:p w14:paraId="502FD52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5610A7A3"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57FBF5B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0.8</w:t>
            </w:r>
          </w:p>
        </w:tc>
        <w:tc>
          <w:tcPr>
            <w:tcW w:w="330" w:type="pct"/>
            <w:tcBorders>
              <w:top w:val="nil"/>
              <w:left w:val="nil"/>
              <w:bottom w:val="nil"/>
              <w:right w:val="nil"/>
            </w:tcBorders>
            <w:shd w:val="clear" w:color="auto" w:fill="auto"/>
            <w:noWrap/>
            <w:vAlign w:val="center"/>
            <w:hideMark/>
          </w:tcPr>
          <w:p w14:paraId="780EAE6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66463482"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2E593FF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30F786F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77D0516B" w14:textId="77777777" w:rsidTr="000F7CDE">
        <w:trPr>
          <w:trHeight w:val="240"/>
        </w:trPr>
        <w:tc>
          <w:tcPr>
            <w:tcW w:w="353" w:type="pct"/>
            <w:tcBorders>
              <w:top w:val="nil"/>
              <w:left w:val="nil"/>
              <w:bottom w:val="nil"/>
              <w:right w:val="nil"/>
            </w:tcBorders>
            <w:shd w:val="clear" w:color="auto" w:fill="auto"/>
            <w:noWrap/>
            <w:vAlign w:val="center"/>
            <w:hideMark/>
          </w:tcPr>
          <w:p w14:paraId="76F0739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Pr</w:t>
            </w:r>
          </w:p>
        </w:tc>
        <w:tc>
          <w:tcPr>
            <w:tcW w:w="435" w:type="pct"/>
            <w:tcBorders>
              <w:top w:val="nil"/>
              <w:left w:val="nil"/>
              <w:bottom w:val="nil"/>
              <w:right w:val="nil"/>
            </w:tcBorders>
            <w:shd w:val="clear" w:color="auto" w:fill="auto"/>
            <w:noWrap/>
            <w:vAlign w:val="center"/>
            <w:hideMark/>
          </w:tcPr>
          <w:p w14:paraId="2CEB263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61" w:type="pct"/>
            <w:tcBorders>
              <w:top w:val="nil"/>
              <w:left w:val="nil"/>
              <w:bottom w:val="nil"/>
              <w:right w:val="nil"/>
            </w:tcBorders>
            <w:shd w:val="clear" w:color="auto" w:fill="auto"/>
            <w:noWrap/>
            <w:vAlign w:val="center"/>
            <w:hideMark/>
          </w:tcPr>
          <w:p w14:paraId="54268A4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6593FF17"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9ADF6C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21E075C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3B130C2A"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64C67BE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425" w:type="pct"/>
            <w:tcBorders>
              <w:top w:val="nil"/>
              <w:left w:val="nil"/>
              <w:bottom w:val="nil"/>
              <w:right w:val="nil"/>
            </w:tcBorders>
            <w:shd w:val="clear" w:color="auto" w:fill="auto"/>
            <w:noWrap/>
            <w:vAlign w:val="center"/>
            <w:hideMark/>
          </w:tcPr>
          <w:p w14:paraId="2D8D16A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18ABD40D"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12F2AB1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207" w:type="pct"/>
            <w:tcBorders>
              <w:top w:val="nil"/>
              <w:left w:val="nil"/>
              <w:bottom w:val="nil"/>
              <w:right w:val="nil"/>
            </w:tcBorders>
            <w:shd w:val="clear" w:color="auto" w:fill="auto"/>
            <w:noWrap/>
            <w:vAlign w:val="center"/>
            <w:hideMark/>
          </w:tcPr>
          <w:p w14:paraId="029AB6A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45DCC9C"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1D7F290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30" w:type="pct"/>
            <w:tcBorders>
              <w:top w:val="nil"/>
              <w:left w:val="nil"/>
              <w:bottom w:val="nil"/>
              <w:right w:val="nil"/>
            </w:tcBorders>
            <w:shd w:val="clear" w:color="auto" w:fill="auto"/>
            <w:noWrap/>
            <w:vAlign w:val="center"/>
            <w:hideMark/>
          </w:tcPr>
          <w:p w14:paraId="3255F6C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26E8396C"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35EFA44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457D6D2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1835F14A" w14:textId="77777777" w:rsidTr="000F7CDE">
        <w:trPr>
          <w:trHeight w:val="240"/>
        </w:trPr>
        <w:tc>
          <w:tcPr>
            <w:tcW w:w="353" w:type="pct"/>
            <w:tcBorders>
              <w:top w:val="nil"/>
              <w:left w:val="nil"/>
              <w:bottom w:val="nil"/>
              <w:right w:val="nil"/>
            </w:tcBorders>
            <w:shd w:val="clear" w:color="auto" w:fill="auto"/>
            <w:noWrap/>
            <w:vAlign w:val="center"/>
            <w:hideMark/>
          </w:tcPr>
          <w:p w14:paraId="0DD06C3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Nd</w:t>
            </w:r>
          </w:p>
        </w:tc>
        <w:tc>
          <w:tcPr>
            <w:tcW w:w="435" w:type="pct"/>
            <w:tcBorders>
              <w:top w:val="nil"/>
              <w:left w:val="nil"/>
              <w:bottom w:val="nil"/>
              <w:right w:val="nil"/>
            </w:tcBorders>
            <w:shd w:val="clear" w:color="auto" w:fill="auto"/>
            <w:noWrap/>
            <w:vAlign w:val="center"/>
            <w:hideMark/>
          </w:tcPr>
          <w:p w14:paraId="03F9A6C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1.7</w:t>
            </w:r>
          </w:p>
        </w:tc>
        <w:tc>
          <w:tcPr>
            <w:tcW w:w="361" w:type="pct"/>
            <w:tcBorders>
              <w:top w:val="nil"/>
              <w:left w:val="nil"/>
              <w:bottom w:val="nil"/>
              <w:right w:val="nil"/>
            </w:tcBorders>
            <w:shd w:val="clear" w:color="auto" w:fill="auto"/>
            <w:noWrap/>
            <w:vAlign w:val="center"/>
            <w:hideMark/>
          </w:tcPr>
          <w:p w14:paraId="1B7F06F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88" w:type="pct"/>
            <w:tcBorders>
              <w:top w:val="nil"/>
              <w:left w:val="nil"/>
              <w:bottom w:val="nil"/>
              <w:right w:val="nil"/>
            </w:tcBorders>
            <w:shd w:val="clear" w:color="auto" w:fill="auto"/>
            <w:noWrap/>
            <w:vAlign w:val="center"/>
            <w:hideMark/>
          </w:tcPr>
          <w:p w14:paraId="733BFFAF"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5FCCCC5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115" w:type="pct"/>
            <w:tcBorders>
              <w:top w:val="nil"/>
              <w:left w:val="nil"/>
              <w:bottom w:val="nil"/>
              <w:right w:val="nil"/>
            </w:tcBorders>
            <w:shd w:val="clear" w:color="auto" w:fill="auto"/>
            <w:noWrap/>
            <w:vAlign w:val="center"/>
            <w:hideMark/>
          </w:tcPr>
          <w:p w14:paraId="4EC90C4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11E93A11"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3B65671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1.8</w:t>
            </w:r>
          </w:p>
        </w:tc>
        <w:tc>
          <w:tcPr>
            <w:tcW w:w="425" w:type="pct"/>
            <w:tcBorders>
              <w:top w:val="nil"/>
              <w:left w:val="nil"/>
              <w:bottom w:val="nil"/>
              <w:right w:val="nil"/>
            </w:tcBorders>
            <w:shd w:val="clear" w:color="auto" w:fill="auto"/>
            <w:noWrap/>
            <w:vAlign w:val="center"/>
            <w:hideMark/>
          </w:tcPr>
          <w:p w14:paraId="3C30605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0.7</w:t>
            </w:r>
          </w:p>
        </w:tc>
        <w:tc>
          <w:tcPr>
            <w:tcW w:w="88" w:type="pct"/>
            <w:tcBorders>
              <w:top w:val="nil"/>
              <w:left w:val="nil"/>
              <w:bottom w:val="nil"/>
              <w:right w:val="nil"/>
            </w:tcBorders>
            <w:shd w:val="clear" w:color="auto" w:fill="auto"/>
            <w:noWrap/>
            <w:vAlign w:val="center"/>
            <w:hideMark/>
          </w:tcPr>
          <w:p w14:paraId="26ED40BA"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76D8E5D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207" w:type="pct"/>
            <w:tcBorders>
              <w:top w:val="nil"/>
              <w:left w:val="nil"/>
              <w:bottom w:val="nil"/>
              <w:right w:val="nil"/>
            </w:tcBorders>
            <w:shd w:val="clear" w:color="auto" w:fill="auto"/>
            <w:noWrap/>
            <w:vAlign w:val="center"/>
            <w:hideMark/>
          </w:tcPr>
          <w:p w14:paraId="79F6C49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ADFEFEE"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4C043DA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1.6</w:t>
            </w:r>
          </w:p>
        </w:tc>
        <w:tc>
          <w:tcPr>
            <w:tcW w:w="330" w:type="pct"/>
            <w:tcBorders>
              <w:top w:val="nil"/>
              <w:left w:val="nil"/>
              <w:bottom w:val="nil"/>
              <w:right w:val="nil"/>
            </w:tcBorders>
            <w:shd w:val="clear" w:color="auto" w:fill="auto"/>
            <w:noWrap/>
            <w:vAlign w:val="center"/>
            <w:hideMark/>
          </w:tcPr>
          <w:p w14:paraId="59BEE2D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0B127ABA"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5EFAF2C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5C3FD75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512087E2" w14:textId="77777777" w:rsidTr="000F7CDE">
        <w:trPr>
          <w:trHeight w:val="240"/>
        </w:trPr>
        <w:tc>
          <w:tcPr>
            <w:tcW w:w="353" w:type="pct"/>
            <w:tcBorders>
              <w:top w:val="nil"/>
              <w:left w:val="nil"/>
              <w:bottom w:val="nil"/>
              <w:right w:val="nil"/>
            </w:tcBorders>
            <w:shd w:val="clear" w:color="auto" w:fill="auto"/>
            <w:noWrap/>
            <w:vAlign w:val="center"/>
            <w:hideMark/>
          </w:tcPr>
          <w:p w14:paraId="687669F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Sm</w:t>
            </w:r>
          </w:p>
        </w:tc>
        <w:tc>
          <w:tcPr>
            <w:tcW w:w="435" w:type="pct"/>
            <w:tcBorders>
              <w:top w:val="nil"/>
              <w:left w:val="nil"/>
              <w:bottom w:val="nil"/>
              <w:right w:val="nil"/>
            </w:tcBorders>
            <w:shd w:val="clear" w:color="auto" w:fill="auto"/>
            <w:noWrap/>
            <w:vAlign w:val="center"/>
            <w:hideMark/>
          </w:tcPr>
          <w:p w14:paraId="0B4099C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0.9</w:t>
            </w:r>
          </w:p>
        </w:tc>
        <w:tc>
          <w:tcPr>
            <w:tcW w:w="361" w:type="pct"/>
            <w:tcBorders>
              <w:top w:val="nil"/>
              <w:left w:val="nil"/>
              <w:bottom w:val="nil"/>
              <w:right w:val="nil"/>
            </w:tcBorders>
            <w:shd w:val="clear" w:color="auto" w:fill="auto"/>
            <w:noWrap/>
            <w:vAlign w:val="center"/>
            <w:hideMark/>
          </w:tcPr>
          <w:p w14:paraId="4857023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4CFDAD6F"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3AF35BE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2519B24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65D9A702"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69E8E7A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0.9</w:t>
            </w:r>
          </w:p>
        </w:tc>
        <w:tc>
          <w:tcPr>
            <w:tcW w:w="425" w:type="pct"/>
            <w:tcBorders>
              <w:top w:val="nil"/>
              <w:left w:val="nil"/>
              <w:bottom w:val="nil"/>
              <w:right w:val="nil"/>
            </w:tcBorders>
            <w:shd w:val="clear" w:color="auto" w:fill="auto"/>
            <w:noWrap/>
            <w:vAlign w:val="center"/>
            <w:hideMark/>
          </w:tcPr>
          <w:p w14:paraId="270C733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88" w:type="pct"/>
            <w:tcBorders>
              <w:top w:val="nil"/>
              <w:left w:val="nil"/>
              <w:bottom w:val="nil"/>
              <w:right w:val="nil"/>
            </w:tcBorders>
            <w:shd w:val="clear" w:color="auto" w:fill="auto"/>
            <w:noWrap/>
            <w:vAlign w:val="center"/>
            <w:hideMark/>
          </w:tcPr>
          <w:p w14:paraId="23AC2A78"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1EE6074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79B0EAE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3318DA5"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6F13BD0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0.9</w:t>
            </w:r>
          </w:p>
        </w:tc>
        <w:tc>
          <w:tcPr>
            <w:tcW w:w="330" w:type="pct"/>
            <w:tcBorders>
              <w:top w:val="nil"/>
              <w:left w:val="nil"/>
              <w:bottom w:val="nil"/>
              <w:right w:val="nil"/>
            </w:tcBorders>
            <w:shd w:val="clear" w:color="auto" w:fill="auto"/>
            <w:noWrap/>
            <w:vAlign w:val="center"/>
            <w:hideMark/>
          </w:tcPr>
          <w:p w14:paraId="6348417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660520DD"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6DCAB0E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13F24A7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10282874" w14:textId="77777777" w:rsidTr="000F7CDE">
        <w:trPr>
          <w:trHeight w:val="240"/>
        </w:trPr>
        <w:tc>
          <w:tcPr>
            <w:tcW w:w="353" w:type="pct"/>
            <w:tcBorders>
              <w:top w:val="nil"/>
              <w:left w:val="nil"/>
              <w:bottom w:val="nil"/>
              <w:right w:val="nil"/>
            </w:tcBorders>
            <w:shd w:val="clear" w:color="auto" w:fill="auto"/>
            <w:noWrap/>
            <w:vAlign w:val="center"/>
            <w:hideMark/>
          </w:tcPr>
          <w:p w14:paraId="6809C73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Eu</w:t>
            </w:r>
          </w:p>
        </w:tc>
        <w:tc>
          <w:tcPr>
            <w:tcW w:w="435" w:type="pct"/>
            <w:tcBorders>
              <w:top w:val="nil"/>
              <w:left w:val="nil"/>
              <w:bottom w:val="nil"/>
              <w:right w:val="nil"/>
            </w:tcBorders>
            <w:shd w:val="clear" w:color="auto" w:fill="auto"/>
            <w:noWrap/>
            <w:vAlign w:val="center"/>
            <w:hideMark/>
          </w:tcPr>
          <w:p w14:paraId="613F56D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361" w:type="pct"/>
            <w:tcBorders>
              <w:top w:val="nil"/>
              <w:left w:val="nil"/>
              <w:bottom w:val="nil"/>
              <w:right w:val="nil"/>
            </w:tcBorders>
            <w:shd w:val="clear" w:color="auto" w:fill="auto"/>
            <w:noWrap/>
            <w:vAlign w:val="center"/>
            <w:hideMark/>
          </w:tcPr>
          <w:p w14:paraId="55F3C65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40C7C41"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6E07872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31D7DBB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41142C48"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3DF3A03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425" w:type="pct"/>
            <w:tcBorders>
              <w:top w:val="nil"/>
              <w:left w:val="nil"/>
              <w:bottom w:val="nil"/>
              <w:right w:val="nil"/>
            </w:tcBorders>
            <w:shd w:val="clear" w:color="auto" w:fill="auto"/>
            <w:noWrap/>
            <w:vAlign w:val="center"/>
            <w:hideMark/>
          </w:tcPr>
          <w:p w14:paraId="46566AE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7C50ACC2"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3E00843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207" w:type="pct"/>
            <w:tcBorders>
              <w:top w:val="nil"/>
              <w:left w:val="nil"/>
              <w:bottom w:val="nil"/>
              <w:right w:val="nil"/>
            </w:tcBorders>
            <w:shd w:val="clear" w:color="auto" w:fill="auto"/>
            <w:noWrap/>
            <w:vAlign w:val="center"/>
            <w:hideMark/>
          </w:tcPr>
          <w:p w14:paraId="34DC0D1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78EE00AA"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5D9C828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330" w:type="pct"/>
            <w:tcBorders>
              <w:top w:val="nil"/>
              <w:left w:val="nil"/>
              <w:bottom w:val="nil"/>
              <w:right w:val="nil"/>
            </w:tcBorders>
            <w:shd w:val="clear" w:color="auto" w:fill="auto"/>
            <w:noWrap/>
            <w:vAlign w:val="center"/>
            <w:hideMark/>
          </w:tcPr>
          <w:p w14:paraId="5847555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3A2F46E"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5D87EE6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42D212C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1B00EF57" w14:textId="77777777" w:rsidTr="000F7CDE">
        <w:trPr>
          <w:trHeight w:val="240"/>
        </w:trPr>
        <w:tc>
          <w:tcPr>
            <w:tcW w:w="353" w:type="pct"/>
            <w:tcBorders>
              <w:top w:val="nil"/>
              <w:left w:val="nil"/>
              <w:bottom w:val="nil"/>
              <w:right w:val="nil"/>
            </w:tcBorders>
            <w:shd w:val="clear" w:color="auto" w:fill="auto"/>
            <w:noWrap/>
            <w:vAlign w:val="center"/>
            <w:hideMark/>
          </w:tcPr>
          <w:p w14:paraId="6FA4A5C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Gd</w:t>
            </w:r>
          </w:p>
        </w:tc>
        <w:tc>
          <w:tcPr>
            <w:tcW w:w="435" w:type="pct"/>
            <w:tcBorders>
              <w:top w:val="nil"/>
              <w:left w:val="nil"/>
              <w:bottom w:val="nil"/>
              <w:right w:val="nil"/>
            </w:tcBorders>
            <w:shd w:val="clear" w:color="auto" w:fill="auto"/>
            <w:noWrap/>
            <w:vAlign w:val="center"/>
            <w:hideMark/>
          </w:tcPr>
          <w:p w14:paraId="4674056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1.4</w:t>
            </w:r>
          </w:p>
        </w:tc>
        <w:tc>
          <w:tcPr>
            <w:tcW w:w="361" w:type="pct"/>
            <w:tcBorders>
              <w:top w:val="nil"/>
              <w:left w:val="nil"/>
              <w:bottom w:val="nil"/>
              <w:right w:val="nil"/>
            </w:tcBorders>
            <w:shd w:val="clear" w:color="auto" w:fill="auto"/>
            <w:noWrap/>
            <w:vAlign w:val="center"/>
            <w:hideMark/>
          </w:tcPr>
          <w:p w14:paraId="6BFF9CA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88" w:type="pct"/>
            <w:tcBorders>
              <w:top w:val="nil"/>
              <w:left w:val="nil"/>
              <w:bottom w:val="nil"/>
              <w:right w:val="nil"/>
            </w:tcBorders>
            <w:shd w:val="clear" w:color="auto" w:fill="auto"/>
            <w:noWrap/>
            <w:vAlign w:val="center"/>
            <w:hideMark/>
          </w:tcPr>
          <w:p w14:paraId="482A8066"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218CA41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115" w:type="pct"/>
            <w:tcBorders>
              <w:top w:val="nil"/>
              <w:left w:val="nil"/>
              <w:bottom w:val="nil"/>
              <w:right w:val="nil"/>
            </w:tcBorders>
            <w:shd w:val="clear" w:color="auto" w:fill="auto"/>
            <w:noWrap/>
            <w:vAlign w:val="center"/>
            <w:hideMark/>
          </w:tcPr>
          <w:p w14:paraId="2B7FFAC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67C521EC"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10B3555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1.3</w:t>
            </w:r>
          </w:p>
        </w:tc>
        <w:tc>
          <w:tcPr>
            <w:tcW w:w="425" w:type="pct"/>
            <w:tcBorders>
              <w:top w:val="nil"/>
              <w:left w:val="nil"/>
              <w:bottom w:val="nil"/>
              <w:right w:val="nil"/>
            </w:tcBorders>
            <w:shd w:val="clear" w:color="auto" w:fill="auto"/>
            <w:noWrap/>
            <w:vAlign w:val="center"/>
            <w:hideMark/>
          </w:tcPr>
          <w:p w14:paraId="4ADCE48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0.6</w:t>
            </w:r>
          </w:p>
        </w:tc>
        <w:tc>
          <w:tcPr>
            <w:tcW w:w="88" w:type="pct"/>
            <w:tcBorders>
              <w:top w:val="nil"/>
              <w:left w:val="nil"/>
              <w:bottom w:val="nil"/>
              <w:right w:val="nil"/>
            </w:tcBorders>
            <w:shd w:val="clear" w:color="auto" w:fill="auto"/>
            <w:noWrap/>
            <w:vAlign w:val="center"/>
            <w:hideMark/>
          </w:tcPr>
          <w:p w14:paraId="17391D84"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052E031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513903F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359CB36"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76D59E1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1.5</w:t>
            </w:r>
          </w:p>
        </w:tc>
        <w:tc>
          <w:tcPr>
            <w:tcW w:w="330" w:type="pct"/>
            <w:tcBorders>
              <w:top w:val="nil"/>
              <w:left w:val="nil"/>
              <w:bottom w:val="nil"/>
              <w:right w:val="nil"/>
            </w:tcBorders>
            <w:shd w:val="clear" w:color="auto" w:fill="auto"/>
            <w:noWrap/>
            <w:vAlign w:val="center"/>
            <w:hideMark/>
          </w:tcPr>
          <w:p w14:paraId="7C1F09D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4DCA2299"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5E9E342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327" w:type="pct"/>
            <w:tcBorders>
              <w:top w:val="nil"/>
              <w:left w:val="nil"/>
              <w:bottom w:val="nil"/>
              <w:right w:val="nil"/>
            </w:tcBorders>
            <w:shd w:val="clear" w:color="auto" w:fill="auto"/>
            <w:noWrap/>
            <w:vAlign w:val="center"/>
            <w:hideMark/>
          </w:tcPr>
          <w:p w14:paraId="76439D9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44E77C16" w14:textId="77777777" w:rsidTr="000F7CDE">
        <w:trPr>
          <w:trHeight w:val="240"/>
        </w:trPr>
        <w:tc>
          <w:tcPr>
            <w:tcW w:w="353" w:type="pct"/>
            <w:tcBorders>
              <w:top w:val="nil"/>
              <w:left w:val="nil"/>
              <w:bottom w:val="nil"/>
              <w:right w:val="nil"/>
            </w:tcBorders>
            <w:shd w:val="clear" w:color="auto" w:fill="auto"/>
            <w:noWrap/>
            <w:vAlign w:val="center"/>
            <w:hideMark/>
          </w:tcPr>
          <w:p w14:paraId="0DEA957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Tb</w:t>
            </w:r>
          </w:p>
        </w:tc>
        <w:tc>
          <w:tcPr>
            <w:tcW w:w="435" w:type="pct"/>
            <w:tcBorders>
              <w:top w:val="nil"/>
              <w:left w:val="nil"/>
              <w:bottom w:val="nil"/>
              <w:right w:val="nil"/>
            </w:tcBorders>
            <w:shd w:val="clear" w:color="auto" w:fill="auto"/>
            <w:noWrap/>
            <w:vAlign w:val="center"/>
            <w:hideMark/>
          </w:tcPr>
          <w:p w14:paraId="5A54AA2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361" w:type="pct"/>
            <w:tcBorders>
              <w:top w:val="nil"/>
              <w:left w:val="nil"/>
              <w:bottom w:val="nil"/>
              <w:right w:val="nil"/>
            </w:tcBorders>
            <w:shd w:val="clear" w:color="auto" w:fill="auto"/>
            <w:noWrap/>
            <w:vAlign w:val="center"/>
            <w:hideMark/>
          </w:tcPr>
          <w:p w14:paraId="7D10505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75E6FFF4"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39F638A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35E7AEF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142F1258"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6CDF75A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425" w:type="pct"/>
            <w:tcBorders>
              <w:top w:val="nil"/>
              <w:left w:val="nil"/>
              <w:bottom w:val="nil"/>
              <w:right w:val="nil"/>
            </w:tcBorders>
            <w:shd w:val="clear" w:color="auto" w:fill="auto"/>
            <w:noWrap/>
            <w:vAlign w:val="center"/>
            <w:hideMark/>
          </w:tcPr>
          <w:p w14:paraId="53B2B1D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095E255C"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7BCBE52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5822115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2E00BF54"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6DB8C93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330" w:type="pct"/>
            <w:tcBorders>
              <w:top w:val="nil"/>
              <w:left w:val="nil"/>
              <w:bottom w:val="nil"/>
              <w:right w:val="nil"/>
            </w:tcBorders>
            <w:shd w:val="clear" w:color="auto" w:fill="auto"/>
            <w:noWrap/>
            <w:vAlign w:val="center"/>
            <w:hideMark/>
          </w:tcPr>
          <w:p w14:paraId="650D0D3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0BFD729"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1AAE08E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2197501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34CE1B96" w14:textId="77777777" w:rsidTr="000F7CDE">
        <w:trPr>
          <w:trHeight w:val="240"/>
        </w:trPr>
        <w:tc>
          <w:tcPr>
            <w:tcW w:w="353" w:type="pct"/>
            <w:tcBorders>
              <w:top w:val="nil"/>
              <w:left w:val="nil"/>
              <w:bottom w:val="nil"/>
              <w:right w:val="nil"/>
            </w:tcBorders>
            <w:shd w:val="clear" w:color="auto" w:fill="auto"/>
            <w:noWrap/>
            <w:vAlign w:val="center"/>
            <w:hideMark/>
          </w:tcPr>
          <w:p w14:paraId="7F901EA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Dy</w:t>
            </w:r>
          </w:p>
        </w:tc>
        <w:tc>
          <w:tcPr>
            <w:tcW w:w="435" w:type="pct"/>
            <w:tcBorders>
              <w:top w:val="nil"/>
              <w:left w:val="nil"/>
              <w:bottom w:val="nil"/>
              <w:right w:val="nil"/>
            </w:tcBorders>
            <w:shd w:val="clear" w:color="auto" w:fill="auto"/>
            <w:noWrap/>
            <w:vAlign w:val="center"/>
            <w:hideMark/>
          </w:tcPr>
          <w:p w14:paraId="6EB3982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1.9</w:t>
            </w:r>
          </w:p>
        </w:tc>
        <w:tc>
          <w:tcPr>
            <w:tcW w:w="361" w:type="pct"/>
            <w:tcBorders>
              <w:top w:val="nil"/>
              <w:left w:val="nil"/>
              <w:bottom w:val="nil"/>
              <w:right w:val="nil"/>
            </w:tcBorders>
            <w:shd w:val="clear" w:color="auto" w:fill="auto"/>
            <w:noWrap/>
            <w:vAlign w:val="center"/>
            <w:hideMark/>
          </w:tcPr>
          <w:p w14:paraId="7AE0F28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88" w:type="pct"/>
            <w:tcBorders>
              <w:top w:val="nil"/>
              <w:left w:val="nil"/>
              <w:bottom w:val="nil"/>
              <w:right w:val="nil"/>
            </w:tcBorders>
            <w:shd w:val="clear" w:color="auto" w:fill="auto"/>
            <w:noWrap/>
            <w:vAlign w:val="center"/>
            <w:hideMark/>
          </w:tcPr>
          <w:p w14:paraId="22C5D1BB"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1A0BC9E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115" w:type="pct"/>
            <w:tcBorders>
              <w:top w:val="nil"/>
              <w:left w:val="nil"/>
              <w:bottom w:val="nil"/>
              <w:right w:val="nil"/>
            </w:tcBorders>
            <w:shd w:val="clear" w:color="auto" w:fill="auto"/>
            <w:noWrap/>
            <w:vAlign w:val="center"/>
            <w:hideMark/>
          </w:tcPr>
          <w:p w14:paraId="514E5E8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468CCA7D"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224103C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1.8</w:t>
            </w:r>
          </w:p>
        </w:tc>
        <w:tc>
          <w:tcPr>
            <w:tcW w:w="425" w:type="pct"/>
            <w:tcBorders>
              <w:top w:val="nil"/>
              <w:left w:val="nil"/>
              <w:bottom w:val="nil"/>
              <w:right w:val="nil"/>
            </w:tcBorders>
            <w:shd w:val="clear" w:color="auto" w:fill="auto"/>
            <w:noWrap/>
            <w:vAlign w:val="center"/>
            <w:hideMark/>
          </w:tcPr>
          <w:p w14:paraId="333A2E5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0.8</w:t>
            </w:r>
          </w:p>
        </w:tc>
        <w:tc>
          <w:tcPr>
            <w:tcW w:w="88" w:type="pct"/>
            <w:tcBorders>
              <w:top w:val="nil"/>
              <w:left w:val="nil"/>
              <w:bottom w:val="nil"/>
              <w:right w:val="nil"/>
            </w:tcBorders>
            <w:shd w:val="clear" w:color="auto" w:fill="auto"/>
            <w:noWrap/>
            <w:vAlign w:val="center"/>
            <w:hideMark/>
          </w:tcPr>
          <w:p w14:paraId="5A1001DD"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332461B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15C5689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514980A1"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0BD8874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2.1</w:t>
            </w:r>
          </w:p>
        </w:tc>
        <w:tc>
          <w:tcPr>
            <w:tcW w:w="330" w:type="pct"/>
            <w:tcBorders>
              <w:top w:val="nil"/>
              <w:left w:val="nil"/>
              <w:bottom w:val="nil"/>
              <w:right w:val="nil"/>
            </w:tcBorders>
            <w:shd w:val="clear" w:color="auto" w:fill="auto"/>
            <w:noWrap/>
            <w:vAlign w:val="center"/>
            <w:hideMark/>
          </w:tcPr>
          <w:p w14:paraId="0CCB03D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635E2BE9"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2EC7725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27" w:type="pct"/>
            <w:tcBorders>
              <w:top w:val="nil"/>
              <w:left w:val="nil"/>
              <w:bottom w:val="nil"/>
              <w:right w:val="nil"/>
            </w:tcBorders>
            <w:shd w:val="clear" w:color="auto" w:fill="auto"/>
            <w:noWrap/>
            <w:vAlign w:val="center"/>
            <w:hideMark/>
          </w:tcPr>
          <w:p w14:paraId="3479841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72F8A149" w14:textId="77777777" w:rsidTr="000F7CDE">
        <w:trPr>
          <w:trHeight w:val="240"/>
        </w:trPr>
        <w:tc>
          <w:tcPr>
            <w:tcW w:w="353" w:type="pct"/>
            <w:tcBorders>
              <w:top w:val="nil"/>
              <w:left w:val="nil"/>
              <w:bottom w:val="nil"/>
              <w:right w:val="nil"/>
            </w:tcBorders>
            <w:shd w:val="clear" w:color="auto" w:fill="auto"/>
            <w:noWrap/>
            <w:vAlign w:val="center"/>
            <w:hideMark/>
          </w:tcPr>
          <w:p w14:paraId="6205152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Ho</w:t>
            </w:r>
          </w:p>
        </w:tc>
        <w:tc>
          <w:tcPr>
            <w:tcW w:w="435" w:type="pct"/>
            <w:tcBorders>
              <w:top w:val="nil"/>
              <w:left w:val="nil"/>
              <w:bottom w:val="nil"/>
              <w:right w:val="nil"/>
            </w:tcBorders>
            <w:shd w:val="clear" w:color="auto" w:fill="auto"/>
            <w:noWrap/>
            <w:vAlign w:val="center"/>
            <w:hideMark/>
          </w:tcPr>
          <w:p w14:paraId="6AF761C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361" w:type="pct"/>
            <w:tcBorders>
              <w:top w:val="nil"/>
              <w:left w:val="nil"/>
              <w:bottom w:val="nil"/>
              <w:right w:val="nil"/>
            </w:tcBorders>
            <w:shd w:val="clear" w:color="auto" w:fill="auto"/>
            <w:noWrap/>
            <w:vAlign w:val="center"/>
            <w:hideMark/>
          </w:tcPr>
          <w:p w14:paraId="2F6EBC7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46415C2D"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547A0B9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115" w:type="pct"/>
            <w:tcBorders>
              <w:top w:val="nil"/>
              <w:left w:val="nil"/>
              <w:bottom w:val="nil"/>
              <w:right w:val="nil"/>
            </w:tcBorders>
            <w:shd w:val="clear" w:color="auto" w:fill="auto"/>
            <w:noWrap/>
            <w:vAlign w:val="center"/>
            <w:hideMark/>
          </w:tcPr>
          <w:p w14:paraId="691C0A4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73C439BC"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49E7D49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425" w:type="pct"/>
            <w:tcBorders>
              <w:top w:val="nil"/>
              <w:left w:val="nil"/>
              <w:bottom w:val="nil"/>
              <w:right w:val="nil"/>
            </w:tcBorders>
            <w:shd w:val="clear" w:color="auto" w:fill="auto"/>
            <w:noWrap/>
            <w:vAlign w:val="center"/>
            <w:hideMark/>
          </w:tcPr>
          <w:p w14:paraId="5DD4537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3593D50D"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03612A1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419984E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398D9BF7"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08A5361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0.5</w:t>
            </w:r>
          </w:p>
        </w:tc>
        <w:tc>
          <w:tcPr>
            <w:tcW w:w="330" w:type="pct"/>
            <w:tcBorders>
              <w:top w:val="nil"/>
              <w:left w:val="nil"/>
              <w:bottom w:val="nil"/>
              <w:right w:val="nil"/>
            </w:tcBorders>
            <w:shd w:val="clear" w:color="auto" w:fill="auto"/>
            <w:noWrap/>
            <w:vAlign w:val="center"/>
            <w:hideMark/>
          </w:tcPr>
          <w:p w14:paraId="4518BE4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6148DD9F"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436AF43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327" w:type="pct"/>
            <w:tcBorders>
              <w:top w:val="nil"/>
              <w:left w:val="nil"/>
              <w:bottom w:val="nil"/>
              <w:right w:val="nil"/>
            </w:tcBorders>
            <w:shd w:val="clear" w:color="auto" w:fill="auto"/>
            <w:noWrap/>
            <w:vAlign w:val="center"/>
            <w:hideMark/>
          </w:tcPr>
          <w:p w14:paraId="792747C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2F15B56B" w14:textId="77777777" w:rsidTr="000F7CDE">
        <w:trPr>
          <w:trHeight w:val="240"/>
        </w:trPr>
        <w:tc>
          <w:tcPr>
            <w:tcW w:w="353" w:type="pct"/>
            <w:tcBorders>
              <w:top w:val="nil"/>
              <w:left w:val="nil"/>
              <w:bottom w:val="nil"/>
              <w:right w:val="nil"/>
            </w:tcBorders>
            <w:shd w:val="clear" w:color="auto" w:fill="auto"/>
            <w:noWrap/>
            <w:vAlign w:val="center"/>
            <w:hideMark/>
          </w:tcPr>
          <w:p w14:paraId="4750563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Er</w:t>
            </w:r>
          </w:p>
        </w:tc>
        <w:tc>
          <w:tcPr>
            <w:tcW w:w="435" w:type="pct"/>
            <w:tcBorders>
              <w:top w:val="nil"/>
              <w:left w:val="nil"/>
              <w:bottom w:val="nil"/>
              <w:right w:val="nil"/>
            </w:tcBorders>
            <w:shd w:val="clear" w:color="auto" w:fill="auto"/>
            <w:noWrap/>
            <w:vAlign w:val="center"/>
            <w:hideMark/>
          </w:tcPr>
          <w:p w14:paraId="1AB3BED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1.2</w:t>
            </w:r>
          </w:p>
        </w:tc>
        <w:tc>
          <w:tcPr>
            <w:tcW w:w="361" w:type="pct"/>
            <w:tcBorders>
              <w:top w:val="nil"/>
              <w:left w:val="nil"/>
              <w:bottom w:val="nil"/>
              <w:right w:val="nil"/>
            </w:tcBorders>
            <w:shd w:val="clear" w:color="auto" w:fill="auto"/>
            <w:noWrap/>
            <w:vAlign w:val="center"/>
            <w:hideMark/>
          </w:tcPr>
          <w:p w14:paraId="7CACA8F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88" w:type="pct"/>
            <w:tcBorders>
              <w:top w:val="nil"/>
              <w:left w:val="nil"/>
              <w:bottom w:val="nil"/>
              <w:right w:val="nil"/>
            </w:tcBorders>
            <w:shd w:val="clear" w:color="auto" w:fill="auto"/>
            <w:noWrap/>
            <w:vAlign w:val="center"/>
            <w:hideMark/>
          </w:tcPr>
          <w:p w14:paraId="06DB501F"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269D6BE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115" w:type="pct"/>
            <w:tcBorders>
              <w:top w:val="nil"/>
              <w:left w:val="nil"/>
              <w:bottom w:val="nil"/>
              <w:right w:val="nil"/>
            </w:tcBorders>
            <w:shd w:val="clear" w:color="auto" w:fill="auto"/>
            <w:noWrap/>
            <w:vAlign w:val="center"/>
            <w:hideMark/>
          </w:tcPr>
          <w:p w14:paraId="0040A6E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4B4FB1AD"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4B6017C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1.1</w:t>
            </w:r>
          </w:p>
        </w:tc>
        <w:tc>
          <w:tcPr>
            <w:tcW w:w="425" w:type="pct"/>
            <w:tcBorders>
              <w:top w:val="nil"/>
              <w:left w:val="nil"/>
              <w:bottom w:val="nil"/>
              <w:right w:val="nil"/>
            </w:tcBorders>
            <w:shd w:val="clear" w:color="auto" w:fill="auto"/>
            <w:noWrap/>
            <w:vAlign w:val="center"/>
            <w:hideMark/>
          </w:tcPr>
          <w:p w14:paraId="407E3FE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0.5</w:t>
            </w:r>
          </w:p>
        </w:tc>
        <w:tc>
          <w:tcPr>
            <w:tcW w:w="88" w:type="pct"/>
            <w:tcBorders>
              <w:top w:val="nil"/>
              <w:left w:val="nil"/>
              <w:bottom w:val="nil"/>
              <w:right w:val="nil"/>
            </w:tcBorders>
            <w:shd w:val="clear" w:color="auto" w:fill="auto"/>
            <w:noWrap/>
            <w:vAlign w:val="center"/>
            <w:hideMark/>
          </w:tcPr>
          <w:p w14:paraId="46659938"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42B3C43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057A9D9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BFD55A5"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50CB6AF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1.4</w:t>
            </w:r>
          </w:p>
        </w:tc>
        <w:tc>
          <w:tcPr>
            <w:tcW w:w="330" w:type="pct"/>
            <w:tcBorders>
              <w:top w:val="nil"/>
              <w:left w:val="nil"/>
              <w:bottom w:val="nil"/>
              <w:right w:val="nil"/>
            </w:tcBorders>
            <w:shd w:val="clear" w:color="auto" w:fill="auto"/>
            <w:noWrap/>
            <w:vAlign w:val="center"/>
            <w:hideMark/>
          </w:tcPr>
          <w:p w14:paraId="26D35F4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15FAB63B"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4E2DB8F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27" w:type="pct"/>
            <w:tcBorders>
              <w:top w:val="nil"/>
              <w:left w:val="nil"/>
              <w:bottom w:val="nil"/>
              <w:right w:val="nil"/>
            </w:tcBorders>
            <w:shd w:val="clear" w:color="auto" w:fill="auto"/>
            <w:noWrap/>
            <w:vAlign w:val="center"/>
            <w:hideMark/>
          </w:tcPr>
          <w:p w14:paraId="4B1CE8A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4B2E596A" w14:textId="77777777" w:rsidTr="000F7CDE">
        <w:trPr>
          <w:trHeight w:val="240"/>
        </w:trPr>
        <w:tc>
          <w:tcPr>
            <w:tcW w:w="353" w:type="pct"/>
            <w:tcBorders>
              <w:top w:val="nil"/>
              <w:left w:val="nil"/>
              <w:bottom w:val="nil"/>
              <w:right w:val="nil"/>
            </w:tcBorders>
            <w:shd w:val="clear" w:color="auto" w:fill="auto"/>
            <w:noWrap/>
            <w:vAlign w:val="center"/>
            <w:hideMark/>
          </w:tcPr>
          <w:p w14:paraId="6EDD9B8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Tm</w:t>
            </w:r>
          </w:p>
        </w:tc>
        <w:tc>
          <w:tcPr>
            <w:tcW w:w="435" w:type="pct"/>
            <w:tcBorders>
              <w:top w:val="nil"/>
              <w:left w:val="nil"/>
              <w:bottom w:val="nil"/>
              <w:right w:val="nil"/>
            </w:tcBorders>
            <w:shd w:val="clear" w:color="auto" w:fill="auto"/>
            <w:noWrap/>
            <w:vAlign w:val="center"/>
            <w:hideMark/>
          </w:tcPr>
          <w:p w14:paraId="70F29BA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61" w:type="pct"/>
            <w:tcBorders>
              <w:top w:val="nil"/>
              <w:left w:val="nil"/>
              <w:bottom w:val="nil"/>
              <w:right w:val="nil"/>
            </w:tcBorders>
            <w:shd w:val="clear" w:color="auto" w:fill="auto"/>
            <w:noWrap/>
            <w:vAlign w:val="center"/>
            <w:hideMark/>
          </w:tcPr>
          <w:p w14:paraId="264947D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64556FD9"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3CB0BDE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6371701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11E5751A"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2ACA250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425" w:type="pct"/>
            <w:tcBorders>
              <w:top w:val="nil"/>
              <w:left w:val="nil"/>
              <w:bottom w:val="nil"/>
              <w:right w:val="nil"/>
            </w:tcBorders>
            <w:shd w:val="clear" w:color="auto" w:fill="auto"/>
            <w:noWrap/>
            <w:vAlign w:val="center"/>
            <w:hideMark/>
          </w:tcPr>
          <w:p w14:paraId="27FAB14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576F5AFD"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66027B3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083DEEF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B05F2A4"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3E3A672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30" w:type="pct"/>
            <w:tcBorders>
              <w:top w:val="nil"/>
              <w:left w:val="nil"/>
              <w:bottom w:val="nil"/>
              <w:right w:val="nil"/>
            </w:tcBorders>
            <w:shd w:val="clear" w:color="auto" w:fill="auto"/>
            <w:noWrap/>
            <w:vAlign w:val="center"/>
            <w:hideMark/>
          </w:tcPr>
          <w:p w14:paraId="61941A6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9C50BEE"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6767534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01F2658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2559D312" w14:textId="77777777" w:rsidTr="000F7CDE">
        <w:trPr>
          <w:trHeight w:val="240"/>
        </w:trPr>
        <w:tc>
          <w:tcPr>
            <w:tcW w:w="353" w:type="pct"/>
            <w:tcBorders>
              <w:top w:val="nil"/>
              <w:left w:val="nil"/>
              <w:bottom w:val="nil"/>
              <w:right w:val="nil"/>
            </w:tcBorders>
            <w:shd w:val="clear" w:color="auto" w:fill="auto"/>
            <w:noWrap/>
            <w:vAlign w:val="center"/>
            <w:hideMark/>
          </w:tcPr>
          <w:p w14:paraId="4C29222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Yb</w:t>
            </w:r>
          </w:p>
        </w:tc>
        <w:tc>
          <w:tcPr>
            <w:tcW w:w="435" w:type="pct"/>
            <w:tcBorders>
              <w:top w:val="nil"/>
              <w:left w:val="nil"/>
              <w:bottom w:val="nil"/>
              <w:right w:val="nil"/>
            </w:tcBorders>
            <w:shd w:val="clear" w:color="auto" w:fill="auto"/>
            <w:noWrap/>
            <w:vAlign w:val="center"/>
            <w:hideMark/>
          </w:tcPr>
          <w:p w14:paraId="648F49E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1.2</w:t>
            </w:r>
          </w:p>
        </w:tc>
        <w:tc>
          <w:tcPr>
            <w:tcW w:w="361" w:type="pct"/>
            <w:tcBorders>
              <w:top w:val="nil"/>
              <w:left w:val="nil"/>
              <w:bottom w:val="nil"/>
              <w:right w:val="nil"/>
            </w:tcBorders>
            <w:shd w:val="clear" w:color="auto" w:fill="auto"/>
            <w:noWrap/>
            <w:vAlign w:val="center"/>
            <w:hideMark/>
          </w:tcPr>
          <w:p w14:paraId="6813E45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88" w:type="pct"/>
            <w:tcBorders>
              <w:top w:val="nil"/>
              <w:left w:val="nil"/>
              <w:bottom w:val="nil"/>
              <w:right w:val="nil"/>
            </w:tcBorders>
            <w:shd w:val="clear" w:color="auto" w:fill="auto"/>
            <w:noWrap/>
            <w:vAlign w:val="center"/>
            <w:hideMark/>
          </w:tcPr>
          <w:p w14:paraId="5E2C8067"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6C46C73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115" w:type="pct"/>
            <w:tcBorders>
              <w:top w:val="nil"/>
              <w:left w:val="nil"/>
              <w:bottom w:val="nil"/>
              <w:right w:val="nil"/>
            </w:tcBorders>
            <w:shd w:val="clear" w:color="auto" w:fill="auto"/>
            <w:noWrap/>
            <w:vAlign w:val="center"/>
            <w:hideMark/>
          </w:tcPr>
          <w:p w14:paraId="72561E2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6CCF20B8"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6127245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1.1</w:t>
            </w:r>
          </w:p>
        </w:tc>
        <w:tc>
          <w:tcPr>
            <w:tcW w:w="425" w:type="pct"/>
            <w:tcBorders>
              <w:top w:val="nil"/>
              <w:left w:val="nil"/>
              <w:bottom w:val="nil"/>
              <w:right w:val="nil"/>
            </w:tcBorders>
            <w:shd w:val="clear" w:color="auto" w:fill="auto"/>
            <w:noWrap/>
            <w:vAlign w:val="center"/>
            <w:hideMark/>
          </w:tcPr>
          <w:p w14:paraId="35AABE7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88" w:type="pct"/>
            <w:tcBorders>
              <w:top w:val="nil"/>
              <w:left w:val="nil"/>
              <w:bottom w:val="nil"/>
              <w:right w:val="nil"/>
            </w:tcBorders>
            <w:shd w:val="clear" w:color="auto" w:fill="auto"/>
            <w:noWrap/>
            <w:vAlign w:val="center"/>
            <w:hideMark/>
          </w:tcPr>
          <w:p w14:paraId="72594A98"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668F9CF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2E863B7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6EA384B0"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122652F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1.3</w:t>
            </w:r>
          </w:p>
        </w:tc>
        <w:tc>
          <w:tcPr>
            <w:tcW w:w="330" w:type="pct"/>
            <w:tcBorders>
              <w:top w:val="nil"/>
              <w:left w:val="nil"/>
              <w:bottom w:val="nil"/>
              <w:right w:val="nil"/>
            </w:tcBorders>
            <w:shd w:val="clear" w:color="auto" w:fill="auto"/>
            <w:noWrap/>
            <w:vAlign w:val="center"/>
            <w:hideMark/>
          </w:tcPr>
          <w:p w14:paraId="6348BCE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788372C2"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65D666F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327" w:type="pct"/>
            <w:tcBorders>
              <w:top w:val="nil"/>
              <w:left w:val="nil"/>
              <w:bottom w:val="nil"/>
              <w:right w:val="nil"/>
            </w:tcBorders>
            <w:shd w:val="clear" w:color="auto" w:fill="auto"/>
            <w:noWrap/>
            <w:vAlign w:val="center"/>
            <w:hideMark/>
          </w:tcPr>
          <w:p w14:paraId="6D38567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200A2862" w14:textId="77777777" w:rsidTr="000F7CDE">
        <w:trPr>
          <w:trHeight w:val="240"/>
        </w:trPr>
        <w:tc>
          <w:tcPr>
            <w:tcW w:w="353" w:type="pct"/>
            <w:tcBorders>
              <w:top w:val="nil"/>
              <w:left w:val="nil"/>
              <w:bottom w:val="nil"/>
              <w:right w:val="nil"/>
            </w:tcBorders>
            <w:shd w:val="clear" w:color="auto" w:fill="auto"/>
            <w:noWrap/>
            <w:vAlign w:val="center"/>
            <w:hideMark/>
          </w:tcPr>
          <w:p w14:paraId="02032A1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Lu</w:t>
            </w:r>
          </w:p>
        </w:tc>
        <w:tc>
          <w:tcPr>
            <w:tcW w:w="435" w:type="pct"/>
            <w:tcBorders>
              <w:top w:val="nil"/>
              <w:left w:val="nil"/>
              <w:bottom w:val="nil"/>
              <w:right w:val="nil"/>
            </w:tcBorders>
            <w:shd w:val="clear" w:color="auto" w:fill="auto"/>
            <w:noWrap/>
            <w:vAlign w:val="center"/>
            <w:hideMark/>
          </w:tcPr>
          <w:p w14:paraId="1438EA3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61" w:type="pct"/>
            <w:tcBorders>
              <w:top w:val="nil"/>
              <w:left w:val="nil"/>
              <w:bottom w:val="nil"/>
              <w:right w:val="nil"/>
            </w:tcBorders>
            <w:shd w:val="clear" w:color="auto" w:fill="auto"/>
            <w:noWrap/>
            <w:vAlign w:val="center"/>
            <w:hideMark/>
          </w:tcPr>
          <w:p w14:paraId="667D000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6476655B"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2D1B2DF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06BF821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7BEECE59"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136F214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425" w:type="pct"/>
            <w:tcBorders>
              <w:top w:val="nil"/>
              <w:left w:val="nil"/>
              <w:bottom w:val="nil"/>
              <w:right w:val="nil"/>
            </w:tcBorders>
            <w:shd w:val="clear" w:color="auto" w:fill="auto"/>
            <w:noWrap/>
            <w:vAlign w:val="center"/>
            <w:hideMark/>
          </w:tcPr>
          <w:p w14:paraId="295D28E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75F77DB5"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329E8DC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07B0E87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28D34F1D"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4D8EC74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330" w:type="pct"/>
            <w:tcBorders>
              <w:top w:val="nil"/>
              <w:left w:val="nil"/>
              <w:bottom w:val="nil"/>
              <w:right w:val="nil"/>
            </w:tcBorders>
            <w:shd w:val="clear" w:color="auto" w:fill="auto"/>
            <w:noWrap/>
            <w:vAlign w:val="center"/>
            <w:hideMark/>
          </w:tcPr>
          <w:p w14:paraId="797ED98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26C3D35"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5D74C50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327" w:type="pct"/>
            <w:tcBorders>
              <w:top w:val="nil"/>
              <w:left w:val="nil"/>
              <w:bottom w:val="nil"/>
              <w:right w:val="nil"/>
            </w:tcBorders>
            <w:shd w:val="clear" w:color="auto" w:fill="auto"/>
            <w:noWrap/>
            <w:vAlign w:val="center"/>
            <w:hideMark/>
          </w:tcPr>
          <w:p w14:paraId="63B7DF9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50530268" w14:textId="77777777" w:rsidTr="000F7CDE">
        <w:trPr>
          <w:trHeight w:val="240"/>
        </w:trPr>
        <w:tc>
          <w:tcPr>
            <w:tcW w:w="353" w:type="pct"/>
            <w:tcBorders>
              <w:top w:val="nil"/>
              <w:left w:val="nil"/>
              <w:bottom w:val="nil"/>
              <w:right w:val="nil"/>
            </w:tcBorders>
            <w:shd w:val="clear" w:color="auto" w:fill="auto"/>
            <w:noWrap/>
            <w:vAlign w:val="center"/>
            <w:hideMark/>
          </w:tcPr>
          <w:p w14:paraId="40BC00B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Hf</w:t>
            </w:r>
          </w:p>
        </w:tc>
        <w:tc>
          <w:tcPr>
            <w:tcW w:w="435" w:type="pct"/>
            <w:tcBorders>
              <w:top w:val="nil"/>
              <w:left w:val="nil"/>
              <w:bottom w:val="nil"/>
              <w:right w:val="nil"/>
            </w:tcBorders>
            <w:shd w:val="clear" w:color="auto" w:fill="auto"/>
            <w:noWrap/>
            <w:vAlign w:val="center"/>
            <w:hideMark/>
          </w:tcPr>
          <w:p w14:paraId="4707CF7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361" w:type="pct"/>
            <w:tcBorders>
              <w:top w:val="nil"/>
              <w:left w:val="nil"/>
              <w:bottom w:val="nil"/>
              <w:right w:val="nil"/>
            </w:tcBorders>
            <w:shd w:val="clear" w:color="auto" w:fill="auto"/>
            <w:noWrap/>
            <w:vAlign w:val="center"/>
            <w:hideMark/>
          </w:tcPr>
          <w:p w14:paraId="11AEE4D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7D8DF96C"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4AA6A4F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115" w:type="pct"/>
            <w:tcBorders>
              <w:top w:val="nil"/>
              <w:left w:val="nil"/>
              <w:bottom w:val="nil"/>
              <w:right w:val="nil"/>
            </w:tcBorders>
            <w:shd w:val="clear" w:color="auto" w:fill="auto"/>
            <w:noWrap/>
            <w:vAlign w:val="center"/>
            <w:hideMark/>
          </w:tcPr>
          <w:p w14:paraId="76134D9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5D94FDC9"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37D8F72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0.3</w:t>
            </w:r>
          </w:p>
        </w:tc>
        <w:tc>
          <w:tcPr>
            <w:tcW w:w="425" w:type="pct"/>
            <w:tcBorders>
              <w:top w:val="nil"/>
              <w:left w:val="nil"/>
              <w:bottom w:val="nil"/>
              <w:right w:val="nil"/>
            </w:tcBorders>
            <w:shd w:val="clear" w:color="auto" w:fill="auto"/>
            <w:noWrap/>
            <w:vAlign w:val="center"/>
            <w:hideMark/>
          </w:tcPr>
          <w:p w14:paraId="198DE1D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0.2</w:t>
            </w:r>
          </w:p>
        </w:tc>
        <w:tc>
          <w:tcPr>
            <w:tcW w:w="88" w:type="pct"/>
            <w:tcBorders>
              <w:top w:val="nil"/>
              <w:left w:val="nil"/>
              <w:bottom w:val="nil"/>
              <w:right w:val="nil"/>
            </w:tcBorders>
            <w:shd w:val="clear" w:color="auto" w:fill="auto"/>
            <w:noWrap/>
            <w:vAlign w:val="center"/>
            <w:hideMark/>
          </w:tcPr>
          <w:p w14:paraId="731EC78E"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7EDA7E7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1F33241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7FCD72F"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09D7E27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0.4</w:t>
            </w:r>
          </w:p>
        </w:tc>
        <w:tc>
          <w:tcPr>
            <w:tcW w:w="330" w:type="pct"/>
            <w:tcBorders>
              <w:top w:val="nil"/>
              <w:left w:val="nil"/>
              <w:bottom w:val="nil"/>
              <w:right w:val="nil"/>
            </w:tcBorders>
            <w:shd w:val="clear" w:color="auto" w:fill="auto"/>
            <w:noWrap/>
            <w:vAlign w:val="center"/>
            <w:hideMark/>
          </w:tcPr>
          <w:p w14:paraId="3A17D88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88" w:type="pct"/>
            <w:tcBorders>
              <w:top w:val="nil"/>
              <w:left w:val="nil"/>
              <w:bottom w:val="nil"/>
              <w:right w:val="nil"/>
            </w:tcBorders>
            <w:shd w:val="clear" w:color="auto" w:fill="auto"/>
            <w:noWrap/>
            <w:vAlign w:val="center"/>
            <w:hideMark/>
          </w:tcPr>
          <w:p w14:paraId="3FD9AE92"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1D0AEB7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327" w:type="pct"/>
            <w:tcBorders>
              <w:top w:val="nil"/>
              <w:left w:val="nil"/>
              <w:bottom w:val="nil"/>
              <w:right w:val="nil"/>
            </w:tcBorders>
            <w:shd w:val="clear" w:color="auto" w:fill="auto"/>
            <w:noWrap/>
            <w:vAlign w:val="center"/>
            <w:hideMark/>
          </w:tcPr>
          <w:p w14:paraId="46F8C2B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63441688" w14:textId="77777777" w:rsidTr="000F7CDE">
        <w:trPr>
          <w:trHeight w:val="240"/>
        </w:trPr>
        <w:tc>
          <w:tcPr>
            <w:tcW w:w="353" w:type="pct"/>
            <w:tcBorders>
              <w:top w:val="nil"/>
              <w:left w:val="nil"/>
              <w:bottom w:val="nil"/>
              <w:right w:val="nil"/>
            </w:tcBorders>
            <w:shd w:val="clear" w:color="auto" w:fill="auto"/>
            <w:noWrap/>
            <w:vAlign w:val="center"/>
            <w:hideMark/>
          </w:tcPr>
          <w:p w14:paraId="1B90296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Pb</w:t>
            </w:r>
          </w:p>
        </w:tc>
        <w:tc>
          <w:tcPr>
            <w:tcW w:w="435" w:type="pct"/>
            <w:tcBorders>
              <w:top w:val="nil"/>
              <w:left w:val="nil"/>
              <w:bottom w:val="nil"/>
              <w:right w:val="nil"/>
            </w:tcBorders>
            <w:shd w:val="clear" w:color="auto" w:fill="auto"/>
            <w:noWrap/>
            <w:vAlign w:val="center"/>
            <w:hideMark/>
          </w:tcPr>
          <w:p w14:paraId="59838CF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61" w:type="pct"/>
            <w:tcBorders>
              <w:top w:val="nil"/>
              <w:left w:val="nil"/>
              <w:bottom w:val="nil"/>
              <w:right w:val="nil"/>
            </w:tcBorders>
            <w:shd w:val="clear" w:color="auto" w:fill="auto"/>
            <w:noWrap/>
            <w:vAlign w:val="center"/>
            <w:hideMark/>
          </w:tcPr>
          <w:p w14:paraId="26C4990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5F2EA60F"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1BA5807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373E281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6695433C"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0741542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425" w:type="pct"/>
            <w:tcBorders>
              <w:top w:val="nil"/>
              <w:left w:val="nil"/>
              <w:bottom w:val="nil"/>
              <w:right w:val="nil"/>
            </w:tcBorders>
            <w:shd w:val="clear" w:color="auto" w:fill="auto"/>
            <w:noWrap/>
            <w:vAlign w:val="center"/>
            <w:hideMark/>
          </w:tcPr>
          <w:p w14:paraId="7047141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71DABD13"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6F947284"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0.1</w:t>
            </w:r>
          </w:p>
        </w:tc>
        <w:tc>
          <w:tcPr>
            <w:tcW w:w="207" w:type="pct"/>
            <w:tcBorders>
              <w:top w:val="nil"/>
              <w:left w:val="nil"/>
              <w:bottom w:val="nil"/>
              <w:right w:val="nil"/>
            </w:tcBorders>
            <w:shd w:val="clear" w:color="auto" w:fill="auto"/>
            <w:noWrap/>
            <w:vAlign w:val="center"/>
            <w:hideMark/>
          </w:tcPr>
          <w:p w14:paraId="2CFA327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56E79C3"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4A41FDB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30" w:type="pct"/>
            <w:tcBorders>
              <w:top w:val="nil"/>
              <w:left w:val="nil"/>
              <w:bottom w:val="nil"/>
              <w:right w:val="nil"/>
            </w:tcBorders>
            <w:shd w:val="clear" w:color="auto" w:fill="auto"/>
            <w:noWrap/>
            <w:vAlign w:val="center"/>
            <w:hideMark/>
          </w:tcPr>
          <w:p w14:paraId="60AF211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39950709"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253BA70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7C83B1A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437F10CD" w14:textId="77777777" w:rsidTr="000F7CDE">
        <w:trPr>
          <w:trHeight w:val="240"/>
        </w:trPr>
        <w:tc>
          <w:tcPr>
            <w:tcW w:w="353" w:type="pct"/>
            <w:tcBorders>
              <w:top w:val="nil"/>
              <w:left w:val="nil"/>
              <w:bottom w:val="nil"/>
              <w:right w:val="nil"/>
            </w:tcBorders>
            <w:shd w:val="clear" w:color="auto" w:fill="auto"/>
            <w:noWrap/>
            <w:vAlign w:val="center"/>
            <w:hideMark/>
          </w:tcPr>
          <w:p w14:paraId="462153C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Ta</w:t>
            </w:r>
          </w:p>
        </w:tc>
        <w:tc>
          <w:tcPr>
            <w:tcW w:w="435" w:type="pct"/>
            <w:tcBorders>
              <w:top w:val="nil"/>
              <w:left w:val="nil"/>
              <w:bottom w:val="nil"/>
              <w:right w:val="nil"/>
            </w:tcBorders>
            <w:shd w:val="clear" w:color="auto" w:fill="auto"/>
            <w:noWrap/>
            <w:vAlign w:val="center"/>
            <w:hideMark/>
          </w:tcPr>
          <w:p w14:paraId="4E60D93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61" w:type="pct"/>
            <w:tcBorders>
              <w:top w:val="nil"/>
              <w:left w:val="nil"/>
              <w:bottom w:val="nil"/>
              <w:right w:val="nil"/>
            </w:tcBorders>
            <w:shd w:val="clear" w:color="auto" w:fill="auto"/>
            <w:noWrap/>
            <w:vAlign w:val="center"/>
            <w:hideMark/>
          </w:tcPr>
          <w:p w14:paraId="747A9B2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E9FF906"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A210F67"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6158D36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27B339B0"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21B8E6E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425" w:type="pct"/>
            <w:tcBorders>
              <w:top w:val="nil"/>
              <w:left w:val="nil"/>
              <w:bottom w:val="nil"/>
              <w:right w:val="nil"/>
            </w:tcBorders>
            <w:shd w:val="clear" w:color="auto" w:fill="auto"/>
            <w:noWrap/>
            <w:vAlign w:val="center"/>
            <w:hideMark/>
          </w:tcPr>
          <w:p w14:paraId="4D7F478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26E8839A"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410D783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3CC8FA6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053BB610"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5EC4397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30" w:type="pct"/>
            <w:tcBorders>
              <w:top w:val="nil"/>
              <w:left w:val="nil"/>
              <w:bottom w:val="nil"/>
              <w:right w:val="nil"/>
            </w:tcBorders>
            <w:shd w:val="clear" w:color="auto" w:fill="auto"/>
            <w:noWrap/>
            <w:vAlign w:val="center"/>
            <w:hideMark/>
          </w:tcPr>
          <w:p w14:paraId="28DD3FC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AE596CE"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64D735EC"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2F3C9DD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1119E3FA" w14:textId="77777777" w:rsidTr="000F7CDE">
        <w:trPr>
          <w:trHeight w:val="240"/>
        </w:trPr>
        <w:tc>
          <w:tcPr>
            <w:tcW w:w="353" w:type="pct"/>
            <w:tcBorders>
              <w:top w:val="nil"/>
              <w:left w:val="nil"/>
              <w:bottom w:val="nil"/>
              <w:right w:val="nil"/>
            </w:tcBorders>
            <w:shd w:val="clear" w:color="auto" w:fill="auto"/>
            <w:noWrap/>
            <w:vAlign w:val="center"/>
            <w:hideMark/>
          </w:tcPr>
          <w:p w14:paraId="7CB452F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Th</w:t>
            </w:r>
          </w:p>
        </w:tc>
        <w:tc>
          <w:tcPr>
            <w:tcW w:w="435" w:type="pct"/>
            <w:tcBorders>
              <w:top w:val="nil"/>
              <w:left w:val="nil"/>
              <w:bottom w:val="nil"/>
              <w:right w:val="nil"/>
            </w:tcBorders>
            <w:shd w:val="clear" w:color="auto" w:fill="auto"/>
            <w:noWrap/>
            <w:vAlign w:val="center"/>
            <w:hideMark/>
          </w:tcPr>
          <w:p w14:paraId="54A6132B"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61" w:type="pct"/>
            <w:tcBorders>
              <w:top w:val="nil"/>
              <w:left w:val="nil"/>
              <w:bottom w:val="nil"/>
              <w:right w:val="nil"/>
            </w:tcBorders>
            <w:shd w:val="clear" w:color="auto" w:fill="auto"/>
            <w:noWrap/>
            <w:vAlign w:val="center"/>
            <w:hideMark/>
          </w:tcPr>
          <w:p w14:paraId="023A4BF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117FFE92" w14:textId="77777777"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nil"/>
              <w:right w:val="nil"/>
            </w:tcBorders>
            <w:shd w:val="clear" w:color="auto" w:fill="auto"/>
            <w:noWrap/>
            <w:vAlign w:val="center"/>
            <w:hideMark/>
          </w:tcPr>
          <w:p w14:paraId="7655EC5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nil"/>
              <w:right w:val="nil"/>
            </w:tcBorders>
            <w:shd w:val="clear" w:color="auto" w:fill="auto"/>
            <w:noWrap/>
            <w:vAlign w:val="center"/>
            <w:hideMark/>
          </w:tcPr>
          <w:p w14:paraId="595903D9"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nil"/>
              <w:right w:val="nil"/>
            </w:tcBorders>
            <w:shd w:val="clear" w:color="auto" w:fill="auto"/>
            <w:noWrap/>
            <w:vAlign w:val="center"/>
            <w:hideMark/>
          </w:tcPr>
          <w:p w14:paraId="46F57CDD" w14:textId="77777777"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nil"/>
              <w:right w:val="nil"/>
            </w:tcBorders>
            <w:shd w:val="clear" w:color="auto" w:fill="auto"/>
            <w:noWrap/>
            <w:vAlign w:val="center"/>
            <w:hideMark/>
          </w:tcPr>
          <w:p w14:paraId="52C40CB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425" w:type="pct"/>
            <w:tcBorders>
              <w:top w:val="nil"/>
              <w:left w:val="nil"/>
              <w:bottom w:val="nil"/>
              <w:right w:val="nil"/>
            </w:tcBorders>
            <w:shd w:val="clear" w:color="auto" w:fill="auto"/>
            <w:noWrap/>
            <w:vAlign w:val="center"/>
            <w:hideMark/>
          </w:tcPr>
          <w:p w14:paraId="4629A26D"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4648FB6D" w14:textId="77777777"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nil"/>
              <w:right w:val="nil"/>
            </w:tcBorders>
            <w:shd w:val="clear" w:color="auto" w:fill="auto"/>
            <w:noWrap/>
            <w:vAlign w:val="center"/>
            <w:hideMark/>
          </w:tcPr>
          <w:p w14:paraId="78E2578A"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nil"/>
              <w:right w:val="nil"/>
            </w:tcBorders>
            <w:shd w:val="clear" w:color="auto" w:fill="auto"/>
            <w:noWrap/>
            <w:vAlign w:val="center"/>
            <w:hideMark/>
          </w:tcPr>
          <w:p w14:paraId="1E454C42"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638B5505" w14:textId="77777777"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nil"/>
              <w:right w:val="nil"/>
            </w:tcBorders>
            <w:shd w:val="clear" w:color="auto" w:fill="auto"/>
            <w:noWrap/>
            <w:vAlign w:val="center"/>
            <w:hideMark/>
          </w:tcPr>
          <w:p w14:paraId="734980D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30" w:type="pct"/>
            <w:tcBorders>
              <w:top w:val="nil"/>
              <w:left w:val="nil"/>
              <w:bottom w:val="nil"/>
              <w:right w:val="nil"/>
            </w:tcBorders>
            <w:shd w:val="clear" w:color="auto" w:fill="auto"/>
            <w:noWrap/>
            <w:vAlign w:val="center"/>
            <w:hideMark/>
          </w:tcPr>
          <w:p w14:paraId="65E1E5F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nil"/>
              <w:right w:val="nil"/>
            </w:tcBorders>
            <w:shd w:val="clear" w:color="auto" w:fill="auto"/>
            <w:noWrap/>
            <w:vAlign w:val="center"/>
            <w:hideMark/>
          </w:tcPr>
          <w:p w14:paraId="264037C8" w14:textId="77777777"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nil"/>
              <w:right w:val="nil"/>
            </w:tcBorders>
            <w:shd w:val="clear" w:color="auto" w:fill="auto"/>
            <w:noWrap/>
            <w:vAlign w:val="center"/>
            <w:hideMark/>
          </w:tcPr>
          <w:p w14:paraId="08A8C19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nil"/>
              <w:right w:val="nil"/>
            </w:tcBorders>
            <w:shd w:val="clear" w:color="auto" w:fill="auto"/>
            <w:noWrap/>
            <w:vAlign w:val="center"/>
            <w:hideMark/>
          </w:tcPr>
          <w:p w14:paraId="4D17475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r w:rsidR="00A52F4F" w:rsidRPr="00A52F4F" w14:paraId="33680BE3" w14:textId="77777777" w:rsidTr="000F7CDE">
        <w:trPr>
          <w:trHeight w:val="240"/>
        </w:trPr>
        <w:tc>
          <w:tcPr>
            <w:tcW w:w="353" w:type="pct"/>
            <w:tcBorders>
              <w:top w:val="nil"/>
              <w:left w:val="nil"/>
              <w:bottom w:val="single" w:sz="4" w:space="0" w:color="auto"/>
              <w:right w:val="nil"/>
            </w:tcBorders>
            <w:shd w:val="clear" w:color="auto" w:fill="auto"/>
            <w:noWrap/>
            <w:vAlign w:val="center"/>
            <w:hideMark/>
          </w:tcPr>
          <w:p w14:paraId="294BA6D8"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U</w:t>
            </w:r>
          </w:p>
        </w:tc>
        <w:tc>
          <w:tcPr>
            <w:tcW w:w="435" w:type="pct"/>
            <w:tcBorders>
              <w:top w:val="nil"/>
              <w:left w:val="nil"/>
              <w:bottom w:val="single" w:sz="4" w:space="0" w:color="auto"/>
              <w:right w:val="nil"/>
            </w:tcBorders>
            <w:shd w:val="clear" w:color="auto" w:fill="auto"/>
            <w:noWrap/>
            <w:vAlign w:val="center"/>
            <w:hideMark/>
          </w:tcPr>
          <w:p w14:paraId="2AA7D67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61" w:type="pct"/>
            <w:tcBorders>
              <w:top w:val="nil"/>
              <w:left w:val="nil"/>
              <w:bottom w:val="single" w:sz="4" w:space="0" w:color="auto"/>
              <w:right w:val="nil"/>
            </w:tcBorders>
            <w:shd w:val="clear" w:color="auto" w:fill="auto"/>
            <w:noWrap/>
            <w:vAlign w:val="center"/>
            <w:hideMark/>
          </w:tcPr>
          <w:p w14:paraId="03DB140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single" w:sz="4" w:space="0" w:color="auto"/>
              <w:right w:val="nil"/>
            </w:tcBorders>
            <w:shd w:val="clear" w:color="auto" w:fill="auto"/>
            <w:noWrap/>
            <w:vAlign w:val="center"/>
            <w:hideMark/>
          </w:tcPr>
          <w:p w14:paraId="069D36DB" w14:textId="7864B231" w:rsidR="00A52F4F" w:rsidRPr="00A52F4F" w:rsidRDefault="00A52F4F" w:rsidP="000F7CDE">
            <w:pPr>
              <w:jc w:val="center"/>
              <w:rPr>
                <w:rFonts w:eastAsia="Times New Roman"/>
                <w:color w:val="000000"/>
                <w:sz w:val="18"/>
                <w:szCs w:val="18"/>
                <w:lang w:val="fr-FR" w:eastAsia="fr-FR"/>
              </w:rPr>
            </w:pPr>
          </w:p>
        </w:tc>
        <w:tc>
          <w:tcPr>
            <w:tcW w:w="435" w:type="pct"/>
            <w:tcBorders>
              <w:top w:val="nil"/>
              <w:left w:val="nil"/>
              <w:bottom w:val="single" w:sz="4" w:space="0" w:color="auto"/>
              <w:right w:val="nil"/>
            </w:tcBorders>
            <w:shd w:val="clear" w:color="auto" w:fill="auto"/>
            <w:noWrap/>
            <w:vAlign w:val="center"/>
            <w:hideMark/>
          </w:tcPr>
          <w:p w14:paraId="584E13E6"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115" w:type="pct"/>
            <w:tcBorders>
              <w:top w:val="nil"/>
              <w:left w:val="nil"/>
              <w:bottom w:val="single" w:sz="4" w:space="0" w:color="auto"/>
              <w:right w:val="nil"/>
            </w:tcBorders>
            <w:shd w:val="clear" w:color="auto" w:fill="auto"/>
            <w:noWrap/>
            <w:vAlign w:val="center"/>
            <w:hideMark/>
          </w:tcPr>
          <w:p w14:paraId="465E3C1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w:t>
            </w:r>
          </w:p>
        </w:tc>
        <w:tc>
          <w:tcPr>
            <w:tcW w:w="88" w:type="pct"/>
            <w:tcBorders>
              <w:top w:val="nil"/>
              <w:left w:val="nil"/>
              <w:bottom w:val="single" w:sz="4" w:space="0" w:color="auto"/>
              <w:right w:val="nil"/>
            </w:tcBorders>
            <w:shd w:val="clear" w:color="auto" w:fill="auto"/>
            <w:noWrap/>
            <w:vAlign w:val="center"/>
            <w:hideMark/>
          </w:tcPr>
          <w:p w14:paraId="28332607" w14:textId="4A14F783" w:rsidR="00A52F4F" w:rsidRPr="00A52F4F" w:rsidRDefault="00A52F4F" w:rsidP="000F7CDE">
            <w:pPr>
              <w:jc w:val="center"/>
              <w:rPr>
                <w:rFonts w:eastAsia="Times New Roman"/>
                <w:color w:val="000000"/>
                <w:sz w:val="18"/>
                <w:szCs w:val="18"/>
                <w:lang w:val="fr-FR" w:eastAsia="fr-FR"/>
              </w:rPr>
            </w:pPr>
          </w:p>
        </w:tc>
        <w:tc>
          <w:tcPr>
            <w:tcW w:w="424" w:type="pct"/>
            <w:tcBorders>
              <w:top w:val="nil"/>
              <w:left w:val="nil"/>
              <w:bottom w:val="single" w:sz="4" w:space="0" w:color="auto"/>
              <w:right w:val="nil"/>
            </w:tcBorders>
            <w:shd w:val="clear" w:color="auto" w:fill="auto"/>
            <w:noWrap/>
            <w:vAlign w:val="center"/>
            <w:hideMark/>
          </w:tcPr>
          <w:p w14:paraId="4D46A9D1"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425" w:type="pct"/>
            <w:tcBorders>
              <w:top w:val="nil"/>
              <w:left w:val="nil"/>
              <w:bottom w:val="single" w:sz="4" w:space="0" w:color="auto"/>
              <w:right w:val="nil"/>
            </w:tcBorders>
            <w:shd w:val="clear" w:color="auto" w:fill="auto"/>
            <w:noWrap/>
            <w:vAlign w:val="center"/>
            <w:hideMark/>
          </w:tcPr>
          <w:p w14:paraId="2AED978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single" w:sz="4" w:space="0" w:color="auto"/>
              <w:right w:val="nil"/>
            </w:tcBorders>
            <w:shd w:val="clear" w:color="auto" w:fill="auto"/>
            <w:noWrap/>
            <w:vAlign w:val="center"/>
            <w:hideMark/>
          </w:tcPr>
          <w:p w14:paraId="77DA353C" w14:textId="21684438" w:rsidR="00A52F4F" w:rsidRPr="00A52F4F" w:rsidRDefault="00A52F4F" w:rsidP="000F7CDE">
            <w:pPr>
              <w:jc w:val="center"/>
              <w:rPr>
                <w:rFonts w:eastAsia="Times New Roman"/>
                <w:color w:val="000000"/>
                <w:sz w:val="18"/>
                <w:szCs w:val="18"/>
                <w:lang w:val="fr-FR" w:eastAsia="fr-FR"/>
              </w:rPr>
            </w:pPr>
          </w:p>
        </w:tc>
        <w:tc>
          <w:tcPr>
            <w:tcW w:w="351" w:type="pct"/>
            <w:tcBorders>
              <w:top w:val="nil"/>
              <w:left w:val="nil"/>
              <w:bottom w:val="single" w:sz="4" w:space="0" w:color="auto"/>
              <w:right w:val="nil"/>
            </w:tcBorders>
            <w:shd w:val="clear" w:color="auto" w:fill="auto"/>
            <w:noWrap/>
            <w:vAlign w:val="center"/>
            <w:hideMark/>
          </w:tcPr>
          <w:p w14:paraId="093924EE"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207" w:type="pct"/>
            <w:tcBorders>
              <w:top w:val="nil"/>
              <w:left w:val="nil"/>
              <w:bottom w:val="single" w:sz="4" w:space="0" w:color="auto"/>
              <w:right w:val="nil"/>
            </w:tcBorders>
            <w:shd w:val="clear" w:color="auto" w:fill="auto"/>
            <w:noWrap/>
            <w:vAlign w:val="center"/>
            <w:hideMark/>
          </w:tcPr>
          <w:p w14:paraId="704A61C0"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single" w:sz="4" w:space="0" w:color="auto"/>
              <w:right w:val="nil"/>
            </w:tcBorders>
            <w:shd w:val="clear" w:color="auto" w:fill="auto"/>
            <w:noWrap/>
            <w:vAlign w:val="center"/>
            <w:hideMark/>
          </w:tcPr>
          <w:p w14:paraId="7094F1CB" w14:textId="380DD3D6" w:rsidR="00A52F4F" w:rsidRPr="00A52F4F" w:rsidRDefault="00A52F4F" w:rsidP="000F7CDE">
            <w:pPr>
              <w:jc w:val="center"/>
              <w:rPr>
                <w:rFonts w:eastAsia="Times New Roman"/>
                <w:color w:val="000000"/>
                <w:sz w:val="18"/>
                <w:szCs w:val="18"/>
                <w:lang w:val="fr-FR" w:eastAsia="fr-FR"/>
              </w:rPr>
            </w:pPr>
          </w:p>
        </w:tc>
        <w:tc>
          <w:tcPr>
            <w:tcW w:w="399" w:type="pct"/>
            <w:tcBorders>
              <w:top w:val="nil"/>
              <w:left w:val="nil"/>
              <w:bottom w:val="single" w:sz="4" w:space="0" w:color="auto"/>
              <w:right w:val="nil"/>
            </w:tcBorders>
            <w:shd w:val="clear" w:color="auto" w:fill="auto"/>
            <w:noWrap/>
            <w:vAlign w:val="center"/>
            <w:hideMark/>
          </w:tcPr>
          <w:p w14:paraId="1D0CDA15"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30" w:type="pct"/>
            <w:tcBorders>
              <w:top w:val="nil"/>
              <w:left w:val="nil"/>
              <w:bottom w:val="single" w:sz="4" w:space="0" w:color="auto"/>
              <w:right w:val="nil"/>
            </w:tcBorders>
            <w:shd w:val="clear" w:color="auto" w:fill="auto"/>
            <w:noWrap/>
            <w:vAlign w:val="center"/>
            <w:hideMark/>
          </w:tcPr>
          <w:p w14:paraId="1117094F"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88" w:type="pct"/>
            <w:tcBorders>
              <w:top w:val="nil"/>
              <w:left w:val="nil"/>
              <w:bottom w:val="single" w:sz="4" w:space="0" w:color="auto"/>
              <w:right w:val="nil"/>
            </w:tcBorders>
            <w:shd w:val="clear" w:color="auto" w:fill="auto"/>
            <w:noWrap/>
            <w:vAlign w:val="center"/>
            <w:hideMark/>
          </w:tcPr>
          <w:p w14:paraId="3BCCDF96" w14:textId="05849B20" w:rsidR="00A52F4F" w:rsidRPr="00A52F4F" w:rsidRDefault="00A52F4F" w:rsidP="000F7CDE">
            <w:pPr>
              <w:jc w:val="center"/>
              <w:rPr>
                <w:rFonts w:eastAsia="Times New Roman"/>
                <w:color w:val="000000"/>
                <w:sz w:val="18"/>
                <w:szCs w:val="18"/>
                <w:lang w:val="fr-FR" w:eastAsia="fr-FR"/>
              </w:rPr>
            </w:pPr>
          </w:p>
        </w:tc>
        <w:tc>
          <w:tcPr>
            <w:tcW w:w="398" w:type="pct"/>
            <w:tcBorders>
              <w:top w:val="nil"/>
              <w:left w:val="nil"/>
              <w:bottom w:val="single" w:sz="4" w:space="0" w:color="auto"/>
              <w:right w:val="nil"/>
            </w:tcBorders>
            <w:shd w:val="clear" w:color="auto" w:fill="auto"/>
            <w:noWrap/>
            <w:vAlign w:val="center"/>
            <w:hideMark/>
          </w:tcPr>
          <w:p w14:paraId="3DAA46B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c>
          <w:tcPr>
            <w:tcW w:w="327" w:type="pct"/>
            <w:tcBorders>
              <w:top w:val="nil"/>
              <w:left w:val="nil"/>
              <w:bottom w:val="single" w:sz="4" w:space="0" w:color="auto"/>
              <w:right w:val="nil"/>
            </w:tcBorders>
            <w:shd w:val="clear" w:color="auto" w:fill="auto"/>
            <w:noWrap/>
            <w:vAlign w:val="center"/>
            <w:hideMark/>
          </w:tcPr>
          <w:p w14:paraId="48670643" w14:textId="77777777" w:rsidR="00A52F4F" w:rsidRPr="00A52F4F" w:rsidRDefault="00A52F4F" w:rsidP="000F7CDE">
            <w:pPr>
              <w:jc w:val="center"/>
              <w:rPr>
                <w:rFonts w:eastAsia="Times New Roman"/>
                <w:color w:val="000000"/>
                <w:sz w:val="18"/>
                <w:szCs w:val="18"/>
                <w:lang w:val="fr-FR" w:eastAsia="fr-FR"/>
              </w:rPr>
            </w:pPr>
            <w:r w:rsidRPr="00A52F4F">
              <w:rPr>
                <w:rFonts w:eastAsia="Times New Roman"/>
                <w:color w:val="000000"/>
                <w:sz w:val="18"/>
                <w:szCs w:val="18"/>
                <w:lang w:val="fr-FR" w:eastAsia="fr-FR"/>
              </w:rPr>
              <w:t>0.0</w:t>
            </w:r>
          </w:p>
        </w:tc>
      </w:tr>
    </w:tbl>
    <w:p w14:paraId="4432C920" w14:textId="77777777" w:rsidR="00E313B9" w:rsidRDefault="00E313B9" w:rsidP="008E3798">
      <w:pPr>
        <w:spacing w:after="120"/>
        <w:jc w:val="both"/>
        <w:rPr>
          <w:sz w:val="24"/>
        </w:rPr>
      </w:pPr>
    </w:p>
    <w:p w14:paraId="7B2E4483" w14:textId="77777777" w:rsidR="00685D45" w:rsidRDefault="00685D45" w:rsidP="00685D45">
      <w:pPr>
        <w:widowControl w:val="0"/>
        <w:autoSpaceDE w:val="0"/>
        <w:autoSpaceDN w:val="0"/>
        <w:adjustRightInd w:val="0"/>
        <w:spacing w:after="240" w:line="260" w:lineRule="atLeast"/>
        <w:jc w:val="both"/>
        <w:rPr>
          <w:sz w:val="36"/>
        </w:rPr>
        <w:sectPr w:rsidR="00685D45" w:rsidSect="00685D45">
          <w:pgSz w:w="15840" w:h="12240" w:orient="landscape"/>
          <w:pgMar w:top="1440" w:right="1440" w:bottom="1440" w:left="1440" w:header="432" w:footer="720" w:gutter="0"/>
          <w:cols w:space="720"/>
          <w:docGrid w:linePitch="360"/>
        </w:sectPr>
      </w:pPr>
    </w:p>
    <w:p w14:paraId="15750797" w14:textId="7D4A1C7E" w:rsidR="00E313B9" w:rsidRPr="00022B05" w:rsidRDefault="00E313B9" w:rsidP="00E84C0F">
      <w:pPr>
        <w:pStyle w:val="FigureorTableCaption"/>
      </w:pPr>
    </w:p>
    <w:p w14:paraId="1C1FF4EE" w14:textId="66F4016A" w:rsidR="008E3798" w:rsidRPr="00022B05" w:rsidRDefault="008E3798" w:rsidP="008E3798">
      <w:pPr>
        <w:spacing w:after="120"/>
        <w:jc w:val="both"/>
        <w:rPr>
          <w:rStyle w:val="Strong"/>
          <w:b w:val="0"/>
          <w:bCs w:val="0"/>
          <w:sz w:val="24"/>
        </w:rPr>
      </w:pPr>
      <w:r w:rsidRPr="00022B05">
        <w:rPr>
          <w:sz w:val="24"/>
        </w:rPr>
        <w:tab/>
      </w:r>
      <w:proofErr w:type="gramStart"/>
      <w:r w:rsidR="00290D4D">
        <w:rPr>
          <w:rStyle w:val="Strong"/>
          <w:b w:val="0"/>
          <w:sz w:val="24"/>
          <w:szCs w:val="24"/>
          <w:u w:val="single"/>
        </w:rPr>
        <w:t>Plagioclas</w:t>
      </w:r>
      <w:r w:rsidR="00290D4D" w:rsidRPr="00120E5F">
        <w:rPr>
          <w:rStyle w:val="Strong"/>
          <w:b w:val="0"/>
          <w:sz w:val="24"/>
          <w:szCs w:val="24"/>
          <w:u w:val="single"/>
        </w:rPr>
        <w:t>e</w:t>
      </w:r>
      <w:r w:rsidR="00290D4D">
        <w:rPr>
          <w:rStyle w:val="Strong"/>
          <w:b w:val="0"/>
          <w:sz w:val="24"/>
          <w:szCs w:val="24"/>
          <w:u w:val="single"/>
        </w:rPr>
        <w:t>.</w:t>
      </w:r>
      <w:proofErr w:type="gramEnd"/>
      <w:r w:rsidR="00290D4D" w:rsidRPr="00022B05">
        <w:rPr>
          <w:sz w:val="24"/>
        </w:rPr>
        <w:t xml:space="preserve"> </w:t>
      </w:r>
      <w:r w:rsidRPr="00022B05">
        <w:rPr>
          <w:sz w:val="24"/>
        </w:rPr>
        <w:t>Plagioclase REE compositions have been measured only in the plagioclase-rich rock types (troctolites, olivine gabbros and gabbros) because plagioclase grains in the plagioclase-bearing lherzolites and plagioclase-bearing websterites were too small to be analysed by LA-ICP-MS. The four analyzed samples have low plagioclase HREE contents (Yb</w:t>
      </w:r>
      <w:r w:rsidRPr="00022B05">
        <w:rPr>
          <w:sz w:val="24"/>
          <w:vertAlign w:val="subscript"/>
        </w:rPr>
        <w:t>n</w:t>
      </w:r>
      <w:r w:rsidRPr="00022B05">
        <w:rPr>
          <w:sz w:val="24"/>
        </w:rPr>
        <w:t xml:space="preserve"> = 0.01 – 0.</w:t>
      </w:r>
      <w:r w:rsidR="00D844B8">
        <w:rPr>
          <w:sz w:val="24"/>
        </w:rPr>
        <w:t>2</w:t>
      </w:r>
      <w:r w:rsidRPr="00022B05">
        <w:rPr>
          <w:sz w:val="24"/>
        </w:rPr>
        <w:t>), LREE-enriched patterns with strong Eu anomalies. Two samples display more enriched patterns, with slightly flatter HREE portions ((Sm/Yb</w:t>
      </w:r>
      <w:proofErr w:type="gramStart"/>
      <w:r w:rsidRPr="00022B05">
        <w:rPr>
          <w:sz w:val="24"/>
        </w:rPr>
        <w:t>)</w:t>
      </w:r>
      <w:r w:rsidRPr="00022B05">
        <w:rPr>
          <w:sz w:val="24"/>
          <w:vertAlign w:val="subscript"/>
        </w:rPr>
        <w:t>n</w:t>
      </w:r>
      <w:proofErr w:type="gramEnd"/>
      <w:r w:rsidRPr="00022B05">
        <w:rPr>
          <w:sz w:val="24"/>
        </w:rPr>
        <w:t xml:space="preserve"> = 3.313 – 3.314). The other two samples show more depleted plagioclase REE patterns, with steeper slopes for the HREE parts of the patterns ((Sm/Yb</w:t>
      </w:r>
      <w:proofErr w:type="gramStart"/>
      <w:r w:rsidRPr="00022B05">
        <w:rPr>
          <w:sz w:val="24"/>
        </w:rPr>
        <w:t>)</w:t>
      </w:r>
      <w:r w:rsidRPr="00022B05">
        <w:rPr>
          <w:sz w:val="24"/>
          <w:vertAlign w:val="subscript"/>
        </w:rPr>
        <w:t>n</w:t>
      </w:r>
      <w:proofErr w:type="gramEnd"/>
      <w:r w:rsidRPr="00022B05">
        <w:rPr>
          <w:sz w:val="24"/>
        </w:rPr>
        <w:t xml:space="preserve"> = 12.565 – 15.502). The most enriched REE patterns correspond to plagioclase with </w:t>
      </w:r>
      <w:proofErr w:type="gramStart"/>
      <w:r w:rsidRPr="00022B05">
        <w:rPr>
          <w:sz w:val="24"/>
        </w:rPr>
        <w:t>An</w:t>
      </w:r>
      <w:proofErr w:type="gramEnd"/>
      <w:r w:rsidRPr="00022B05">
        <w:rPr>
          <w:sz w:val="24"/>
        </w:rPr>
        <w:t xml:space="preserve"> contents ≤60% (Figure 8) and to samples with the most REE-enriched clinopyroxenes (Figure 11a).</w:t>
      </w:r>
    </w:p>
    <w:p w14:paraId="1104101A" w14:textId="4A5E857F" w:rsidR="008E3798" w:rsidRDefault="008E3798" w:rsidP="008E3798">
      <w:pPr>
        <w:widowControl w:val="0"/>
        <w:autoSpaceDE w:val="0"/>
        <w:autoSpaceDN w:val="0"/>
        <w:adjustRightInd w:val="0"/>
        <w:spacing w:after="240" w:line="260" w:lineRule="atLeast"/>
        <w:jc w:val="both"/>
        <w:rPr>
          <w:sz w:val="24"/>
        </w:rPr>
      </w:pPr>
      <w:r w:rsidRPr="00022B05">
        <w:rPr>
          <w:rStyle w:val="Strong"/>
          <w:b w:val="0"/>
          <w:sz w:val="24"/>
        </w:rPr>
        <w:tab/>
        <w:t xml:space="preserve">The range of REE composition for melts calculated to be in equilibrium with the clinopyroxenes of </w:t>
      </w:r>
      <w:r w:rsidR="00E55178">
        <w:rPr>
          <w:rStyle w:val="Strong"/>
          <w:b w:val="0"/>
          <w:sz w:val="24"/>
        </w:rPr>
        <w:t>the</w:t>
      </w:r>
      <w:r w:rsidR="00E55178" w:rsidRPr="00022B05">
        <w:rPr>
          <w:rStyle w:val="Strong"/>
          <w:b w:val="0"/>
          <w:sz w:val="24"/>
        </w:rPr>
        <w:t xml:space="preserve"> </w:t>
      </w:r>
      <w:r w:rsidRPr="00022B05">
        <w:rPr>
          <w:rStyle w:val="Strong"/>
          <w:b w:val="0"/>
          <w:sz w:val="24"/>
        </w:rPr>
        <w:t xml:space="preserve">plagioclase-bearing </w:t>
      </w:r>
      <w:r w:rsidR="00E55178">
        <w:rPr>
          <w:rStyle w:val="Strong"/>
          <w:b w:val="0"/>
          <w:sz w:val="24"/>
        </w:rPr>
        <w:t>ultramafic rocks</w:t>
      </w:r>
      <w:r w:rsidRPr="00022B05">
        <w:rPr>
          <w:sz w:val="24"/>
        </w:rPr>
        <w:t xml:space="preserve"> (using clinopyroxene/liquid partiti</w:t>
      </w:r>
      <w:r w:rsidR="001123EC" w:rsidRPr="00022B05">
        <w:rPr>
          <w:sz w:val="24"/>
        </w:rPr>
        <w:t xml:space="preserve">on coefficients from </w:t>
      </w:r>
      <w:r w:rsidR="001123EC" w:rsidRPr="00022B05">
        <w:rPr>
          <w:i/>
          <w:sz w:val="24"/>
        </w:rPr>
        <w:t>Lee et al.</w:t>
      </w:r>
      <w:r w:rsidRPr="00022B05">
        <w:rPr>
          <w:sz w:val="24"/>
        </w:rPr>
        <w:t xml:space="preserve"> </w:t>
      </w:r>
      <w:r w:rsidR="001123EC" w:rsidRPr="00022B05">
        <w:rPr>
          <w:sz w:val="24"/>
        </w:rPr>
        <w:t>[</w:t>
      </w:r>
      <w:r w:rsidRPr="00022B05">
        <w:rPr>
          <w:sz w:val="24"/>
        </w:rPr>
        <w:t>2007</w:t>
      </w:r>
      <w:r w:rsidR="001123EC" w:rsidRPr="00022B05">
        <w:rPr>
          <w:sz w:val="24"/>
        </w:rPr>
        <w:t>]</w:t>
      </w:r>
      <w:r w:rsidRPr="00022B05">
        <w:rPr>
          <w:sz w:val="24"/>
        </w:rPr>
        <w:t xml:space="preserve">) is shown in Figure 12. Melts calculated to be in equilibrium with the least enriched clinopyroxenes (Figure 12) have flat REE patterns and abundances similar to those of most basalts sampled in </w:t>
      </w:r>
      <w:r w:rsidR="006F164E">
        <w:rPr>
          <w:sz w:val="24"/>
        </w:rPr>
        <w:t>the</w:t>
      </w:r>
      <w:r w:rsidR="006F164E" w:rsidRPr="00022B05">
        <w:rPr>
          <w:sz w:val="24"/>
        </w:rPr>
        <w:t xml:space="preserve"> </w:t>
      </w:r>
      <w:r w:rsidRPr="00022B05">
        <w:rPr>
          <w:sz w:val="24"/>
        </w:rPr>
        <w:t xml:space="preserve">study area (all of the ultramafic seafloor basalts and most basalts from the volcanic seafloor domains; Figure 4a). The </w:t>
      </w:r>
      <w:r w:rsidRPr="00022B05">
        <w:rPr>
          <w:rStyle w:val="Strong"/>
          <w:b w:val="0"/>
          <w:sz w:val="24"/>
        </w:rPr>
        <w:t>REE compositions of melts calculated to be in equilibrium with plagioclase</w:t>
      </w:r>
      <w:r w:rsidRPr="00022B05">
        <w:rPr>
          <w:sz w:val="24"/>
        </w:rPr>
        <w:t xml:space="preserve"> (using plagioclase/liquid partition coefficients from </w:t>
      </w:r>
      <w:r w:rsidRPr="00022B05">
        <w:rPr>
          <w:i/>
          <w:sz w:val="24"/>
        </w:rPr>
        <w:t>Bédard et al.</w:t>
      </w:r>
      <w:r w:rsidR="001123EC" w:rsidRPr="00022B05">
        <w:rPr>
          <w:sz w:val="24"/>
        </w:rPr>
        <w:t xml:space="preserve"> [199</w:t>
      </w:r>
      <w:r w:rsidRPr="00022B05">
        <w:rPr>
          <w:sz w:val="24"/>
        </w:rPr>
        <w:t>4</w:t>
      </w:r>
      <w:r w:rsidR="001123EC" w:rsidRPr="00022B05">
        <w:rPr>
          <w:sz w:val="24"/>
        </w:rPr>
        <w:t>]</w:t>
      </w:r>
      <w:r w:rsidRPr="00022B05">
        <w:rPr>
          <w:sz w:val="24"/>
        </w:rPr>
        <w:t xml:space="preserve">) are inconsistent for HREE. We note that a similar inconsistency was found for melt REE compositions calculated from clinopyroxene and plagioclase REE patterns in troctolites and olivine gabbros from other abyssal </w:t>
      </w:r>
      <w:r w:rsidR="001123EC" w:rsidRPr="00022B05">
        <w:rPr>
          <w:sz w:val="24"/>
        </w:rPr>
        <w:t>[</w:t>
      </w:r>
      <w:r w:rsidR="001123EC" w:rsidRPr="00022B05">
        <w:rPr>
          <w:i/>
          <w:sz w:val="24"/>
        </w:rPr>
        <w:t>Drouin et al.</w:t>
      </w:r>
      <w:r w:rsidR="001123EC" w:rsidRPr="00022B05">
        <w:rPr>
          <w:sz w:val="24"/>
        </w:rPr>
        <w:t>, 2009]</w:t>
      </w:r>
      <w:r w:rsidRPr="00022B05">
        <w:rPr>
          <w:sz w:val="24"/>
        </w:rPr>
        <w:t xml:space="preserve"> and ophiolitic </w:t>
      </w:r>
      <w:r w:rsidR="001123EC" w:rsidRPr="00022B05">
        <w:rPr>
          <w:sz w:val="24"/>
        </w:rPr>
        <w:t xml:space="preserve">(data not shown: </w:t>
      </w:r>
      <w:r w:rsidR="001123EC" w:rsidRPr="00022B05">
        <w:rPr>
          <w:i/>
          <w:sz w:val="24"/>
        </w:rPr>
        <w:t>Kelemen et al.</w:t>
      </w:r>
      <w:r w:rsidRPr="00022B05">
        <w:rPr>
          <w:sz w:val="24"/>
        </w:rPr>
        <w:t xml:space="preserve"> </w:t>
      </w:r>
      <w:r w:rsidR="001123EC" w:rsidRPr="001F338C">
        <w:rPr>
          <w:sz w:val="24"/>
          <w:lang w:val="it-IT"/>
          <w:rPrChange w:id="66" w:author="Daniele" w:date="2016-04-03T18:31:00Z">
            <w:rPr>
              <w:sz w:val="24"/>
            </w:rPr>
          </w:rPrChange>
        </w:rPr>
        <w:t>[</w:t>
      </w:r>
      <w:r w:rsidRPr="001F338C">
        <w:rPr>
          <w:sz w:val="24"/>
          <w:lang w:val="it-IT"/>
          <w:rPrChange w:id="67" w:author="Daniele" w:date="2016-04-03T18:31:00Z">
            <w:rPr>
              <w:sz w:val="24"/>
            </w:rPr>
          </w:rPrChange>
        </w:rPr>
        <w:t>1997</w:t>
      </w:r>
      <w:r w:rsidR="001123EC" w:rsidRPr="001F338C">
        <w:rPr>
          <w:sz w:val="24"/>
          <w:lang w:val="it-IT"/>
          <w:rPrChange w:id="68" w:author="Daniele" w:date="2016-04-03T18:31:00Z">
            <w:rPr>
              <w:sz w:val="24"/>
            </w:rPr>
          </w:rPrChange>
        </w:rPr>
        <w:t>],</w:t>
      </w:r>
      <w:r w:rsidRPr="001F338C">
        <w:rPr>
          <w:sz w:val="24"/>
          <w:lang w:val="it-IT"/>
          <w:rPrChange w:id="69" w:author="Daniele" w:date="2016-04-03T18:31:00Z">
            <w:rPr>
              <w:sz w:val="24"/>
            </w:rPr>
          </w:rPrChange>
        </w:rPr>
        <w:t xml:space="preserve"> </w:t>
      </w:r>
      <w:r w:rsidRPr="001F338C">
        <w:rPr>
          <w:i/>
          <w:sz w:val="24"/>
          <w:szCs w:val="22"/>
          <w:lang w:val="it-IT"/>
          <w:rPrChange w:id="70" w:author="Daniele" w:date="2016-04-03T18:31:00Z">
            <w:rPr>
              <w:i/>
              <w:sz w:val="24"/>
              <w:szCs w:val="22"/>
            </w:rPr>
          </w:rPrChange>
        </w:rPr>
        <w:t>Borghini et al.</w:t>
      </w:r>
      <w:r w:rsidRPr="001F338C">
        <w:rPr>
          <w:sz w:val="24"/>
          <w:szCs w:val="22"/>
          <w:lang w:val="it-IT"/>
          <w:rPrChange w:id="71" w:author="Daniele" w:date="2016-04-03T18:31:00Z">
            <w:rPr>
              <w:sz w:val="24"/>
              <w:szCs w:val="22"/>
            </w:rPr>
          </w:rPrChange>
        </w:rPr>
        <w:t xml:space="preserve"> </w:t>
      </w:r>
      <w:r w:rsidR="001123EC" w:rsidRPr="001F338C">
        <w:rPr>
          <w:sz w:val="24"/>
          <w:szCs w:val="22"/>
          <w:lang w:val="it-IT"/>
          <w:rPrChange w:id="72" w:author="Daniele" w:date="2016-04-03T18:31:00Z">
            <w:rPr>
              <w:sz w:val="24"/>
              <w:szCs w:val="22"/>
            </w:rPr>
          </w:rPrChange>
        </w:rPr>
        <w:t>[</w:t>
      </w:r>
      <w:r w:rsidRPr="001F338C">
        <w:rPr>
          <w:sz w:val="24"/>
          <w:szCs w:val="22"/>
          <w:lang w:val="it-IT"/>
          <w:rPrChange w:id="73" w:author="Daniele" w:date="2016-04-03T18:31:00Z">
            <w:rPr>
              <w:sz w:val="24"/>
              <w:szCs w:val="22"/>
            </w:rPr>
          </w:rPrChange>
        </w:rPr>
        <w:t>2007</w:t>
      </w:r>
      <w:r w:rsidR="001123EC" w:rsidRPr="001F338C">
        <w:rPr>
          <w:sz w:val="24"/>
          <w:szCs w:val="22"/>
          <w:lang w:val="it-IT"/>
          <w:rPrChange w:id="74" w:author="Daniele" w:date="2016-04-03T18:31:00Z">
            <w:rPr>
              <w:sz w:val="24"/>
              <w:szCs w:val="22"/>
            </w:rPr>
          </w:rPrChange>
        </w:rPr>
        <w:t>],</w:t>
      </w:r>
      <w:r w:rsidRPr="001F338C">
        <w:rPr>
          <w:sz w:val="24"/>
          <w:szCs w:val="22"/>
          <w:lang w:val="it-IT"/>
          <w:rPrChange w:id="75" w:author="Daniele" w:date="2016-04-03T18:31:00Z">
            <w:rPr>
              <w:sz w:val="24"/>
              <w:szCs w:val="22"/>
            </w:rPr>
          </w:rPrChange>
        </w:rPr>
        <w:t xml:space="preserve"> </w:t>
      </w:r>
      <w:r w:rsidRPr="001F338C">
        <w:rPr>
          <w:i/>
          <w:sz w:val="24"/>
          <w:szCs w:val="22"/>
          <w:lang w:val="it-IT"/>
          <w:rPrChange w:id="76" w:author="Daniele" w:date="2016-04-03T18:31:00Z">
            <w:rPr>
              <w:i/>
              <w:sz w:val="24"/>
              <w:szCs w:val="22"/>
            </w:rPr>
          </w:rPrChange>
        </w:rPr>
        <w:t>Borghini and Rampone</w:t>
      </w:r>
      <w:r w:rsidRPr="001F338C">
        <w:rPr>
          <w:sz w:val="24"/>
          <w:szCs w:val="22"/>
          <w:lang w:val="it-IT"/>
          <w:rPrChange w:id="77" w:author="Daniele" w:date="2016-04-03T18:31:00Z">
            <w:rPr>
              <w:sz w:val="24"/>
              <w:szCs w:val="22"/>
            </w:rPr>
          </w:rPrChange>
        </w:rPr>
        <w:t xml:space="preserve"> </w:t>
      </w:r>
      <w:r w:rsidR="001123EC" w:rsidRPr="001F338C">
        <w:rPr>
          <w:sz w:val="24"/>
          <w:szCs w:val="22"/>
          <w:lang w:val="it-IT"/>
          <w:rPrChange w:id="78" w:author="Daniele" w:date="2016-04-03T18:31:00Z">
            <w:rPr>
              <w:sz w:val="24"/>
              <w:szCs w:val="22"/>
            </w:rPr>
          </w:rPrChange>
        </w:rPr>
        <w:t>[</w:t>
      </w:r>
      <w:r w:rsidRPr="001F338C">
        <w:rPr>
          <w:sz w:val="24"/>
          <w:szCs w:val="22"/>
          <w:lang w:val="it-IT"/>
          <w:rPrChange w:id="79" w:author="Daniele" w:date="2016-04-03T18:31:00Z">
            <w:rPr>
              <w:sz w:val="24"/>
              <w:szCs w:val="22"/>
            </w:rPr>
          </w:rPrChange>
        </w:rPr>
        <w:t>2007</w:t>
      </w:r>
      <w:r w:rsidR="001123EC" w:rsidRPr="001F338C">
        <w:rPr>
          <w:sz w:val="24"/>
          <w:szCs w:val="22"/>
          <w:lang w:val="it-IT"/>
          <w:rPrChange w:id="80" w:author="Daniele" w:date="2016-04-03T18:31:00Z">
            <w:rPr>
              <w:sz w:val="24"/>
              <w:szCs w:val="22"/>
            </w:rPr>
          </w:rPrChange>
        </w:rPr>
        <w:t>],</w:t>
      </w:r>
      <w:r w:rsidRPr="001F338C">
        <w:rPr>
          <w:sz w:val="24"/>
          <w:szCs w:val="22"/>
          <w:lang w:val="it-IT"/>
          <w:rPrChange w:id="81" w:author="Daniele" w:date="2016-04-03T18:31:00Z">
            <w:rPr>
              <w:sz w:val="24"/>
              <w:szCs w:val="22"/>
            </w:rPr>
          </w:rPrChange>
        </w:rPr>
        <w:t xml:space="preserve"> </w:t>
      </w:r>
      <w:r w:rsidRPr="001F338C">
        <w:rPr>
          <w:i/>
          <w:sz w:val="24"/>
          <w:lang w:val="it-IT"/>
          <w:rPrChange w:id="82" w:author="Daniele" w:date="2016-04-03T18:31:00Z">
            <w:rPr>
              <w:i/>
              <w:sz w:val="24"/>
            </w:rPr>
          </w:rPrChange>
        </w:rPr>
        <w:t>Renna and Tribuzi</w:t>
      </w:r>
      <w:r w:rsidR="001123EC" w:rsidRPr="001F338C">
        <w:rPr>
          <w:i/>
          <w:sz w:val="24"/>
          <w:lang w:val="it-IT"/>
          <w:rPrChange w:id="83" w:author="Daniele" w:date="2016-04-03T18:31:00Z">
            <w:rPr>
              <w:i/>
              <w:sz w:val="24"/>
            </w:rPr>
          </w:rPrChange>
        </w:rPr>
        <w:t>o</w:t>
      </w:r>
      <w:r w:rsidRPr="001F338C">
        <w:rPr>
          <w:sz w:val="24"/>
          <w:lang w:val="it-IT"/>
          <w:rPrChange w:id="84" w:author="Daniele" w:date="2016-04-03T18:31:00Z">
            <w:rPr>
              <w:sz w:val="24"/>
            </w:rPr>
          </w:rPrChange>
        </w:rPr>
        <w:t xml:space="preserve"> </w:t>
      </w:r>
      <w:r w:rsidR="001123EC" w:rsidRPr="001F338C">
        <w:rPr>
          <w:sz w:val="24"/>
          <w:lang w:val="it-IT"/>
          <w:rPrChange w:id="85" w:author="Daniele" w:date="2016-04-03T18:31:00Z">
            <w:rPr>
              <w:sz w:val="24"/>
            </w:rPr>
          </w:rPrChange>
        </w:rPr>
        <w:t>[</w:t>
      </w:r>
      <w:r w:rsidRPr="001F338C">
        <w:rPr>
          <w:sz w:val="24"/>
          <w:lang w:val="it-IT"/>
          <w:rPrChange w:id="86" w:author="Daniele" w:date="2016-04-03T18:31:00Z">
            <w:rPr>
              <w:sz w:val="24"/>
            </w:rPr>
          </w:rPrChange>
        </w:rPr>
        <w:t>2011</w:t>
      </w:r>
      <w:r w:rsidR="001123EC" w:rsidRPr="001F338C">
        <w:rPr>
          <w:sz w:val="24"/>
          <w:lang w:val="it-IT"/>
          <w:rPrChange w:id="87" w:author="Daniele" w:date="2016-04-03T18:31:00Z">
            <w:rPr>
              <w:sz w:val="24"/>
            </w:rPr>
          </w:rPrChange>
        </w:rPr>
        <w:t>]</w:t>
      </w:r>
      <w:r w:rsidRPr="001F338C">
        <w:rPr>
          <w:sz w:val="24"/>
          <w:lang w:val="it-IT"/>
          <w:rPrChange w:id="88" w:author="Daniele" w:date="2016-04-03T18:31:00Z">
            <w:rPr>
              <w:sz w:val="24"/>
            </w:rPr>
          </w:rPrChange>
        </w:rPr>
        <w:t>) locat</w:t>
      </w:r>
      <w:bookmarkStart w:id="89" w:name="_GoBack"/>
      <w:bookmarkEnd w:id="89"/>
      <w:r w:rsidRPr="001F338C">
        <w:rPr>
          <w:sz w:val="24"/>
          <w:lang w:val="it-IT"/>
          <w:rPrChange w:id="90" w:author="Daniele" w:date="2016-04-03T18:31:00Z">
            <w:rPr>
              <w:sz w:val="24"/>
            </w:rPr>
          </w:rPrChange>
        </w:rPr>
        <w:t xml:space="preserve">ions. </w:t>
      </w:r>
      <w:r w:rsidRPr="00022B05">
        <w:rPr>
          <w:sz w:val="24"/>
        </w:rPr>
        <w:t>This suggests that the available plagioclase/liquid partition coefficients are</w:t>
      </w:r>
      <w:r w:rsidR="000C65EF">
        <w:rPr>
          <w:sz w:val="24"/>
        </w:rPr>
        <w:t xml:space="preserve"> possibly</w:t>
      </w:r>
      <w:r w:rsidRPr="00022B05">
        <w:rPr>
          <w:sz w:val="24"/>
        </w:rPr>
        <w:t xml:space="preserve"> not appropriate for HREE.</w:t>
      </w:r>
    </w:p>
    <w:p w14:paraId="78CB25DC" w14:textId="77777777" w:rsidR="00A77132" w:rsidRPr="00022B05" w:rsidRDefault="00A77132" w:rsidP="008E3798">
      <w:pPr>
        <w:widowControl w:val="0"/>
        <w:autoSpaceDE w:val="0"/>
        <w:autoSpaceDN w:val="0"/>
        <w:adjustRightInd w:val="0"/>
        <w:spacing w:after="240" w:line="260" w:lineRule="atLeast"/>
        <w:jc w:val="both"/>
        <w:rPr>
          <w:sz w:val="24"/>
        </w:rPr>
      </w:pPr>
    </w:p>
    <w:p w14:paraId="309EC7D1" w14:textId="055DA393" w:rsidR="008E3798" w:rsidRDefault="00A77132" w:rsidP="008E3798">
      <w:pPr>
        <w:widowControl w:val="0"/>
        <w:autoSpaceDE w:val="0"/>
        <w:autoSpaceDN w:val="0"/>
        <w:adjustRightInd w:val="0"/>
        <w:spacing w:after="240" w:line="260" w:lineRule="atLeast"/>
        <w:jc w:val="both"/>
        <w:rPr>
          <w:sz w:val="36"/>
        </w:rPr>
      </w:pPr>
      <w:r>
        <w:rPr>
          <w:noProof/>
          <w:sz w:val="36"/>
          <w:lang w:val="en-GB" w:eastAsia="en-GB"/>
        </w:rPr>
        <w:drawing>
          <wp:inline distT="0" distB="0" distL="0" distR="0" wp14:anchorId="3C2C1086" wp14:editId="2B9B1D98">
            <wp:extent cx="4104640" cy="2286000"/>
            <wp:effectExtent l="0" t="0" r="10160" b="0"/>
            <wp:docPr id="12" name="Image 12" descr="Sans titre:Users:MarinePaquet:Documents:PhD:Sujet Basaltes - Stage M2:Papiers:Majeurs &amp; Traces:Figures:REE_liquides_prédits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ans titre:Users:MarinePaquet:Documents:PhD:Sujet Basaltes - Stage M2:Papiers:Majeurs &amp; Traces:Figures:REE_liquides_prédits_final.jpg"/>
                    <pic:cNvPicPr>
                      <a:picLocks noChangeAspect="1" noChangeArrowheads="1"/>
                    </pic:cNvPicPr>
                  </pic:nvPicPr>
                  <pic:blipFill rotWithShape="1">
                    <a:blip r:embed="rId25">
                      <a:extLst>
                        <a:ext uri="{28A0092B-C50C-407E-A947-70E740481C1C}">
                          <a14:useLocalDpi xmlns:a14="http://schemas.microsoft.com/office/drawing/2010/main" val="0"/>
                        </a:ext>
                      </a:extLst>
                    </a:blip>
                    <a:srcRect l="28873" t="72154"/>
                    <a:stretch/>
                  </pic:blipFill>
                  <pic:spPr bwMode="auto">
                    <a:xfrm>
                      <a:off x="0" y="0"/>
                      <a:ext cx="4104640" cy="2286000"/>
                    </a:xfrm>
                    <a:prstGeom prst="rect">
                      <a:avLst/>
                    </a:prstGeom>
                    <a:noFill/>
                    <a:ln>
                      <a:noFill/>
                    </a:ln>
                    <a:extLst>
                      <a:ext uri="{53640926-AAD7-44D8-BBD7-CCE9431645EC}">
                        <a14:shadowObscured xmlns:a14="http://schemas.microsoft.com/office/drawing/2010/main"/>
                      </a:ext>
                    </a:extLst>
                  </pic:spPr>
                </pic:pic>
              </a:graphicData>
            </a:graphic>
          </wp:inline>
        </w:drawing>
      </w:r>
    </w:p>
    <w:p w14:paraId="2DDFAB86" w14:textId="462724C6" w:rsidR="001A2E97" w:rsidRPr="00A77132" w:rsidRDefault="00A77132" w:rsidP="008E3798">
      <w:pPr>
        <w:widowControl w:val="0"/>
        <w:autoSpaceDE w:val="0"/>
        <w:autoSpaceDN w:val="0"/>
        <w:adjustRightInd w:val="0"/>
        <w:spacing w:after="240" w:line="260" w:lineRule="atLeast"/>
        <w:jc w:val="both"/>
        <w:rPr>
          <w:sz w:val="44"/>
        </w:rPr>
      </w:pPr>
      <w:proofErr w:type="gramStart"/>
      <w:r w:rsidRPr="00AC4D88">
        <w:rPr>
          <w:b/>
          <w:sz w:val="24"/>
        </w:rPr>
        <w:t xml:space="preserve">Figure </w:t>
      </w:r>
      <w:r>
        <w:rPr>
          <w:b/>
          <w:sz w:val="24"/>
        </w:rPr>
        <w:t>12</w:t>
      </w:r>
      <w:r w:rsidRPr="00AC4D88">
        <w:rPr>
          <w:sz w:val="24"/>
        </w:rPr>
        <w:t>.</w:t>
      </w:r>
      <w:proofErr w:type="gramEnd"/>
      <w:r>
        <w:rPr>
          <w:sz w:val="24"/>
        </w:rPr>
        <w:t xml:space="preserve"> </w:t>
      </w:r>
      <w:r w:rsidRPr="00A77132">
        <w:rPr>
          <w:sz w:val="24"/>
        </w:rPr>
        <w:t xml:space="preserve">Chondrite-normalized REE concentrations in melts calculated to be in equilibrium with the clinopyroxenes and plagioclases (clinopyroxene/liquid partition coefficients from </w:t>
      </w:r>
      <w:r w:rsidRPr="00A77132">
        <w:rPr>
          <w:i/>
          <w:sz w:val="24"/>
        </w:rPr>
        <w:t>Lee et al.</w:t>
      </w:r>
      <w:r w:rsidRPr="00A77132">
        <w:rPr>
          <w:sz w:val="24"/>
        </w:rPr>
        <w:t xml:space="preserve"> </w:t>
      </w:r>
      <w:r>
        <w:rPr>
          <w:sz w:val="24"/>
        </w:rPr>
        <w:t>[</w:t>
      </w:r>
      <w:r w:rsidRPr="00A77132">
        <w:rPr>
          <w:sz w:val="24"/>
        </w:rPr>
        <w:t>2007</w:t>
      </w:r>
      <w:r>
        <w:rPr>
          <w:sz w:val="24"/>
        </w:rPr>
        <w:t>]</w:t>
      </w:r>
      <w:r w:rsidRPr="00A77132">
        <w:rPr>
          <w:sz w:val="24"/>
        </w:rPr>
        <w:t xml:space="preserve">; plagioclase/liquid partition coefficients from </w:t>
      </w:r>
      <w:r w:rsidRPr="00A77132">
        <w:rPr>
          <w:i/>
          <w:sz w:val="24"/>
        </w:rPr>
        <w:t>Bédard et al.</w:t>
      </w:r>
      <w:r w:rsidRPr="00A77132">
        <w:rPr>
          <w:sz w:val="24"/>
        </w:rPr>
        <w:t xml:space="preserve"> </w:t>
      </w:r>
      <w:r>
        <w:rPr>
          <w:sz w:val="24"/>
        </w:rPr>
        <w:t>[</w:t>
      </w:r>
      <w:r w:rsidRPr="00A77132">
        <w:rPr>
          <w:sz w:val="24"/>
        </w:rPr>
        <w:t>1994</w:t>
      </w:r>
      <w:r>
        <w:rPr>
          <w:sz w:val="24"/>
        </w:rPr>
        <w:t>]</w:t>
      </w:r>
      <w:r w:rsidRPr="00A77132">
        <w:rPr>
          <w:sz w:val="24"/>
        </w:rPr>
        <w:t xml:space="preserve">). </w:t>
      </w:r>
      <w:proofErr w:type="gramStart"/>
      <w:r w:rsidRPr="00A77132">
        <w:rPr>
          <w:sz w:val="24"/>
        </w:rPr>
        <w:t xml:space="preserve">Normalizing values of </w:t>
      </w:r>
      <w:r w:rsidRPr="00A77132">
        <w:rPr>
          <w:i/>
          <w:sz w:val="24"/>
        </w:rPr>
        <w:t>McDonough and Sun</w:t>
      </w:r>
      <w:r>
        <w:rPr>
          <w:sz w:val="24"/>
        </w:rPr>
        <w:t xml:space="preserve"> [1995]</w:t>
      </w:r>
      <w:r w:rsidRPr="00A77132">
        <w:rPr>
          <w:sz w:val="24"/>
        </w:rPr>
        <w:t>.</w:t>
      </w:r>
      <w:proofErr w:type="gramEnd"/>
      <w:r w:rsidRPr="00A77132">
        <w:rPr>
          <w:sz w:val="24"/>
        </w:rPr>
        <w:t xml:space="preserve"> The field of ultramafic seafloor basalts (Figure 4a) is shown for comparison.</w:t>
      </w:r>
    </w:p>
    <w:p w14:paraId="24785A5E" w14:textId="77777777" w:rsidR="00A77132" w:rsidRPr="00022B05" w:rsidRDefault="00A77132" w:rsidP="008E3798">
      <w:pPr>
        <w:widowControl w:val="0"/>
        <w:autoSpaceDE w:val="0"/>
        <w:autoSpaceDN w:val="0"/>
        <w:adjustRightInd w:val="0"/>
        <w:spacing w:after="240" w:line="260" w:lineRule="atLeast"/>
        <w:jc w:val="both"/>
        <w:rPr>
          <w:sz w:val="36"/>
        </w:rPr>
      </w:pPr>
    </w:p>
    <w:p w14:paraId="24F01EAA" w14:textId="16416805" w:rsidR="001D4A1B" w:rsidRPr="00022B05" w:rsidRDefault="008A10A8" w:rsidP="00C81368">
      <w:pPr>
        <w:pStyle w:val="Heading-Main"/>
      </w:pPr>
      <w:r>
        <w:t>6</w:t>
      </w:r>
      <w:r w:rsidR="00D76A65" w:rsidRPr="00022B05">
        <w:t xml:space="preserve"> </w:t>
      </w:r>
      <w:proofErr w:type="gramStart"/>
      <w:r w:rsidR="008E3798" w:rsidRPr="00022B05">
        <w:t>Discussion</w:t>
      </w:r>
      <w:proofErr w:type="gramEnd"/>
    </w:p>
    <w:p w14:paraId="3A9A31B3" w14:textId="2297915F" w:rsidR="008A10A8" w:rsidRDefault="008A10A8" w:rsidP="008A10A8">
      <w:pPr>
        <w:spacing w:after="120"/>
        <w:jc w:val="both"/>
        <w:rPr>
          <w:rStyle w:val="Strong"/>
          <w:b w:val="0"/>
          <w:sz w:val="24"/>
          <w:szCs w:val="24"/>
        </w:rPr>
      </w:pPr>
      <w:r w:rsidRPr="00022B05">
        <w:rPr>
          <w:sz w:val="24"/>
          <w:szCs w:val="24"/>
        </w:rPr>
        <w:tab/>
        <w:t xml:space="preserve">In this study we </w:t>
      </w:r>
      <w:r>
        <w:rPr>
          <w:sz w:val="24"/>
          <w:szCs w:val="24"/>
        </w:rPr>
        <w:t xml:space="preserve">have </w:t>
      </w:r>
      <w:r w:rsidRPr="00022B05">
        <w:rPr>
          <w:sz w:val="24"/>
          <w:szCs w:val="24"/>
        </w:rPr>
        <w:t>show</w:t>
      </w:r>
      <w:r>
        <w:rPr>
          <w:sz w:val="24"/>
          <w:szCs w:val="24"/>
        </w:rPr>
        <w:t>n</w:t>
      </w:r>
      <w:r w:rsidRPr="00022B05">
        <w:rPr>
          <w:rStyle w:val="Strong"/>
          <w:b w:val="0"/>
          <w:sz w:val="24"/>
          <w:szCs w:val="24"/>
        </w:rPr>
        <w:t xml:space="preserve"> that most </w:t>
      </w:r>
      <w:r w:rsidRPr="00022B05">
        <w:rPr>
          <w:sz w:val="24"/>
          <w:szCs w:val="24"/>
        </w:rPr>
        <w:t>basalts dredged from the sparse volcanic cover of the</w:t>
      </w:r>
      <w:r>
        <w:rPr>
          <w:sz w:val="24"/>
          <w:szCs w:val="24"/>
        </w:rPr>
        <w:t xml:space="preserve"> nearly amagmatic</w:t>
      </w:r>
      <w:r w:rsidRPr="00022B05">
        <w:rPr>
          <w:sz w:val="24"/>
          <w:szCs w:val="24"/>
        </w:rPr>
        <w:t xml:space="preserve"> corridors ("ultramafic seafloor basalts")</w:t>
      </w:r>
      <w:r w:rsidRPr="00022B05">
        <w:rPr>
          <w:rStyle w:val="Strong"/>
          <w:b w:val="0"/>
          <w:sz w:val="24"/>
          <w:szCs w:val="24"/>
        </w:rPr>
        <w:t xml:space="preserve"> have </w:t>
      </w:r>
      <w:r w:rsidRPr="00022B05">
        <w:rPr>
          <w:sz w:val="24"/>
          <w:szCs w:val="24"/>
        </w:rPr>
        <w:t>significantly lower CaO contents at a given MgO (Figure 3b)</w:t>
      </w:r>
      <w:r>
        <w:rPr>
          <w:sz w:val="24"/>
          <w:szCs w:val="24"/>
        </w:rPr>
        <w:t xml:space="preserve"> </w:t>
      </w:r>
      <w:r w:rsidRPr="00022B05">
        <w:rPr>
          <w:sz w:val="24"/>
          <w:szCs w:val="24"/>
        </w:rPr>
        <w:t>than most basalts dredged from the intervening, more volcanically active domain</w:t>
      </w:r>
      <w:r w:rsidR="00F56832">
        <w:rPr>
          <w:sz w:val="24"/>
          <w:szCs w:val="24"/>
        </w:rPr>
        <w:t>s ("volcanic seafloor basalts")</w:t>
      </w:r>
      <w:r w:rsidRPr="00022B05">
        <w:rPr>
          <w:sz w:val="24"/>
          <w:szCs w:val="24"/>
        </w:rPr>
        <w:t xml:space="preserve">. </w:t>
      </w:r>
      <w:r>
        <w:rPr>
          <w:sz w:val="24"/>
          <w:szCs w:val="24"/>
        </w:rPr>
        <w:t>Ultramafic seafloor basalts</w:t>
      </w:r>
      <w:r w:rsidRPr="00022B05">
        <w:rPr>
          <w:sz w:val="24"/>
          <w:szCs w:val="24"/>
        </w:rPr>
        <w:t xml:space="preserve"> also tend to have higher Na</w:t>
      </w:r>
      <w:r w:rsidRPr="00022B05">
        <w:rPr>
          <w:sz w:val="24"/>
          <w:szCs w:val="24"/>
          <w:vertAlign w:val="subscript"/>
        </w:rPr>
        <w:t>2</w:t>
      </w:r>
      <w:r w:rsidRPr="00022B05">
        <w:rPr>
          <w:sz w:val="24"/>
          <w:szCs w:val="24"/>
        </w:rPr>
        <w:t>O and TiO</w:t>
      </w:r>
      <w:r w:rsidRPr="00022B05">
        <w:rPr>
          <w:sz w:val="24"/>
          <w:szCs w:val="24"/>
          <w:vertAlign w:val="subscript"/>
        </w:rPr>
        <w:t>2</w:t>
      </w:r>
      <w:r w:rsidRPr="00022B05">
        <w:rPr>
          <w:sz w:val="24"/>
          <w:szCs w:val="24"/>
        </w:rPr>
        <w:t xml:space="preserve"> contents (Figure</w:t>
      </w:r>
      <w:r w:rsidR="00F56832">
        <w:rPr>
          <w:sz w:val="24"/>
          <w:szCs w:val="24"/>
        </w:rPr>
        <w:t>s</w:t>
      </w:r>
      <w:r w:rsidRPr="00022B05">
        <w:rPr>
          <w:sz w:val="24"/>
          <w:szCs w:val="24"/>
        </w:rPr>
        <w:t xml:space="preserve"> 3a and f), and lower Al</w:t>
      </w:r>
      <w:r w:rsidRPr="00022B05">
        <w:rPr>
          <w:sz w:val="24"/>
          <w:szCs w:val="24"/>
          <w:vertAlign w:val="subscript"/>
        </w:rPr>
        <w:t>2</w:t>
      </w:r>
      <w:r w:rsidRPr="00022B05">
        <w:rPr>
          <w:sz w:val="24"/>
          <w:szCs w:val="24"/>
        </w:rPr>
        <w:t>O</w:t>
      </w:r>
      <w:r w:rsidRPr="00022B05">
        <w:rPr>
          <w:sz w:val="24"/>
          <w:szCs w:val="24"/>
          <w:vertAlign w:val="subscript"/>
        </w:rPr>
        <w:t>3</w:t>
      </w:r>
      <w:r w:rsidRPr="00022B05">
        <w:rPr>
          <w:sz w:val="24"/>
          <w:szCs w:val="24"/>
        </w:rPr>
        <w:t xml:space="preserve"> and FeO contents (Figure</w:t>
      </w:r>
      <w:r w:rsidR="00F56832">
        <w:rPr>
          <w:sz w:val="24"/>
          <w:szCs w:val="24"/>
        </w:rPr>
        <w:t>s</w:t>
      </w:r>
      <w:r w:rsidRPr="00022B05">
        <w:rPr>
          <w:sz w:val="24"/>
          <w:szCs w:val="24"/>
        </w:rPr>
        <w:t xml:space="preserve"> 3c and d) at a given MgO content. These characteristics cannot be collectively explained by invoking a lower degree of mantle melting beneath the nearly amagmatic spreading corridors: Na</w:t>
      </w:r>
      <w:r w:rsidRPr="00022B05">
        <w:rPr>
          <w:sz w:val="24"/>
          <w:szCs w:val="24"/>
          <w:vertAlign w:val="subscript"/>
        </w:rPr>
        <w:t>2</w:t>
      </w:r>
      <w:r w:rsidRPr="00022B05">
        <w:rPr>
          <w:sz w:val="24"/>
          <w:szCs w:val="24"/>
        </w:rPr>
        <w:t>O and TiO</w:t>
      </w:r>
      <w:r w:rsidRPr="00022B05">
        <w:rPr>
          <w:sz w:val="24"/>
          <w:szCs w:val="24"/>
          <w:vertAlign w:val="subscript"/>
        </w:rPr>
        <w:t>2</w:t>
      </w:r>
      <w:r w:rsidRPr="00022B05">
        <w:rPr>
          <w:sz w:val="24"/>
          <w:szCs w:val="24"/>
        </w:rPr>
        <w:t xml:space="preserve"> contents would then indeed be higher, but so would Al</w:t>
      </w:r>
      <w:r w:rsidRPr="00022B05">
        <w:rPr>
          <w:sz w:val="24"/>
          <w:szCs w:val="24"/>
          <w:vertAlign w:val="subscript"/>
        </w:rPr>
        <w:t>2</w:t>
      </w:r>
      <w:r w:rsidRPr="00022B05">
        <w:rPr>
          <w:sz w:val="24"/>
          <w:szCs w:val="24"/>
        </w:rPr>
        <w:t>O</w:t>
      </w:r>
      <w:r w:rsidRPr="00022B05">
        <w:rPr>
          <w:sz w:val="24"/>
          <w:szCs w:val="24"/>
          <w:vertAlign w:val="subscript"/>
        </w:rPr>
        <w:t>3</w:t>
      </w:r>
      <w:r w:rsidRPr="00022B05">
        <w:rPr>
          <w:sz w:val="24"/>
          <w:szCs w:val="24"/>
        </w:rPr>
        <w:t xml:space="preserve"> contents. </w:t>
      </w:r>
      <w:r w:rsidR="00F45852">
        <w:rPr>
          <w:sz w:val="24"/>
          <w:szCs w:val="24"/>
        </w:rPr>
        <w:t>Moreover, u</w:t>
      </w:r>
      <w:r w:rsidRPr="00022B05">
        <w:rPr>
          <w:sz w:val="24"/>
          <w:szCs w:val="24"/>
        </w:rPr>
        <w:t xml:space="preserve">ltramafic seafloor </w:t>
      </w:r>
      <w:r w:rsidRPr="00022B05">
        <w:rPr>
          <w:rStyle w:val="Strong"/>
          <w:b w:val="0"/>
          <w:sz w:val="24"/>
          <w:szCs w:val="24"/>
        </w:rPr>
        <w:t>basalts also have isotopic and trace element compositions similar to most volcanic seafloor basalts (Table</w:t>
      </w:r>
      <w:r>
        <w:rPr>
          <w:rStyle w:val="Strong"/>
          <w:b w:val="0"/>
          <w:sz w:val="24"/>
          <w:szCs w:val="24"/>
        </w:rPr>
        <w:t>s</w:t>
      </w:r>
      <w:r w:rsidRPr="00022B05">
        <w:rPr>
          <w:rStyle w:val="Strong"/>
          <w:b w:val="0"/>
          <w:sz w:val="24"/>
          <w:szCs w:val="24"/>
        </w:rPr>
        <w:t xml:space="preserve"> </w:t>
      </w:r>
      <w:r>
        <w:rPr>
          <w:rStyle w:val="Strong"/>
          <w:b w:val="0"/>
          <w:sz w:val="24"/>
          <w:szCs w:val="24"/>
        </w:rPr>
        <w:t>2 and 3,</w:t>
      </w:r>
      <w:r w:rsidRPr="00022B05">
        <w:rPr>
          <w:rStyle w:val="Strong"/>
          <w:b w:val="0"/>
          <w:sz w:val="24"/>
          <w:szCs w:val="24"/>
        </w:rPr>
        <w:t xml:space="preserve"> and Figure 4)</w:t>
      </w:r>
      <w:r w:rsidR="00F45852">
        <w:rPr>
          <w:rStyle w:val="Strong"/>
          <w:b w:val="0"/>
          <w:sz w:val="24"/>
          <w:szCs w:val="24"/>
        </w:rPr>
        <w:t xml:space="preserve">, which is </w:t>
      </w:r>
      <w:r w:rsidRPr="00022B05">
        <w:rPr>
          <w:rStyle w:val="Strong"/>
          <w:b w:val="0"/>
          <w:sz w:val="24"/>
          <w:szCs w:val="24"/>
        </w:rPr>
        <w:t>consistent with the idea that these two groups of basalts derive from similar degrees of melting of a common mantle source.</w:t>
      </w:r>
    </w:p>
    <w:p w14:paraId="483B0B18" w14:textId="36523E66" w:rsidR="008E3798" w:rsidRPr="00022B05" w:rsidRDefault="008E3798" w:rsidP="008A10A8">
      <w:pPr>
        <w:spacing w:after="120"/>
        <w:jc w:val="both"/>
        <w:rPr>
          <w:sz w:val="24"/>
          <w:szCs w:val="24"/>
        </w:rPr>
      </w:pPr>
      <w:r w:rsidRPr="00022B05">
        <w:rPr>
          <w:rStyle w:val="Strong"/>
          <w:b w:val="0"/>
          <w:sz w:val="24"/>
          <w:szCs w:val="24"/>
        </w:rPr>
        <w:tab/>
        <w:t xml:space="preserve">We also examined the petrology and chemistry of </w:t>
      </w:r>
      <w:r w:rsidRPr="00022B05">
        <w:rPr>
          <w:sz w:val="24"/>
          <w:szCs w:val="24"/>
        </w:rPr>
        <w:t xml:space="preserve">plagioclase-bearing ultramafic and gabbroic rocks dredged at several locations in the nearly amagmatic spreading corridors (Figure 1). </w:t>
      </w:r>
      <w:r w:rsidR="008A10A8" w:rsidRPr="00022B05">
        <w:rPr>
          <w:rStyle w:val="Strong"/>
          <w:b w:val="0"/>
          <w:sz w:val="24"/>
          <w:szCs w:val="24"/>
        </w:rPr>
        <w:t>The</w:t>
      </w:r>
      <w:r w:rsidR="008A10A8">
        <w:rPr>
          <w:rStyle w:val="Strong"/>
          <w:b w:val="0"/>
          <w:sz w:val="24"/>
          <w:szCs w:val="24"/>
        </w:rPr>
        <w:t>se</w:t>
      </w:r>
      <w:r w:rsidR="008A10A8" w:rsidRPr="00022B05">
        <w:rPr>
          <w:rStyle w:val="Strong"/>
          <w:b w:val="0"/>
          <w:sz w:val="24"/>
          <w:szCs w:val="24"/>
        </w:rPr>
        <w:t xml:space="preserve"> samples </w:t>
      </w:r>
      <w:r w:rsidR="008A10A8">
        <w:rPr>
          <w:rStyle w:val="Strong"/>
          <w:b w:val="0"/>
          <w:sz w:val="24"/>
          <w:szCs w:val="24"/>
        </w:rPr>
        <w:t xml:space="preserve">represent a small fraction of the rocks dredged in these corridors (4% in volume; </w:t>
      </w:r>
      <w:r w:rsidR="008A10A8" w:rsidRPr="00F45852">
        <w:rPr>
          <w:rStyle w:val="Strong"/>
          <w:b w:val="0"/>
          <w:i/>
          <w:sz w:val="24"/>
          <w:szCs w:val="24"/>
        </w:rPr>
        <w:t>Sauter et al.</w:t>
      </w:r>
      <w:r w:rsidR="008A10A8">
        <w:rPr>
          <w:rStyle w:val="Strong"/>
          <w:b w:val="0"/>
          <w:sz w:val="24"/>
          <w:szCs w:val="24"/>
        </w:rPr>
        <w:t>, [2013]). They</w:t>
      </w:r>
      <w:r w:rsidRPr="00022B05">
        <w:rPr>
          <w:rStyle w:val="Strong"/>
          <w:b w:val="0"/>
          <w:sz w:val="24"/>
          <w:szCs w:val="24"/>
        </w:rPr>
        <w:t xml:space="preserve"> show impregnation and melt-rock reaction textures such as interstitial plagioclase lenses, rims of secondary orthopyroxene between olivine and plagioclase (Figure 7e), replacement of primary orthopyroxene by clinopyroxene (Figures 7b, c and d), and clinopyroxenes with plagioclase and orthopyroxene inclusions. Olivines and orthopyroxenes have major and trace compositions similar to those measured in plagioclase-free residual lherzolites and </w:t>
      </w:r>
      <w:r w:rsidR="00D405E7" w:rsidRPr="00022B05">
        <w:rPr>
          <w:rStyle w:val="Strong"/>
          <w:b w:val="0"/>
          <w:sz w:val="24"/>
          <w:szCs w:val="24"/>
        </w:rPr>
        <w:t>websterites of the same region [</w:t>
      </w:r>
      <w:r w:rsidRPr="00022B05">
        <w:rPr>
          <w:rStyle w:val="Strong"/>
          <w:b w:val="0"/>
          <w:i/>
          <w:sz w:val="24"/>
          <w:szCs w:val="24"/>
        </w:rPr>
        <w:t>Seyler et al.</w:t>
      </w:r>
      <w:r w:rsidRPr="00022B05">
        <w:rPr>
          <w:rStyle w:val="Strong"/>
          <w:b w:val="0"/>
          <w:sz w:val="24"/>
          <w:szCs w:val="24"/>
        </w:rPr>
        <w:t xml:space="preserve">, 2003, 2011; </w:t>
      </w:r>
      <w:r w:rsidRPr="00022B05">
        <w:rPr>
          <w:rStyle w:val="Strong"/>
          <w:b w:val="0"/>
          <w:i/>
          <w:sz w:val="24"/>
          <w:szCs w:val="24"/>
        </w:rPr>
        <w:t>Brunelli et al.</w:t>
      </w:r>
      <w:r w:rsidR="00D405E7" w:rsidRPr="00022B05">
        <w:rPr>
          <w:rStyle w:val="Strong"/>
          <w:b w:val="0"/>
          <w:sz w:val="24"/>
          <w:szCs w:val="24"/>
        </w:rPr>
        <w:t>, 2014]</w:t>
      </w:r>
      <w:r w:rsidRPr="00022B05">
        <w:rPr>
          <w:rStyle w:val="Strong"/>
          <w:b w:val="0"/>
          <w:sz w:val="24"/>
          <w:szCs w:val="24"/>
        </w:rPr>
        <w:t>. Clinopyroxenes by contrast have LREE-enriched trace element compositions (Figure 11a). Melts calculated to be in equilibrium with these clinopyroxenes have trace element compositions similar to those of the basalts (Figure 12).</w:t>
      </w:r>
    </w:p>
    <w:p w14:paraId="1646C007" w14:textId="566477AA" w:rsidR="008E3798" w:rsidRPr="00022B05" w:rsidRDefault="008E3798" w:rsidP="008E3798">
      <w:pPr>
        <w:tabs>
          <w:tab w:val="left" w:pos="912"/>
        </w:tabs>
        <w:spacing w:after="120"/>
        <w:jc w:val="both"/>
        <w:rPr>
          <w:sz w:val="24"/>
          <w:szCs w:val="24"/>
        </w:rPr>
      </w:pPr>
      <w:r w:rsidRPr="00022B05">
        <w:rPr>
          <w:sz w:val="24"/>
          <w:szCs w:val="24"/>
        </w:rPr>
        <w:tab/>
      </w:r>
      <w:r w:rsidRPr="00022B05">
        <w:rPr>
          <w:rStyle w:val="Strong"/>
          <w:b w:val="0"/>
          <w:sz w:val="24"/>
          <w:szCs w:val="24"/>
        </w:rPr>
        <w:t xml:space="preserve">In the first part of the discussion we propose that the differences in major element composition between ultramafic and volcanic seafloor basalts could result from different degrees of </w:t>
      </w:r>
      <w:r w:rsidRPr="00022B05">
        <w:rPr>
          <w:sz w:val="24"/>
          <w:szCs w:val="24"/>
        </w:rPr>
        <w:t>reaction between plagioclase-free residual lherzolites and websterites and a common parental melt. We also discuss the implications of this hypothesis in terms of the ridge's magma plumbing system. Being aware that the 61°-67°E region of the SWIR represents a very low melt budget end-member for mid-ocean ridges, we then introduce a discussion of the extent to which our observations in this region may be significant for other, more magmatically active ridges.</w:t>
      </w:r>
    </w:p>
    <w:p w14:paraId="627930DA" w14:textId="2680446C" w:rsidR="008E3798" w:rsidRPr="00022B05" w:rsidRDefault="0087369A" w:rsidP="008E3798">
      <w:pPr>
        <w:pStyle w:val="Heading-Secondary"/>
      </w:pPr>
      <w:r>
        <w:t>6</w:t>
      </w:r>
      <w:r w:rsidR="008E3798" w:rsidRPr="00022B05">
        <w:t>.1 A mass balance model of the effect of melt-rock interactions on the major element composition of ultramafic seafloor basalts</w:t>
      </w:r>
    </w:p>
    <w:p w14:paraId="788F7681" w14:textId="13F4CA0A" w:rsidR="008E3798" w:rsidRPr="00022B05" w:rsidRDefault="008E3798" w:rsidP="008E3798">
      <w:pPr>
        <w:tabs>
          <w:tab w:val="left" w:pos="912"/>
        </w:tabs>
        <w:spacing w:after="120"/>
        <w:jc w:val="both"/>
        <w:rPr>
          <w:sz w:val="24"/>
          <w:szCs w:val="24"/>
        </w:rPr>
      </w:pPr>
      <w:r w:rsidRPr="00022B05">
        <w:rPr>
          <w:bCs/>
          <w:sz w:val="24"/>
          <w:szCs w:val="24"/>
        </w:rPr>
        <w:tab/>
        <w:t xml:space="preserve">Textural relations and mineral chemistry in the </w:t>
      </w:r>
      <w:r w:rsidRPr="00022B05">
        <w:rPr>
          <w:sz w:val="24"/>
          <w:szCs w:val="24"/>
        </w:rPr>
        <w:t>plagioclase-bearing ultramafic and gabbroic sample suite indicate</w:t>
      </w:r>
      <w:r w:rsidR="00B70905">
        <w:rPr>
          <w:sz w:val="24"/>
          <w:szCs w:val="24"/>
        </w:rPr>
        <w:t xml:space="preserve"> that</w:t>
      </w:r>
      <w:r w:rsidRPr="00022B05">
        <w:rPr>
          <w:sz w:val="24"/>
          <w:szCs w:val="24"/>
        </w:rPr>
        <w:t>:</w:t>
      </w:r>
    </w:p>
    <w:p w14:paraId="32C227D4" w14:textId="17767275" w:rsidR="008E3798" w:rsidRPr="00022B05" w:rsidRDefault="008E3798" w:rsidP="008E3798">
      <w:pPr>
        <w:pStyle w:val="ListParagraph"/>
        <w:numPr>
          <w:ilvl w:val="0"/>
          <w:numId w:val="11"/>
        </w:numPr>
        <w:tabs>
          <w:tab w:val="left" w:pos="912"/>
        </w:tabs>
        <w:spacing w:after="120"/>
        <w:ind w:left="426"/>
        <w:jc w:val="both"/>
        <w:rPr>
          <w:rFonts w:ascii="Times New Roman" w:hAnsi="Times New Roman" w:cs="Times New Roman"/>
          <w:lang w:val="en-US"/>
        </w:rPr>
      </w:pPr>
      <w:proofErr w:type="gramStart"/>
      <w:r w:rsidRPr="00022B05">
        <w:rPr>
          <w:rFonts w:ascii="Times New Roman" w:hAnsi="Times New Roman" w:cs="Times New Roman"/>
          <w:lang w:val="en-US"/>
        </w:rPr>
        <w:t>melt</w:t>
      </w:r>
      <w:proofErr w:type="gramEnd"/>
      <w:r w:rsidRPr="00022B05">
        <w:rPr>
          <w:rFonts w:ascii="Times New Roman" w:hAnsi="Times New Roman" w:cs="Times New Roman"/>
          <w:lang w:val="en-US"/>
        </w:rPr>
        <w:t xml:space="preserve"> infiltration and the resulting melt-rock reactions mostly occurred in centimeter to decimeter-scale </w:t>
      </w:r>
      <w:r w:rsidR="0087369A" w:rsidRPr="00022B05">
        <w:rPr>
          <w:rFonts w:ascii="Times New Roman" w:hAnsi="Times New Roman" w:cs="Times New Roman"/>
          <w:lang w:val="en-US"/>
        </w:rPr>
        <w:t xml:space="preserve">irregular </w:t>
      </w:r>
      <w:r w:rsidR="0087369A">
        <w:rPr>
          <w:rFonts w:ascii="Times New Roman" w:hAnsi="Times New Roman" w:cs="Times New Roman"/>
          <w:lang w:val="en-US"/>
        </w:rPr>
        <w:t>veins and impregnations</w:t>
      </w:r>
      <w:r w:rsidRPr="00022B05">
        <w:rPr>
          <w:rFonts w:ascii="Times New Roman" w:hAnsi="Times New Roman" w:cs="Times New Roman"/>
          <w:lang w:val="en-US"/>
        </w:rPr>
        <w:t xml:space="preserve"> in plagioclase-free lherzolites and websterites. These small scales of melt infiltration are supported by the observation that the transition from plagioclase-free to plagioclase-rich lithologies is commonly observed within a single small sample (for example Figure</w:t>
      </w:r>
      <w:r w:rsidR="00F2478F">
        <w:rPr>
          <w:rFonts w:ascii="Times New Roman" w:hAnsi="Times New Roman" w:cs="Times New Roman"/>
          <w:lang w:val="en-US"/>
        </w:rPr>
        <w:t>s</w:t>
      </w:r>
      <w:r w:rsidRPr="00022B05">
        <w:rPr>
          <w:rFonts w:ascii="Times New Roman" w:hAnsi="Times New Roman" w:cs="Times New Roman"/>
          <w:lang w:val="en-US"/>
        </w:rPr>
        <w:t xml:space="preserve"> 5b and c)</w:t>
      </w:r>
      <w:r w:rsidR="00F2478F">
        <w:rPr>
          <w:rFonts w:ascii="Times New Roman" w:hAnsi="Times New Roman" w:cs="Times New Roman"/>
          <w:lang w:val="en-US"/>
        </w:rPr>
        <w:t>.</w:t>
      </w:r>
    </w:p>
    <w:p w14:paraId="5D7EB852" w14:textId="03FA4C23" w:rsidR="008E3798" w:rsidRPr="00022B05" w:rsidRDefault="008E3798" w:rsidP="008E3798">
      <w:pPr>
        <w:pStyle w:val="ListParagraph"/>
        <w:numPr>
          <w:ilvl w:val="0"/>
          <w:numId w:val="11"/>
        </w:numPr>
        <w:tabs>
          <w:tab w:val="left" w:pos="912"/>
        </w:tabs>
        <w:spacing w:after="120"/>
        <w:ind w:left="426"/>
        <w:jc w:val="both"/>
        <w:rPr>
          <w:rFonts w:ascii="Times New Roman" w:hAnsi="Times New Roman" w:cs="Times New Roman"/>
          <w:bCs/>
          <w:lang w:val="en-US"/>
        </w:rPr>
      </w:pPr>
      <w:proofErr w:type="gramStart"/>
      <w:r w:rsidRPr="00022B05">
        <w:rPr>
          <w:rFonts w:ascii="Times New Roman" w:hAnsi="Times New Roman" w:cs="Times New Roman"/>
          <w:lang w:val="en-US"/>
        </w:rPr>
        <w:lastRenderedPageBreak/>
        <w:t>plagioclase</w:t>
      </w:r>
      <w:proofErr w:type="gramEnd"/>
      <w:r w:rsidRPr="00022B05">
        <w:rPr>
          <w:rFonts w:ascii="Times New Roman" w:hAnsi="Times New Roman" w:cs="Times New Roman"/>
          <w:lang w:val="en-US"/>
        </w:rPr>
        <w:t xml:space="preserve"> and clinopyroxene are the principal mineral products of melt-rock interactions, while olivine, and most orthopyroxene (to the exception of small </w:t>
      </w:r>
      <w:r w:rsidR="00F2478F">
        <w:rPr>
          <w:rFonts w:ascii="Times New Roman" w:hAnsi="Times New Roman" w:cs="Times New Roman"/>
          <w:lang w:val="en-US"/>
        </w:rPr>
        <w:t>orthopyroxenes</w:t>
      </w:r>
      <w:r w:rsidR="00F2478F" w:rsidRPr="00022B05">
        <w:rPr>
          <w:rFonts w:ascii="Times New Roman" w:hAnsi="Times New Roman" w:cs="Times New Roman"/>
          <w:lang w:val="en-US"/>
        </w:rPr>
        <w:t xml:space="preserve"> </w:t>
      </w:r>
      <w:r w:rsidRPr="00022B05">
        <w:rPr>
          <w:rFonts w:ascii="Times New Roman" w:hAnsi="Times New Roman" w:cs="Times New Roman"/>
          <w:lang w:val="en-US"/>
        </w:rPr>
        <w:t xml:space="preserve">in olivine-plagioclase reaction rims; Figure 7e) are relicts of the plagioclase-free protolith. Spinel has </w:t>
      </w:r>
      <w:r w:rsidR="00B70905" w:rsidRPr="003D6C63">
        <w:rPr>
          <w:rFonts w:ascii="Times New Roman" w:hAnsi="Times New Roman" w:cs="Times New Roman"/>
          <w:lang w:val="en-US"/>
        </w:rPr>
        <w:t>am</w:t>
      </w:r>
      <w:r w:rsidR="00B70905">
        <w:rPr>
          <w:rFonts w:ascii="Times New Roman" w:hAnsi="Times New Roman" w:cs="Times New Roman"/>
          <w:lang w:val="en-US"/>
        </w:rPr>
        <w:t>oeb</w:t>
      </w:r>
      <w:r w:rsidR="00B70905" w:rsidRPr="003D6C63">
        <w:rPr>
          <w:rFonts w:ascii="Times New Roman" w:hAnsi="Times New Roman" w:cs="Times New Roman"/>
          <w:lang w:val="en-US"/>
        </w:rPr>
        <w:t xml:space="preserve">oid </w:t>
      </w:r>
      <w:r w:rsidRPr="00022B05">
        <w:rPr>
          <w:rFonts w:ascii="Times New Roman" w:hAnsi="Times New Roman" w:cs="Times New Roman"/>
          <w:lang w:val="en-US"/>
        </w:rPr>
        <w:t>to vermicular shapes, which is texturally different from residual poikilitic spinel in plagioclase-free ultramafic rocks of the same region</w:t>
      </w:r>
      <w:r w:rsidR="0013503F">
        <w:rPr>
          <w:rFonts w:ascii="Times New Roman" w:hAnsi="Times New Roman" w:cs="Times New Roman"/>
          <w:lang w:val="en-US"/>
        </w:rPr>
        <w:t xml:space="preserve"> [</w:t>
      </w:r>
      <w:r w:rsidR="0013503F" w:rsidRPr="00F2478F">
        <w:rPr>
          <w:rFonts w:ascii="Times New Roman" w:hAnsi="Times New Roman" w:cs="Times New Roman"/>
          <w:i/>
          <w:lang w:val="en-US"/>
        </w:rPr>
        <w:t>Seyler et al.</w:t>
      </w:r>
      <w:r w:rsidR="0013503F">
        <w:rPr>
          <w:rFonts w:ascii="Times New Roman" w:hAnsi="Times New Roman" w:cs="Times New Roman"/>
          <w:lang w:val="en-US"/>
        </w:rPr>
        <w:t>, 2003]</w:t>
      </w:r>
      <w:r w:rsidRPr="00022B05">
        <w:rPr>
          <w:rFonts w:ascii="Times New Roman" w:hAnsi="Times New Roman" w:cs="Times New Roman"/>
          <w:lang w:val="en-US"/>
        </w:rPr>
        <w:t>, and has, with few exceptions, higher Cr# and TiO</w:t>
      </w:r>
      <w:r w:rsidRPr="00022B05">
        <w:rPr>
          <w:rFonts w:ascii="Times New Roman" w:hAnsi="Times New Roman" w:cs="Times New Roman"/>
          <w:vertAlign w:val="subscript"/>
          <w:lang w:val="en-US"/>
        </w:rPr>
        <w:t>2</w:t>
      </w:r>
      <w:r w:rsidRPr="00022B05">
        <w:rPr>
          <w:rFonts w:ascii="Times New Roman" w:hAnsi="Times New Roman" w:cs="Times New Roman"/>
          <w:lang w:val="en-US"/>
        </w:rPr>
        <w:t xml:space="preserve"> contents, and lower Mg# (Figure 10). These chemical differences most likely result from partial </w:t>
      </w:r>
      <w:r w:rsidR="00F2478F" w:rsidRPr="00022B05">
        <w:rPr>
          <w:rFonts w:ascii="Times New Roman" w:hAnsi="Times New Roman" w:cs="Times New Roman"/>
          <w:lang w:val="en-US"/>
        </w:rPr>
        <w:t>destabilization</w:t>
      </w:r>
      <w:r w:rsidRPr="00022B05">
        <w:rPr>
          <w:rFonts w:ascii="Times New Roman" w:hAnsi="Times New Roman" w:cs="Times New Roman"/>
          <w:lang w:val="en-US"/>
        </w:rPr>
        <w:t xml:space="preserve"> of the peridotite's spinel into plagioclase and re</w:t>
      </w:r>
      <w:r w:rsidR="00B70905">
        <w:rPr>
          <w:rFonts w:ascii="Times New Roman" w:hAnsi="Times New Roman" w:cs="Times New Roman"/>
          <w:lang w:val="en-US"/>
        </w:rPr>
        <w:t>-</w:t>
      </w:r>
      <w:r w:rsidRPr="00022B05">
        <w:rPr>
          <w:rFonts w:ascii="Times New Roman" w:hAnsi="Times New Roman" w:cs="Times New Roman"/>
          <w:lang w:val="en-US"/>
        </w:rPr>
        <w:t>equilibration with the melt.</w:t>
      </w:r>
    </w:p>
    <w:p w14:paraId="6172067E" w14:textId="17484C5B" w:rsidR="008E3798" w:rsidRPr="00022B05" w:rsidRDefault="008E3798" w:rsidP="008E3798">
      <w:pPr>
        <w:pStyle w:val="ListParagraph"/>
        <w:numPr>
          <w:ilvl w:val="0"/>
          <w:numId w:val="11"/>
        </w:numPr>
        <w:tabs>
          <w:tab w:val="left" w:pos="912"/>
        </w:tabs>
        <w:spacing w:after="120"/>
        <w:ind w:left="426"/>
        <w:jc w:val="both"/>
        <w:rPr>
          <w:rFonts w:ascii="Times New Roman" w:hAnsi="Times New Roman" w:cs="Times New Roman"/>
          <w:bCs/>
          <w:lang w:val="en-US"/>
        </w:rPr>
      </w:pPr>
      <w:proofErr w:type="gramStart"/>
      <w:r w:rsidRPr="00022B05">
        <w:rPr>
          <w:rFonts w:ascii="Times New Roman" w:hAnsi="Times New Roman" w:cs="Times New Roman"/>
          <w:lang w:val="en-US"/>
        </w:rPr>
        <w:t>melt</w:t>
      </w:r>
      <w:proofErr w:type="gramEnd"/>
      <w:r w:rsidRPr="00022B05">
        <w:rPr>
          <w:rFonts w:ascii="Times New Roman" w:hAnsi="Times New Roman" w:cs="Times New Roman"/>
          <w:lang w:val="en-US"/>
        </w:rPr>
        <w:t xml:space="preserve"> infiltration and crystallization of plagioclase and clinopyroxene postdate </w:t>
      </w:r>
      <w:r w:rsidR="00B70905">
        <w:rPr>
          <w:rFonts w:ascii="Times New Roman" w:hAnsi="Times New Roman" w:cs="Times New Roman"/>
          <w:lang w:val="en-US"/>
        </w:rPr>
        <w:t>a strain</w:t>
      </w:r>
      <w:r w:rsidR="00B70905" w:rsidRPr="00022B05">
        <w:rPr>
          <w:rFonts w:ascii="Times New Roman" w:hAnsi="Times New Roman" w:cs="Times New Roman"/>
          <w:lang w:val="en-US"/>
        </w:rPr>
        <w:t xml:space="preserve"> </w:t>
      </w:r>
      <w:r w:rsidRPr="00022B05">
        <w:rPr>
          <w:rFonts w:ascii="Times New Roman" w:hAnsi="Times New Roman" w:cs="Times New Roman"/>
          <w:lang w:val="en-US"/>
        </w:rPr>
        <w:t xml:space="preserve">episode </w:t>
      </w:r>
      <w:r w:rsidR="0013503F">
        <w:rPr>
          <w:rFonts w:ascii="Times New Roman" w:hAnsi="Times New Roman" w:cs="Times New Roman"/>
          <w:lang w:val="en-US"/>
        </w:rPr>
        <w:t>that produced</w:t>
      </w:r>
      <w:r w:rsidRPr="00022B05">
        <w:rPr>
          <w:rFonts w:ascii="Times New Roman" w:hAnsi="Times New Roman" w:cs="Times New Roman"/>
          <w:lang w:val="en-US"/>
        </w:rPr>
        <w:t xml:space="preserve"> kink bands in relicts of formerly larger orthopyroxene porphyroclasts now enclosed in undeformed or weakly deformed clinopyroxene (Figure 7c). This early deformation shows that the melt infiltration occurred in ultramafic rocks that had been cooled </w:t>
      </w:r>
      <w:r w:rsidR="0013503F">
        <w:rPr>
          <w:rFonts w:ascii="Times New Roman" w:hAnsi="Times New Roman" w:cs="Times New Roman"/>
          <w:lang w:val="en-US"/>
        </w:rPr>
        <w:t xml:space="preserve">and submitted to deformation </w:t>
      </w:r>
      <w:r w:rsidRPr="00022B05">
        <w:rPr>
          <w:rFonts w:ascii="Times New Roman" w:hAnsi="Times New Roman" w:cs="Times New Roman"/>
          <w:lang w:val="en-US"/>
        </w:rPr>
        <w:t>in the axial lithosphere. Most plagioclase-bearing samples also show evidence for a later stage of deformation that also affects clinopyroxene and plagioclase (plagioclase grains are mechanically twinned and partially recrystallized, while clinopyroxene grains are kinked, Figure</w:t>
      </w:r>
      <w:r w:rsidR="00F2478F">
        <w:rPr>
          <w:rFonts w:ascii="Times New Roman" w:hAnsi="Times New Roman" w:cs="Times New Roman"/>
          <w:lang w:val="en-US"/>
        </w:rPr>
        <w:t>s</w:t>
      </w:r>
      <w:r w:rsidRPr="00022B05">
        <w:rPr>
          <w:rFonts w:ascii="Times New Roman" w:hAnsi="Times New Roman" w:cs="Times New Roman"/>
          <w:lang w:val="en-US"/>
        </w:rPr>
        <w:t xml:space="preserve"> 6c and d).</w:t>
      </w:r>
    </w:p>
    <w:p w14:paraId="6E6FEE68" w14:textId="7478C202" w:rsidR="008E3798" w:rsidRPr="00022B05" w:rsidRDefault="008E3798" w:rsidP="008E3798">
      <w:pPr>
        <w:pStyle w:val="ListParagraph"/>
        <w:numPr>
          <w:ilvl w:val="0"/>
          <w:numId w:val="11"/>
        </w:numPr>
        <w:tabs>
          <w:tab w:val="left" w:pos="912"/>
        </w:tabs>
        <w:spacing w:after="120"/>
        <w:ind w:left="426"/>
        <w:jc w:val="both"/>
        <w:rPr>
          <w:rFonts w:ascii="Times New Roman" w:hAnsi="Times New Roman" w:cs="Times New Roman"/>
          <w:bCs/>
          <w:lang w:val="en-US"/>
        </w:rPr>
      </w:pPr>
      <w:proofErr w:type="gramStart"/>
      <w:r w:rsidRPr="00022B05">
        <w:rPr>
          <w:rFonts w:ascii="Times New Roman" w:hAnsi="Times New Roman" w:cs="Times New Roman"/>
          <w:lang w:val="en-US"/>
        </w:rPr>
        <w:t>although</w:t>
      </w:r>
      <w:proofErr w:type="gramEnd"/>
      <w:r w:rsidRPr="00022B05">
        <w:rPr>
          <w:rFonts w:ascii="Times New Roman" w:hAnsi="Times New Roman" w:cs="Times New Roman"/>
          <w:lang w:val="en-US"/>
        </w:rPr>
        <w:t xml:space="preserve"> clinopyroxene is clearly secondary (it encloses relicts of orthopyroxene and small plagioclase grains) and has enriched trace element compositions (consistent with crystallization from a melt </w:t>
      </w:r>
      <w:r w:rsidRPr="00022B05">
        <w:rPr>
          <w:rStyle w:val="Strong"/>
          <w:rFonts w:ascii="Times New Roman" w:hAnsi="Times New Roman" w:cs="Times New Roman"/>
          <w:b w:val="0"/>
          <w:lang w:val="en-US"/>
        </w:rPr>
        <w:t>with trace element compositions similar to those of the basalts; Figure 12)</w:t>
      </w:r>
      <w:r w:rsidRPr="00022B05">
        <w:rPr>
          <w:rFonts w:ascii="Times New Roman" w:hAnsi="Times New Roman" w:cs="Times New Roman"/>
          <w:lang w:val="en-US"/>
        </w:rPr>
        <w:t>, it also has high Mg# (Figure 9</w:t>
      </w:r>
      <w:r w:rsidR="00D40BCD">
        <w:rPr>
          <w:rFonts w:ascii="Times New Roman" w:hAnsi="Times New Roman" w:cs="Times New Roman"/>
          <w:lang w:val="en-US"/>
        </w:rPr>
        <w:t>)</w:t>
      </w:r>
      <w:r w:rsidRPr="00022B05">
        <w:rPr>
          <w:rFonts w:ascii="Times New Roman" w:hAnsi="Times New Roman" w:cs="Times New Roman"/>
          <w:lang w:val="en-US"/>
        </w:rPr>
        <w:t>. These high Mg# values are measured even in samples of troctolite, olivine gabbro and gabbro with plagioclase An contents lower than 65% (Figure 9), a value that typically corresponds in abyssal gabbros to the co-crystallization of clinopyroxe</w:t>
      </w:r>
      <w:r w:rsidR="00D83EAE" w:rsidRPr="00022B05">
        <w:rPr>
          <w:rFonts w:ascii="Times New Roman" w:hAnsi="Times New Roman" w:cs="Times New Roman"/>
          <w:lang w:val="en-US"/>
        </w:rPr>
        <w:t>ne with Mg# between 80 and 85% [</w:t>
      </w:r>
      <w:r w:rsidRPr="00022B05">
        <w:rPr>
          <w:rFonts w:ascii="Times New Roman" w:hAnsi="Times New Roman" w:cs="Times New Roman"/>
          <w:lang w:val="en-US"/>
        </w:rPr>
        <w:t xml:space="preserve">e.g. </w:t>
      </w:r>
      <w:r w:rsidRPr="00022B05">
        <w:rPr>
          <w:rFonts w:ascii="Times New Roman" w:hAnsi="Times New Roman" w:cs="Times New Roman"/>
          <w:i/>
          <w:lang w:val="en-US"/>
        </w:rPr>
        <w:t>Bloomer et al.</w:t>
      </w:r>
      <w:r w:rsidRPr="00022B05">
        <w:rPr>
          <w:rFonts w:ascii="Times New Roman" w:hAnsi="Times New Roman" w:cs="Times New Roman"/>
          <w:lang w:val="en-US"/>
        </w:rPr>
        <w:t xml:space="preserve">, 1991; </w:t>
      </w:r>
      <w:r w:rsidRPr="00022B05">
        <w:rPr>
          <w:rFonts w:ascii="Times New Roman" w:hAnsi="Times New Roman" w:cs="Times New Roman"/>
          <w:i/>
          <w:lang w:val="en-US"/>
        </w:rPr>
        <w:t>Cannat et al</w:t>
      </w:r>
      <w:r w:rsidR="00D83EAE" w:rsidRPr="00022B05">
        <w:rPr>
          <w:rFonts w:ascii="Times New Roman" w:hAnsi="Times New Roman" w:cs="Times New Roman"/>
          <w:i/>
          <w:lang w:val="en-US"/>
        </w:rPr>
        <w:t>.</w:t>
      </w:r>
      <w:r w:rsidRPr="00022B05">
        <w:rPr>
          <w:rFonts w:ascii="Times New Roman" w:hAnsi="Times New Roman" w:cs="Times New Roman"/>
          <w:lang w:val="en-US"/>
        </w:rPr>
        <w:t>, 1997a</w:t>
      </w:r>
      <w:r w:rsidR="00D83EAE" w:rsidRPr="00022B05">
        <w:rPr>
          <w:rFonts w:ascii="Times New Roman" w:hAnsi="Times New Roman" w:cs="Times New Roman"/>
          <w:lang w:val="en-US"/>
        </w:rPr>
        <w:t>,</w:t>
      </w:r>
      <w:r w:rsidRPr="00022B05">
        <w:rPr>
          <w:rFonts w:ascii="Times New Roman" w:hAnsi="Times New Roman" w:cs="Times New Roman"/>
          <w:lang w:val="en-US"/>
        </w:rPr>
        <w:t xml:space="preserve"> 1997b; </w:t>
      </w:r>
      <w:r w:rsidRPr="00022B05">
        <w:rPr>
          <w:rFonts w:ascii="Times New Roman" w:hAnsi="Times New Roman" w:cs="Times New Roman"/>
          <w:i/>
          <w:lang w:val="en-US"/>
        </w:rPr>
        <w:t>Ross and Elthon</w:t>
      </w:r>
      <w:r w:rsidRPr="00022B05">
        <w:rPr>
          <w:rFonts w:ascii="Times New Roman" w:hAnsi="Times New Roman" w:cs="Times New Roman"/>
          <w:lang w:val="en-US"/>
        </w:rPr>
        <w:t xml:space="preserve">, 1997; </w:t>
      </w:r>
      <w:r w:rsidRPr="00022B05">
        <w:rPr>
          <w:rFonts w:ascii="Times New Roman" w:hAnsi="Times New Roman" w:cs="Times New Roman"/>
          <w:i/>
          <w:lang w:val="en-US"/>
        </w:rPr>
        <w:t>Dick et al.</w:t>
      </w:r>
      <w:r w:rsidRPr="00022B05">
        <w:rPr>
          <w:rFonts w:ascii="Times New Roman" w:hAnsi="Times New Roman" w:cs="Times New Roman"/>
          <w:lang w:val="en-US"/>
        </w:rPr>
        <w:t xml:space="preserve">, 2002; </w:t>
      </w:r>
      <w:r w:rsidRPr="00022B05">
        <w:rPr>
          <w:rFonts w:ascii="Times New Roman" w:hAnsi="Times New Roman" w:cs="Times New Roman"/>
          <w:i/>
          <w:lang w:val="en-US"/>
        </w:rPr>
        <w:t>Miller et al.</w:t>
      </w:r>
      <w:r w:rsidR="00D83EAE" w:rsidRPr="00022B05">
        <w:rPr>
          <w:rFonts w:ascii="Times New Roman" w:hAnsi="Times New Roman" w:cs="Times New Roman"/>
          <w:lang w:val="en-US"/>
        </w:rPr>
        <w:t>, 2009 and Figure 9]</w:t>
      </w:r>
      <w:r w:rsidRPr="00022B05">
        <w:rPr>
          <w:rFonts w:ascii="Times New Roman" w:hAnsi="Times New Roman" w:cs="Times New Roman"/>
          <w:lang w:val="en-US"/>
        </w:rPr>
        <w:t xml:space="preserve">. </w:t>
      </w:r>
      <w:r w:rsidR="00163A6C">
        <w:rPr>
          <w:rFonts w:ascii="Times New Roman" w:hAnsi="Times New Roman" w:cs="Times New Roman"/>
          <w:lang w:val="en-US"/>
        </w:rPr>
        <w:t>The</w:t>
      </w:r>
      <w:r w:rsidRPr="00022B05">
        <w:rPr>
          <w:rFonts w:ascii="Times New Roman" w:hAnsi="Times New Roman" w:cs="Times New Roman"/>
          <w:lang w:val="en-US"/>
        </w:rPr>
        <w:t xml:space="preserve"> </w:t>
      </w:r>
      <w:r w:rsidR="00163A6C" w:rsidRPr="00022B05">
        <w:rPr>
          <w:rFonts w:ascii="Times New Roman" w:hAnsi="Times New Roman" w:cs="Times New Roman"/>
          <w:lang w:val="en-US"/>
        </w:rPr>
        <w:t xml:space="preserve">clinopyroxene </w:t>
      </w:r>
      <w:r w:rsidRPr="00022B05">
        <w:rPr>
          <w:rFonts w:ascii="Times New Roman" w:hAnsi="Times New Roman" w:cs="Times New Roman"/>
          <w:lang w:val="en-US"/>
        </w:rPr>
        <w:t xml:space="preserve">Mg# in </w:t>
      </w:r>
      <w:r w:rsidR="00E55178">
        <w:rPr>
          <w:rFonts w:ascii="Times New Roman" w:hAnsi="Times New Roman" w:cs="Times New Roman"/>
          <w:lang w:val="en-US"/>
        </w:rPr>
        <w:t>the</w:t>
      </w:r>
      <w:r w:rsidR="00E55178" w:rsidRPr="00022B05">
        <w:rPr>
          <w:rFonts w:ascii="Times New Roman" w:hAnsi="Times New Roman" w:cs="Times New Roman"/>
          <w:lang w:val="en-US"/>
        </w:rPr>
        <w:t xml:space="preserve"> </w:t>
      </w:r>
      <w:r w:rsidRPr="00022B05">
        <w:rPr>
          <w:rFonts w:ascii="Times New Roman" w:hAnsi="Times New Roman" w:cs="Times New Roman"/>
          <w:lang w:val="en-US"/>
        </w:rPr>
        <w:t xml:space="preserve">plagioclase-bearing samples </w:t>
      </w:r>
      <w:r w:rsidR="00163A6C">
        <w:rPr>
          <w:rFonts w:ascii="Times New Roman" w:hAnsi="Times New Roman" w:cs="Times New Roman"/>
          <w:lang w:val="en-US"/>
        </w:rPr>
        <w:t>can be interpreted as</w:t>
      </w:r>
      <w:r w:rsidRPr="00022B05">
        <w:rPr>
          <w:rFonts w:ascii="Times New Roman" w:hAnsi="Times New Roman" w:cs="Times New Roman"/>
          <w:lang w:val="en-US"/>
        </w:rPr>
        <w:t xml:space="preserve"> buffered by that of the plagioclase-free protolith, as proposed for clinopyroxene in gabbroic veins drilled in serpentinized peridotites next to the Kane Fracture zone (MAR; </w:t>
      </w:r>
      <w:r w:rsidR="00D83EAE" w:rsidRPr="00022B05">
        <w:rPr>
          <w:rFonts w:ascii="Times New Roman" w:hAnsi="Times New Roman" w:cs="Times New Roman"/>
          <w:lang w:val="en-US"/>
        </w:rPr>
        <w:t>[</w:t>
      </w:r>
      <w:r w:rsidRPr="00022B05">
        <w:rPr>
          <w:rFonts w:ascii="Times New Roman" w:hAnsi="Times New Roman" w:cs="Times New Roman"/>
          <w:i/>
          <w:lang w:val="en-US"/>
        </w:rPr>
        <w:t>Cannat et al.</w:t>
      </w:r>
      <w:r w:rsidRPr="00022B05">
        <w:rPr>
          <w:rFonts w:ascii="Times New Roman" w:hAnsi="Times New Roman" w:cs="Times New Roman"/>
          <w:lang w:val="en-US"/>
        </w:rPr>
        <w:t>, 1997a</w:t>
      </w:r>
      <w:r w:rsidR="00D83EAE" w:rsidRPr="00022B05">
        <w:rPr>
          <w:rFonts w:ascii="Times New Roman" w:hAnsi="Times New Roman" w:cs="Times New Roman"/>
          <w:lang w:val="en-US"/>
        </w:rPr>
        <w:t>]</w:t>
      </w:r>
      <w:r w:rsidRPr="00022B05">
        <w:rPr>
          <w:rFonts w:ascii="Times New Roman" w:hAnsi="Times New Roman" w:cs="Times New Roman"/>
          <w:lang w:val="en-US"/>
        </w:rPr>
        <w:t>), implying that the documented melt-rock interactions occurred at very low melt-rock ratio</w:t>
      </w:r>
      <w:r w:rsidRPr="00022B05">
        <w:rPr>
          <w:rFonts w:ascii="Times New Roman" w:hAnsi="Times New Roman" w:cs="Times New Roman"/>
          <w:bCs/>
          <w:lang w:val="en-US"/>
        </w:rPr>
        <w:t>.</w:t>
      </w:r>
    </w:p>
    <w:p w14:paraId="5719F56E" w14:textId="36F400FE" w:rsidR="008E3798" w:rsidRPr="00022B05" w:rsidRDefault="008E3798" w:rsidP="008E3798">
      <w:pPr>
        <w:jc w:val="both"/>
        <w:rPr>
          <w:sz w:val="24"/>
          <w:szCs w:val="24"/>
        </w:rPr>
      </w:pPr>
      <w:r w:rsidRPr="00022B05">
        <w:rPr>
          <w:bCs/>
          <w:sz w:val="24"/>
          <w:szCs w:val="24"/>
        </w:rPr>
        <w:tab/>
        <w:t xml:space="preserve">Taking these observations into account, we now </w:t>
      </w:r>
      <w:r w:rsidRPr="00022B05">
        <w:rPr>
          <w:sz w:val="24"/>
          <w:szCs w:val="24"/>
        </w:rPr>
        <w:t xml:space="preserve">want to test whether the major element composition of the ultramafic seafloor basalts could retain a signature of the documented melt-rock interactions, and what would then be the range of possible major element compositions for the parent melt. To this aim, we develop a simple mass balance model in which we use the modal abundances and </w:t>
      </w:r>
      <w:r w:rsidR="00D40BCD">
        <w:rPr>
          <w:sz w:val="24"/>
          <w:szCs w:val="24"/>
        </w:rPr>
        <w:t xml:space="preserve">the </w:t>
      </w:r>
      <w:r w:rsidRPr="00022B05">
        <w:rPr>
          <w:sz w:val="24"/>
          <w:szCs w:val="24"/>
        </w:rPr>
        <w:t>major</w:t>
      </w:r>
      <w:r w:rsidR="00D40BCD">
        <w:rPr>
          <w:sz w:val="24"/>
          <w:szCs w:val="24"/>
        </w:rPr>
        <w:t xml:space="preserve"> and trace</w:t>
      </w:r>
      <w:r w:rsidRPr="00022B05">
        <w:rPr>
          <w:sz w:val="24"/>
          <w:szCs w:val="24"/>
        </w:rPr>
        <w:t xml:space="preserve"> element composition of the mineral phases in the inferred products of melt-rock interaction (plagioclase-bearing ultramafic to gabbroic rocks and ultramafic seafloor basalt), and in plagioclase-free residual lherzolites (inferred solid prior to reaction), to reconstruct the initial composition of the reacting melt.</w:t>
      </w:r>
    </w:p>
    <w:p w14:paraId="28CDB685" w14:textId="39A1E7AA" w:rsidR="00C600CD" w:rsidRDefault="008E3798" w:rsidP="00C600CD">
      <w:pPr>
        <w:jc w:val="both"/>
        <w:rPr>
          <w:sz w:val="24"/>
          <w:szCs w:val="24"/>
        </w:rPr>
      </w:pPr>
      <w:r w:rsidRPr="00022B05">
        <w:rPr>
          <w:sz w:val="24"/>
          <w:szCs w:val="24"/>
        </w:rPr>
        <w:tab/>
      </w:r>
      <w:r w:rsidR="00C600CD" w:rsidRPr="00022B05">
        <w:rPr>
          <w:sz w:val="24"/>
          <w:szCs w:val="24"/>
        </w:rPr>
        <w:t xml:space="preserve">In the </w:t>
      </w:r>
      <w:r w:rsidR="00C600CD">
        <w:rPr>
          <w:sz w:val="24"/>
          <w:szCs w:val="24"/>
        </w:rPr>
        <w:t xml:space="preserve">model </w:t>
      </w:r>
      <w:r w:rsidR="00C600CD" w:rsidRPr="00022B05">
        <w:rPr>
          <w:sz w:val="24"/>
          <w:szCs w:val="24"/>
        </w:rPr>
        <w:t>results shown in Figure 13,</w:t>
      </w:r>
      <w:r w:rsidR="00C600CD" w:rsidRPr="00022B05" w:rsidDel="0070363D">
        <w:rPr>
          <w:sz w:val="24"/>
          <w:szCs w:val="24"/>
        </w:rPr>
        <w:t xml:space="preserve"> </w:t>
      </w:r>
      <w:r w:rsidR="00C600CD" w:rsidRPr="00022B05">
        <w:rPr>
          <w:sz w:val="24"/>
          <w:szCs w:val="24"/>
        </w:rPr>
        <w:t>we selected the spinel lherzolite sample ED21-5-1 [</w:t>
      </w:r>
      <w:r w:rsidR="00C600CD" w:rsidRPr="00022B05">
        <w:rPr>
          <w:i/>
          <w:sz w:val="24"/>
          <w:szCs w:val="24"/>
        </w:rPr>
        <w:t>Seyler et al.</w:t>
      </w:r>
      <w:r w:rsidR="00C600CD" w:rsidRPr="00022B05">
        <w:rPr>
          <w:sz w:val="24"/>
          <w:szCs w:val="24"/>
        </w:rPr>
        <w:t>, 2003]</w:t>
      </w:r>
      <w:r w:rsidR="00C600CD">
        <w:rPr>
          <w:sz w:val="24"/>
          <w:szCs w:val="24"/>
        </w:rPr>
        <w:t xml:space="preserve"> a</w:t>
      </w:r>
      <w:r w:rsidR="00C600CD" w:rsidRPr="00022B05">
        <w:rPr>
          <w:sz w:val="24"/>
          <w:szCs w:val="24"/>
        </w:rPr>
        <w:t xml:space="preserve">s </w:t>
      </w:r>
      <w:r w:rsidR="00C600CD">
        <w:rPr>
          <w:sz w:val="24"/>
          <w:szCs w:val="24"/>
        </w:rPr>
        <w:t xml:space="preserve">the </w:t>
      </w:r>
      <w:r w:rsidR="00C600CD" w:rsidRPr="00022B05">
        <w:rPr>
          <w:sz w:val="24"/>
          <w:szCs w:val="24"/>
        </w:rPr>
        <w:t xml:space="preserve">starting rock material. For the reacted rock, we used the modal and chemical composition of olivine gabbro sample SMS17-5-6 (Figures 5c and 7a; Tables 2, 3, 4, 5, 6, 7). For the reacted melt, we used sample SMS16-3-5 that has the most </w:t>
      </w:r>
      <w:r w:rsidR="00532A9A">
        <w:rPr>
          <w:sz w:val="24"/>
          <w:szCs w:val="24"/>
        </w:rPr>
        <w:t>MgO</w:t>
      </w:r>
      <w:r w:rsidR="00C600CD" w:rsidRPr="00022B05">
        <w:rPr>
          <w:sz w:val="24"/>
          <w:szCs w:val="24"/>
        </w:rPr>
        <w:t xml:space="preserve">-rich composition among ultramafic seafloor basalts (Figures 3 and 4; Table 1). </w:t>
      </w:r>
      <w:r w:rsidR="00C600CD">
        <w:rPr>
          <w:sz w:val="24"/>
          <w:szCs w:val="24"/>
        </w:rPr>
        <w:t>W</w:t>
      </w:r>
      <w:r w:rsidR="00C600CD" w:rsidRPr="00022B05">
        <w:rPr>
          <w:sz w:val="24"/>
          <w:szCs w:val="24"/>
        </w:rPr>
        <w:t xml:space="preserve">e </w:t>
      </w:r>
      <w:r w:rsidR="00C600CD">
        <w:rPr>
          <w:sz w:val="24"/>
          <w:szCs w:val="24"/>
        </w:rPr>
        <w:t xml:space="preserve">made the calculations </w:t>
      </w:r>
      <w:r w:rsidR="00C600CD" w:rsidRPr="00022B05">
        <w:rPr>
          <w:sz w:val="24"/>
          <w:szCs w:val="24"/>
        </w:rPr>
        <w:t>assum</w:t>
      </w:r>
      <w:r w:rsidR="00C600CD">
        <w:rPr>
          <w:sz w:val="24"/>
          <w:szCs w:val="24"/>
        </w:rPr>
        <w:t>ing</w:t>
      </w:r>
      <w:r w:rsidR="00C600CD" w:rsidRPr="00022B05">
        <w:rPr>
          <w:sz w:val="24"/>
          <w:szCs w:val="24"/>
        </w:rPr>
        <w:t xml:space="preserve"> that the reaction</w:t>
      </w:r>
      <w:r w:rsidR="00C600CD">
        <w:rPr>
          <w:sz w:val="24"/>
          <w:szCs w:val="24"/>
        </w:rPr>
        <w:t xml:space="preserve">s (dissolution of orthopyroxene and olivine and crystallization of clinopyroxene and plagioclase) occurred with either no </w:t>
      </w:r>
      <w:r w:rsidR="00C600CD" w:rsidRPr="00022B05">
        <w:rPr>
          <w:sz w:val="24"/>
          <w:szCs w:val="24"/>
        </w:rPr>
        <w:t xml:space="preserve">solid mass </w:t>
      </w:r>
      <w:r w:rsidR="00C600CD">
        <w:rPr>
          <w:sz w:val="24"/>
          <w:szCs w:val="24"/>
        </w:rPr>
        <w:t xml:space="preserve">change, or with a solid mass change of 100%. In this second case, </w:t>
      </w:r>
      <w:proofErr w:type="gramStart"/>
      <w:r w:rsidR="00C600CD">
        <w:rPr>
          <w:sz w:val="24"/>
          <w:szCs w:val="24"/>
        </w:rPr>
        <w:t xml:space="preserve">which corresponds to more liquid being trapped in the reaction zone, calculated </w:t>
      </w:r>
      <w:r w:rsidR="00C600CD" w:rsidRPr="00022B05">
        <w:rPr>
          <w:sz w:val="24"/>
          <w:szCs w:val="24"/>
        </w:rPr>
        <w:t xml:space="preserve">results change in absolute </w:t>
      </w:r>
      <w:r w:rsidR="00C600CD">
        <w:rPr>
          <w:sz w:val="24"/>
          <w:szCs w:val="24"/>
        </w:rPr>
        <w:t>values</w:t>
      </w:r>
      <w:r w:rsidR="00C600CD" w:rsidRPr="00022B05">
        <w:rPr>
          <w:sz w:val="24"/>
          <w:szCs w:val="24"/>
        </w:rPr>
        <w:t xml:space="preserve"> but not in the general </w:t>
      </w:r>
      <w:r w:rsidR="00C600CD" w:rsidRPr="00022B05">
        <w:rPr>
          <w:sz w:val="24"/>
          <w:szCs w:val="24"/>
        </w:rPr>
        <w:lastRenderedPageBreak/>
        <w:t>trends (Figure 13).</w:t>
      </w:r>
      <w:proofErr w:type="gramEnd"/>
      <w:r w:rsidR="00C600CD">
        <w:rPr>
          <w:sz w:val="24"/>
          <w:szCs w:val="24"/>
        </w:rPr>
        <w:t xml:space="preserve"> </w:t>
      </w:r>
      <w:r w:rsidR="00C600CD" w:rsidRPr="00022B05">
        <w:rPr>
          <w:sz w:val="24"/>
          <w:szCs w:val="24"/>
        </w:rPr>
        <w:t xml:space="preserve">The principal variable in </w:t>
      </w:r>
      <w:r w:rsidR="00C600CD">
        <w:rPr>
          <w:sz w:val="24"/>
          <w:szCs w:val="24"/>
        </w:rPr>
        <w:t>the</w:t>
      </w:r>
      <w:r w:rsidR="00C600CD" w:rsidRPr="00022B05">
        <w:rPr>
          <w:sz w:val="24"/>
          <w:szCs w:val="24"/>
        </w:rPr>
        <w:t xml:space="preserve"> calculations is the melt-rock ratio expressed as the mass of liquid after the reaction over the initial mass of ultramafic reacted rock. We allow this ratio to vary between 30 and 500 (Figure 13). For this range of melt-rock ratios, the trace element and TiO</w:t>
      </w:r>
      <w:r w:rsidR="00C600CD" w:rsidRPr="00022B05">
        <w:rPr>
          <w:sz w:val="24"/>
          <w:szCs w:val="24"/>
          <w:vertAlign w:val="subscript"/>
        </w:rPr>
        <w:t>2</w:t>
      </w:r>
      <w:r w:rsidR="00C600CD" w:rsidRPr="00022B05">
        <w:rPr>
          <w:sz w:val="24"/>
          <w:szCs w:val="24"/>
        </w:rPr>
        <w:t xml:space="preserve"> contents of the melt are not modified.</w:t>
      </w:r>
      <w:r w:rsidR="00C600CD" w:rsidRPr="00022B05">
        <w:rPr>
          <w:bCs/>
          <w:sz w:val="24"/>
          <w:szCs w:val="24"/>
        </w:rPr>
        <w:t xml:space="preserve"> </w:t>
      </w:r>
      <w:r w:rsidR="00C600CD" w:rsidRPr="00022B05">
        <w:rPr>
          <w:sz w:val="24"/>
          <w:szCs w:val="24"/>
        </w:rPr>
        <w:t xml:space="preserve">For melt-rock ratios above 100, the reconstructed initial major element composition of the reacting melt is not substantially different from that of the erupted ultramafic seafloor basalt. </w:t>
      </w:r>
      <w:r w:rsidR="00AB4970">
        <w:rPr>
          <w:sz w:val="24"/>
          <w:szCs w:val="24"/>
        </w:rPr>
        <w:t>However, f</w:t>
      </w:r>
      <w:r w:rsidR="00C600CD" w:rsidRPr="00022B05">
        <w:rPr>
          <w:sz w:val="24"/>
          <w:szCs w:val="24"/>
        </w:rPr>
        <w:t>or melt-rock ratios of ≤50</w:t>
      </w:r>
      <w:r w:rsidR="00AB4970">
        <w:rPr>
          <w:sz w:val="24"/>
          <w:szCs w:val="24"/>
        </w:rPr>
        <w:t>,</w:t>
      </w:r>
      <w:r w:rsidR="00C600CD" w:rsidRPr="00022B05">
        <w:rPr>
          <w:sz w:val="24"/>
          <w:szCs w:val="24"/>
        </w:rPr>
        <w:t xml:space="preserve"> the reconstructed initial major element composition of the reacting melt has substantially lower MgO, and higher CaO and Al</w:t>
      </w:r>
      <w:r w:rsidR="00C600CD" w:rsidRPr="00022B05">
        <w:rPr>
          <w:sz w:val="24"/>
          <w:szCs w:val="24"/>
          <w:vertAlign w:val="subscript"/>
        </w:rPr>
        <w:t>2</w:t>
      </w:r>
      <w:r w:rsidR="00C600CD" w:rsidRPr="00022B05">
        <w:rPr>
          <w:sz w:val="24"/>
          <w:szCs w:val="24"/>
        </w:rPr>
        <w:t>O</w:t>
      </w:r>
      <w:r w:rsidR="00C600CD" w:rsidRPr="00022B05">
        <w:rPr>
          <w:sz w:val="24"/>
          <w:szCs w:val="24"/>
          <w:vertAlign w:val="subscript"/>
        </w:rPr>
        <w:t>3</w:t>
      </w:r>
      <w:r w:rsidR="00C600CD" w:rsidRPr="00022B05">
        <w:rPr>
          <w:sz w:val="24"/>
          <w:szCs w:val="24"/>
        </w:rPr>
        <w:t xml:space="preserve"> contents than the erupted ultramafic seafloor basalt. It therefore plots within the range of the volcanic seafloor basalts (Figure 13).</w:t>
      </w:r>
    </w:p>
    <w:p w14:paraId="28604063" w14:textId="0910684A" w:rsidR="008E3798" w:rsidRPr="00022B05" w:rsidRDefault="008E3798" w:rsidP="00C600CD">
      <w:pPr>
        <w:jc w:val="both"/>
        <w:rPr>
          <w:b/>
          <w:sz w:val="24"/>
          <w:szCs w:val="24"/>
        </w:rPr>
      </w:pPr>
      <w:r w:rsidRPr="00022B05">
        <w:rPr>
          <w:sz w:val="24"/>
          <w:szCs w:val="24"/>
        </w:rPr>
        <w:tab/>
        <w:t>This leads us to propose that the ultramafic seafloor basalts and the volcanic seafloor basalts are derived from similar parental melts, but that the ultramafic seafloor basalts are more affected by reactions between th</w:t>
      </w:r>
      <w:r w:rsidR="00E94CD5">
        <w:rPr>
          <w:sz w:val="24"/>
          <w:szCs w:val="24"/>
        </w:rPr>
        <w:t>ese</w:t>
      </w:r>
      <w:r w:rsidRPr="00022B05">
        <w:rPr>
          <w:sz w:val="24"/>
          <w:szCs w:val="24"/>
        </w:rPr>
        <w:t xml:space="preserve"> parent melt</w:t>
      </w:r>
      <w:r w:rsidR="00E94CD5">
        <w:rPr>
          <w:sz w:val="24"/>
          <w:szCs w:val="24"/>
        </w:rPr>
        <w:t>s</w:t>
      </w:r>
      <w:r w:rsidRPr="00022B05">
        <w:rPr>
          <w:sz w:val="24"/>
          <w:szCs w:val="24"/>
        </w:rPr>
        <w:t xml:space="preserve"> and the mantle rocks in the lithosphere below the ridge. This interpretation is supported by the observation that the REE patterns of the ultramafic seafloor basalts are similar to those of most volcanic seafloor basalts (Figure 4), and that there are no differences between ultramafic and volcanic seafloor basalts for isotopic indicators of ma</w:t>
      </w:r>
      <w:r w:rsidR="00986634">
        <w:rPr>
          <w:sz w:val="24"/>
          <w:szCs w:val="24"/>
        </w:rPr>
        <w:t>ntle source composition (Table 3</w:t>
      </w:r>
      <w:r w:rsidRPr="00022B05">
        <w:rPr>
          <w:sz w:val="24"/>
          <w:szCs w:val="24"/>
        </w:rPr>
        <w:t xml:space="preserve">). </w:t>
      </w:r>
      <w:r w:rsidR="00C600CD">
        <w:rPr>
          <w:sz w:val="24"/>
          <w:szCs w:val="24"/>
        </w:rPr>
        <w:t>U</w:t>
      </w:r>
      <w:r w:rsidRPr="00022B05">
        <w:rPr>
          <w:sz w:val="24"/>
          <w:szCs w:val="24"/>
        </w:rPr>
        <w:t>ltramafic seafloor basalt SMS16-3-14, that has</w:t>
      </w:r>
      <w:r w:rsidR="00C600CD">
        <w:rPr>
          <w:sz w:val="24"/>
          <w:szCs w:val="24"/>
        </w:rPr>
        <w:t xml:space="preserve"> a</w:t>
      </w:r>
      <w:r w:rsidRPr="00022B05">
        <w:rPr>
          <w:sz w:val="24"/>
          <w:szCs w:val="24"/>
        </w:rPr>
        <w:t xml:space="preserve"> REE pattern similar to those of the other basalts in the s</w:t>
      </w:r>
      <w:r w:rsidR="00986634">
        <w:rPr>
          <w:sz w:val="24"/>
          <w:szCs w:val="24"/>
        </w:rPr>
        <w:t>ame dredge (Figure 4 and Table 2</w:t>
      </w:r>
      <w:r w:rsidRPr="00022B05">
        <w:rPr>
          <w:sz w:val="24"/>
          <w:szCs w:val="24"/>
        </w:rPr>
        <w:t xml:space="preserve">), yet plots at lower MgO contents (Figure 3), could represent the initial composition of the reacting melt for the other basalts in this dredge, assuming melt-rock </w:t>
      </w:r>
      <w:r w:rsidR="00E94CD5">
        <w:rPr>
          <w:sz w:val="24"/>
          <w:szCs w:val="24"/>
        </w:rPr>
        <w:t xml:space="preserve">reaction </w:t>
      </w:r>
      <w:r w:rsidRPr="00022B05">
        <w:rPr>
          <w:sz w:val="24"/>
          <w:szCs w:val="24"/>
        </w:rPr>
        <w:t xml:space="preserve">ratios ≤30. </w:t>
      </w:r>
      <w:r w:rsidR="00AB4970">
        <w:rPr>
          <w:sz w:val="24"/>
          <w:szCs w:val="24"/>
        </w:rPr>
        <w:t xml:space="preserve">Furthermore, </w:t>
      </w:r>
      <w:r w:rsidRPr="00022B05">
        <w:rPr>
          <w:sz w:val="24"/>
          <w:szCs w:val="24"/>
        </w:rPr>
        <w:t xml:space="preserve">a few volcanic seafloor basalts in </w:t>
      </w:r>
      <w:r w:rsidR="006F164E">
        <w:rPr>
          <w:sz w:val="24"/>
          <w:szCs w:val="24"/>
        </w:rPr>
        <w:t>the</w:t>
      </w:r>
      <w:r w:rsidR="006F164E" w:rsidRPr="00022B05">
        <w:rPr>
          <w:sz w:val="24"/>
          <w:szCs w:val="24"/>
        </w:rPr>
        <w:t xml:space="preserve"> </w:t>
      </w:r>
      <w:r w:rsidRPr="00022B05">
        <w:rPr>
          <w:sz w:val="24"/>
          <w:szCs w:val="24"/>
        </w:rPr>
        <w:t>study area have higher MgO and FeO contents, lower Na</w:t>
      </w:r>
      <w:r w:rsidRPr="00022B05">
        <w:rPr>
          <w:sz w:val="24"/>
          <w:szCs w:val="24"/>
          <w:vertAlign w:val="subscript"/>
        </w:rPr>
        <w:t>2</w:t>
      </w:r>
      <w:r w:rsidRPr="00022B05">
        <w:rPr>
          <w:sz w:val="24"/>
          <w:szCs w:val="24"/>
        </w:rPr>
        <w:t>O, TiO</w:t>
      </w:r>
      <w:r w:rsidRPr="00022B05">
        <w:rPr>
          <w:sz w:val="24"/>
          <w:szCs w:val="24"/>
          <w:vertAlign w:val="subscript"/>
        </w:rPr>
        <w:t>2</w:t>
      </w:r>
      <w:r w:rsidRPr="00022B05">
        <w:rPr>
          <w:sz w:val="24"/>
          <w:szCs w:val="24"/>
        </w:rPr>
        <w:t xml:space="preserve"> and SiO</w:t>
      </w:r>
      <w:r w:rsidRPr="00022B05">
        <w:rPr>
          <w:sz w:val="24"/>
          <w:szCs w:val="24"/>
          <w:vertAlign w:val="subscript"/>
        </w:rPr>
        <w:t>2</w:t>
      </w:r>
      <w:r w:rsidRPr="00022B05">
        <w:rPr>
          <w:sz w:val="24"/>
          <w:szCs w:val="24"/>
        </w:rPr>
        <w:t xml:space="preserve"> contents (grey dots in Figure 3) and LREE-depleted signatures (Figure 4). We have not recovered ultramafic seafloor basalts with such depleted REE patterns (Figure 4).</w:t>
      </w:r>
    </w:p>
    <w:p w14:paraId="01378DA2" w14:textId="7165E4F1" w:rsidR="008E3798" w:rsidRDefault="008E3798" w:rsidP="008E3798">
      <w:pPr>
        <w:tabs>
          <w:tab w:val="left" w:pos="912"/>
        </w:tabs>
        <w:spacing w:after="120"/>
        <w:jc w:val="both"/>
        <w:rPr>
          <w:sz w:val="24"/>
          <w:szCs w:val="24"/>
        </w:rPr>
      </w:pPr>
      <w:r w:rsidRPr="00022B05">
        <w:rPr>
          <w:sz w:val="24"/>
          <w:szCs w:val="24"/>
        </w:rPr>
        <w:tab/>
        <w:t>The mass balance model shown in Figure 13 is calculated with ultramafic seafloor basalt SMS16-3-5 as a proposed reacted melt. Ultramafic seafloor basalts recovered in dredges SMS24, 26 and 31 (Figure 1) have relatively enriched REE and trace compositions</w:t>
      </w:r>
      <w:r w:rsidR="00E94CD5">
        <w:rPr>
          <w:sz w:val="24"/>
          <w:szCs w:val="24"/>
        </w:rPr>
        <w:t xml:space="preserve"> and </w:t>
      </w:r>
      <w:r w:rsidR="00C600CD">
        <w:rPr>
          <w:sz w:val="24"/>
          <w:szCs w:val="24"/>
        </w:rPr>
        <w:t xml:space="preserve">show </w:t>
      </w:r>
      <w:r w:rsidR="00E94CD5">
        <w:rPr>
          <w:sz w:val="24"/>
          <w:szCs w:val="24"/>
        </w:rPr>
        <w:t>negative Eu anomalies</w:t>
      </w:r>
      <w:r w:rsidRPr="00022B05">
        <w:rPr>
          <w:sz w:val="24"/>
          <w:szCs w:val="24"/>
        </w:rPr>
        <w:t xml:space="preserve"> (Figure 4</w:t>
      </w:r>
      <w:r w:rsidR="00C600CD">
        <w:rPr>
          <w:sz w:val="24"/>
          <w:szCs w:val="24"/>
        </w:rPr>
        <w:t xml:space="preserve">). This suggests that these basalts result from significant </w:t>
      </w:r>
      <w:r w:rsidR="00C600CD" w:rsidRPr="00022B05">
        <w:rPr>
          <w:sz w:val="24"/>
          <w:szCs w:val="24"/>
        </w:rPr>
        <w:t>fractional crystallization</w:t>
      </w:r>
      <w:r w:rsidR="00C600CD">
        <w:rPr>
          <w:sz w:val="24"/>
          <w:szCs w:val="24"/>
        </w:rPr>
        <w:t xml:space="preserve"> of a parental melt</w:t>
      </w:r>
      <w:r w:rsidRPr="00022B05">
        <w:rPr>
          <w:sz w:val="24"/>
          <w:szCs w:val="24"/>
        </w:rPr>
        <w:t>.</w:t>
      </w:r>
      <w:r w:rsidR="001E0EA2">
        <w:rPr>
          <w:sz w:val="24"/>
          <w:szCs w:val="24"/>
        </w:rPr>
        <w:t xml:space="preserve"> </w:t>
      </w:r>
      <w:r w:rsidRPr="00022B05">
        <w:rPr>
          <w:sz w:val="24"/>
          <w:szCs w:val="24"/>
        </w:rPr>
        <w:t xml:space="preserve">By contrast, ultramafic seafloor dredges SMS23 and 28 (Figure 1) contain basalts that have REE and trace element compositions similar to dredge SMS16. </w:t>
      </w:r>
      <w:r w:rsidR="001E0EA2">
        <w:rPr>
          <w:sz w:val="24"/>
          <w:szCs w:val="24"/>
        </w:rPr>
        <w:t>However,</w:t>
      </w:r>
      <w:r w:rsidRPr="00022B05">
        <w:rPr>
          <w:sz w:val="24"/>
          <w:szCs w:val="24"/>
        </w:rPr>
        <w:t xml:space="preserve"> basalts from these two other dredges have lower Na</w:t>
      </w:r>
      <w:r w:rsidRPr="00022B05">
        <w:rPr>
          <w:sz w:val="24"/>
          <w:szCs w:val="24"/>
          <w:vertAlign w:val="subscript"/>
        </w:rPr>
        <w:t>2</w:t>
      </w:r>
      <w:r w:rsidRPr="00022B05">
        <w:rPr>
          <w:sz w:val="24"/>
          <w:szCs w:val="24"/>
        </w:rPr>
        <w:t>O and Al</w:t>
      </w:r>
      <w:r w:rsidRPr="00022B05">
        <w:rPr>
          <w:sz w:val="24"/>
          <w:szCs w:val="24"/>
          <w:vertAlign w:val="subscript"/>
        </w:rPr>
        <w:t>2</w:t>
      </w:r>
      <w:r w:rsidRPr="00022B05">
        <w:rPr>
          <w:sz w:val="24"/>
          <w:szCs w:val="24"/>
        </w:rPr>
        <w:t>O</w:t>
      </w:r>
      <w:r w:rsidRPr="00022B05">
        <w:rPr>
          <w:sz w:val="24"/>
          <w:szCs w:val="24"/>
          <w:vertAlign w:val="subscript"/>
        </w:rPr>
        <w:t>3</w:t>
      </w:r>
      <w:r w:rsidRPr="00022B05">
        <w:rPr>
          <w:sz w:val="24"/>
          <w:szCs w:val="24"/>
        </w:rPr>
        <w:t xml:space="preserve"> contents, and higher CaO and FeO contents, than the </w:t>
      </w:r>
      <w:r w:rsidR="001E0EA2">
        <w:rPr>
          <w:sz w:val="24"/>
          <w:szCs w:val="24"/>
        </w:rPr>
        <w:t>MgO</w:t>
      </w:r>
      <w:r w:rsidRPr="00022B05">
        <w:rPr>
          <w:sz w:val="24"/>
          <w:szCs w:val="24"/>
        </w:rPr>
        <w:t xml:space="preserve">-rich samples in dredge SMS16 (Figure 13). Using basalts from these dredges as the proposed reacted melts instead of sample SMS16-3-5 and keeping the same composition for the reacted mantle and for </w:t>
      </w:r>
      <w:r w:rsidR="00E94CD5">
        <w:rPr>
          <w:sz w:val="24"/>
          <w:szCs w:val="24"/>
        </w:rPr>
        <w:t xml:space="preserve">the </w:t>
      </w:r>
      <w:r w:rsidRPr="00022B05">
        <w:rPr>
          <w:sz w:val="24"/>
          <w:szCs w:val="24"/>
        </w:rPr>
        <w:t>solid product of the reaction yields calculated mass balance trends for each element that are simply offset but otherwise identical. For melt-rock ratios around 50, these trends therefore also predict initial compositions of the reacting melts that plot within the range of volcanic seafloor basalts, at lower Al</w:t>
      </w:r>
      <w:r w:rsidRPr="00022B05">
        <w:rPr>
          <w:sz w:val="24"/>
          <w:szCs w:val="24"/>
          <w:vertAlign w:val="subscript"/>
        </w:rPr>
        <w:t>2</w:t>
      </w:r>
      <w:r w:rsidRPr="00022B05">
        <w:rPr>
          <w:sz w:val="24"/>
          <w:szCs w:val="24"/>
        </w:rPr>
        <w:t>O</w:t>
      </w:r>
      <w:r w:rsidRPr="00022B05">
        <w:rPr>
          <w:sz w:val="24"/>
          <w:szCs w:val="24"/>
          <w:vertAlign w:val="subscript"/>
        </w:rPr>
        <w:t>3</w:t>
      </w:r>
      <w:r w:rsidRPr="00022B05">
        <w:rPr>
          <w:sz w:val="24"/>
          <w:szCs w:val="24"/>
        </w:rPr>
        <w:t xml:space="preserve"> and Na</w:t>
      </w:r>
      <w:r w:rsidRPr="00022B05">
        <w:rPr>
          <w:sz w:val="24"/>
          <w:szCs w:val="24"/>
          <w:vertAlign w:val="subscript"/>
        </w:rPr>
        <w:t>2</w:t>
      </w:r>
      <w:r w:rsidRPr="00022B05">
        <w:rPr>
          <w:sz w:val="24"/>
          <w:szCs w:val="24"/>
        </w:rPr>
        <w:t>O, and at slightly higher CaO and FeO contents than the initial compositions of the reacting melt proposed for dredge SMS16 (Figure 13).</w:t>
      </w:r>
    </w:p>
    <w:p w14:paraId="17814743" w14:textId="77777777" w:rsidR="0040545A" w:rsidRDefault="0040545A" w:rsidP="008E3798">
      <w:pPr>
        <w:tabs>
          <w:tab w:val="left" w:pos="912"/>
        </w:tabs>
        <w:spacing w:after="120"/>
        <w:jc w:val="both"/>
        <w:rPr>
          <w:sz w:val="24"/>
          <w:szCs w:val="24"/>
        </w:rPr>
      </w:pPr>
    </w:p>
    <w:p w14:paraId="55978691" w14:textId="3311EB16" w:rsidR="0040545A" w:rsidRDefault="002E76EF" w:rsidP="008E3798">
      <w:pPr>
        <w:tabs>
          <w:tab w:val="left" w:pos="912"/>
        </w:tabs>
        <w:spacing w:after="120"/>
        <w:jc w:val="both"/>
        <w:rPr>
          <w:sz w:val="24"/>
          <w:szCs w:val="24"/>
        </w:rPr>
      </w:pPr>
      <w:r w:rsidRPr="00A467DB">
        <w:rPr>
          <w:noProof/>
          <w:sz w:val="24"/>
          <w:szCs w:val="24"/>
          <w:lang w:val="en-GB" w:eastAsia="en-GB"/>
        </w:rPr>
        <w:lastRenderedPageBreak/>
        <w:drawing>
          <wp:inline distT="0" distB="0" distL="0" distR="0" wp14:anchorId="705D6641" wp14:editId="1DC53F16">
            <wp:extent cx="5935345" cy="6392545"/>
            <wp:effectExtent l="0" t="0" r="8255" b="8255"/>
            <wp:docPr id="16" name="Image 16" descr="Sans titre:Users:MarinePaquet:Documents:PhD:Sujet Basaltes - Stage M2:Papiers:Majeurs &amp; Traces:Figures:Majeurs_MeltRockRatio_fig13_finalb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ns titre:Users:MarinePaquet:Documents:PhD:Sujet Basaltes - Stage M2:Papiers:Majeurs &amp; Traces:Figures:Majeurs_MeltRockRatio_fig13_finalbis.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5345" cy="6392545"/>
                    </a:xfrm>
                    <a:prstGeom prst="rect">
                      <a:avLst/>
                    </a:prstGeom>
                    <a:noFill/>
                    <a:ln>
                      <a:noFill/>
                    </a:ln>
                  </pic:spPr>
                </pic:pic>
              </a:graphicData>
            </a:graphic>
          </wp:inline>
        </w:drawing>
      </w:r>
    </w:p>
    <w:p w14:paraId="31124F7B" w14:textId="565E08DB" w:rsidR="0040545A" w:rsidRPr="00022B05" w:rsidRDefault="0040545A" w:rsidP="008E3798">
      <w:pPr>
        <w:tabs>
          <w:tab w:val="left" w:pos="912"/>
        </w:tabs>
        <w:spacing w:after="120"/>
        <w:jc w:val="both"/>
        <w:rPr>
          <w:sz w:val="24"/>
          <w:szCs w:val="24"/>
        </w:rPr>
      </w:pPr>
      <w:proofErr w:type="gramStart"/>
      <w:r w:rsidRPr="00AC4D88">
        <w:rPr>
          <w:b/>
          <w:sz w:val="24"/>
        </w:rPr>
        <w:t xml:space="preserve">Figure </w:t>
      </w:r>
      <w:r>
        <w:rPr>
          <w:b/>
          <w:sz w:val="24"/>
        </w:rPr>
        <w:t>13</w:t>
      </w:r>
      <w:r w:rsidRPr="00AC4D88">
        <w:rPr>
          <w:sz w:val="24"/>
        </w:rPr>
        <w:t>.</w:t>
      </w:r>
      <w:proofErr w:type="gramEnd"/>
      <w:r>
        <w:rPr>
          <w:sz w:val="24"/>
        </w:rPr>
        <w:t xml:space="preserve"> </w:t>
      </w:r>
      <w:r w:rsidRPr="0040545A">
        <w:rPr>
          <w:sz w:val="24"/>
          <w:szCs w:val="24"/>
        </w:rPr>
        <w:t xml:space="preserve">Mass balance model of the possible effect of melt-rock interactions in the mantle lithosphere on the major element composition of basalts in the easternmost Southwest Indian Ridge. In this model, we use the modal abundances and major element composition of the mineral phases in the inferred products of melt-rock interaction (olivine gabbro sample SMS17-5-6 and ultramafic seafloor basalt sample SMS16-3-5), and in plagioclase-free residual lherzolite (inferred solid prior to reaction: sample ED21-5-1; </w:t>
      </w:r>
      <w:r w:rsidRPr="0040545A">
        <w:rPr>
          <w:i/>
          <w:sz w:val="24"/>
          <w:szCs w:val="24"/>
        </w:rPr>
        <w:t>Seyler et al.</w:t>
      </w:r>
      <w:r w:rsidRPr="0040545A">
        <w:rPr>
          <w:sz w:val="24"/>
          <w:szCs w:val="24"/>
        </w:rPr>
        <w:t xml:space="preserve"> </w:t>
      </w:r>
      <w:r>
        <w:rPr>
          <w:sz w:val="24"/>
          <w:szCs w:val="24"/>
        </w:rPr>
        <w:t>[</w:t>
      </w:r>
      <w:r w:rsidRPr="0040545A">
        <w:rPr>
          <w:sz w:val="24"/>
          <w:szCs w:val="24"/>
        </w:rPr>
        <w:t>2003</w:t>
      </w:r>
      <w:r>
        <w:rPr>
          <w:sz w:val="24"/>
          <w:szCs w:val="24"/>
        </w:rPr>
        <w:t>]</w:t>
      </w:r>
      <w:r w:rsidRPr="0040545A">
        <w:rPr>
          <w:sz w:val="24"/>
          <w:szCs w:val="24"/>
        </w:rPr>
        <w:t xml:space="preserve">), to reconstruct the initial composition of the reacting melt (black diamonds: no change in solid mass; </w:t>
      </w:r>
      <w:r w:rsidR="00D105E5">
        <w:rPr>
          <w:sz w:val="24"/>
          <w:szCs w:val="24"/>
        </w:rPr>
        <w:t>grey</w:t>
      </w:r>
      <w:r w:rsidRPr="0040545A">
        <w:rPr>
          <w:sz w:val="24"/>
          <w:szCs w:val="24"/>
        </w:rPr>
        <w:t xml:space="preserve"> diamonds: 100% increase of the solid mass) for a range of melt-rock ratios (see text; Matlab code is available on request).</w:t>
      </w:r>
      <w:r w:rsidR="00737C3A">
        <w:rPr>
          <w:sz w:val="24"/>
          <w:szCs w:val="24"/>
        </w:rPr>
        <w:t xml:space="preserve"> Blue ellipses correspond to the </w:t>
      </w:r>
      <w:r w:rsidR="00BF3DAD">
        <w:rPr>
          <w:sz w:val="24"/>
          <w:szCs w:val="24"/>
        </w:rPr>
        <w:t xml:space="preserve">hypothetical </w:t>
      </w:r>
      <w:r w:rsidR="00737C3A">
        <w:rPr>
          <w:sz w:val="24"/>
          <w:szCs w:val="24"/>
        </w:rPr>
        <w:t>compositional range of the initial reacting melts.</w:t>
      </w:r>
      <w:r w:rsidR="00BF3DAD">
        <w:rPr>
          <w:sz w:val="24"/>
          <w:szCs w:val="24"/>
        </w:rPr>
        <w:t xml:space="preserve"> </w:t>
      </w:r>
      <w:proofErr w:type="gramStart"/>
      <w:r w:rsidRPr="0040545A">
        <w:rPr>
          <w:sz w:val="24"/>
          <w:szCs w:val="24"/>
        </w:rPr>
        <w:t>SiO</w:t>
      </w:r>
      <w:r w:rsidRPr="0040545A">
        <w:rPr>
          <w:sz w:val="24"/>
          <w:szCs w:val="24"/>
          <w:vertAlign w:val="subscript"/>
        </w:rPr>
        <w:t>2</w:t>
      </w:r>
      <w:r w:rsidRPr="0040545A">
        <w:rPr>
          <w:sz w:val="24"/>
          <w:szCs w:val="24"/>
        </w:rPr>
        <w:t xml:space="preserve"> </w:t>
      </w:r>
      <w:r w:rsidRPr="0040545A">
        <w:rPr>
          <w:b/>
          <w:sz w:val="24"/>
          <w:szCs w:val="24"/>
        </w:rPr>
        <w:t>(a)</w:t>
      </w:r>
      <w:r w:rsidRPr="0040545A">
        <w:rPr>
          <w:sz w:val="24"/>
          <w:szCs w:val="24"/>
        </w:rPr>
        <w:t>, TiO</w:t>
      </w:r>
      <w:r w:rsidRPr="0040545A">
        <w:rPr>
          <w:sz w:val="24"/>
          <w:szCs w:val="24"/>
          <w:vertAlign w:val="subscript"/>
        </w:rPr>
        <w:t>2</w:t>
      </w:r>
      <w:r w:rsidRPr="0040545A">
        <w:rPr>
          <w:sz w:val="24"/>
          <w:szCs w:val="24"/>
        </w:rPr>
        <w:t xml:space="preserve"> </w:t>
      </w:r>
      <w:r w:rsidRPr="0040545A">
        <w:rPr>
          <w:b/>
          <w:sz w:val="24"/>
          <w:szCs w:val="24"/>
        </w:rPr>
        <w:t>(b)</w:t>
      </w:r>
      <w:r w:rsidRPr="0040545A">
        <w:rPr>
          <w:sz w:val="24"/>
          <w:szCs w:val="24"/>
        </w:rPr>
        <w:t>, Na</w:t>
      </w:r>
      <w:r w:rsidRPr="0040545A">
        <w:rPr>
          <w:sz w:val="24"/>
          <w:szCs w:val="24"/>
          <w:vertAlign w:val="subscript"/>
        </w:rPr>
        <w:t>2</w:t>
      </w:r>
      <w:r w:rsidRPr="0040545A">
        <w:rPr>
          <w:sz w:val="24"/>
          <w:szCs w:val="24"/>
        </w:rPr>
        <w:t xml:space="preserve">O </w:t>
      </w:r>
      <w:r w:rsidRPr="0040545A">
        <w:rPr>
          <w:b/>
          <w:sz w:val="24"/>
          <w:szCs w:val="24"/>
        </w:rPr>
        <w:t>(c)</w:t>
      </w:r>
      <w:r w:rsidRPr="0040545A">
        <w:rPr>
          <w:sz w:val="24"/>
          <w:szCs w:val="24"/>
        </w:rPr>
        <w:t xml:space="preserve">, CaO </w:t>
      </w:r>
      <w:r w:rsidRPr="0040545A">
        <w:rPr>
          <w:b/>
          <w:sz w:val="24"/>
          <w:szCs w:val="24"/>
        </w:rPr>
        <w:t>(d)</w:t>
      </w:r>
      <w:r w:rsidRPr="0040545A">
        <w:rPr>
          <w:sz w:val="24"/>
          <w:szCs w:val="24"/>
        </w:rPr>
        <w:t>, Al</w:t>
      </w:r>
      <w:r w:rsidRPr="0040545A">
        <w:rPr>
          <w:sz w:val="24"/>
          <w:szCs w:val="24"/>
          <w:vertAlign w:val="subscript"/>
        </w:rPr>
        <w:t>2</w:t>
      </w:r>
      <w:r w:rsidRPr="0040545A">
        <w:rPr>
          <w:sz w:val="24"/>
          <w:szCs w:val="24"/>
        </w:rPr>
        <w:t>O</w:t>
      </w:r>
      <w:r w:rsidRPr="0040545A">
        <w:rPr>
          <w:sz w:val="24"/>
          <w:szCs w:val="24"/>
          <w:vertAlign w:val="subscript"/>
        </w:rPr>
        <w:t>3</w:t>
      </w:r>
      <w:r w:rsidRPr="0040545A">
        <w:rPr>
          <w:sz w:val="24"/>
          <w:szCs w:val="24"/>
        </w:rPr>
        <w:t xml:space="preserve"> </w:t>
      </w:r>
      <w:r w:rsidRPr="0040545A">
        <w:rPr>
          <w:b/>
          <w:sz w:val="24"/>
          <w:szCs w:val="24"/>
        </w:rPr>
        <w:t>(e)</w:t>
      </w:r>
      <w:r w:rsidRPr="0040545A">
        <w:rPr>
          <w:sz w:val="24"/>
          <w:szCs w:val="24"/>
        </w:rPr>
        <w:t xml:space="preserve"> and FeO </w:t>
      </w:r>
      <w:r w:rsidRPr="0040545A">
        <w:rPr>
          <w:b/>
          <w:sz w:val="24"/>
          <w:szCs w:val="24"/>
        </w:rPr>
        <w:t>(f)</w:t>
      </w:r>
      <w:r w:rsidRPr="0040545A">
        <w:rPr>
          <w:sz w:val="24"/>
          <w:szCs w:val="24"/>
        </w:rPr>
        <w:t xml:space="preserve"> contents in </w:t>
      </w:r>
      <w:r w:rsidRPr="0040545A">
        <w:rPr>
          <w:sz w:val="24"/>
          <w:szCs w:val="24"/>
        </w:rPr>
        <w:lastRenderedPageBreak/>
        <w:t>function of MgO content.</w:t>
      </w:r>
      <w:proofErr w:type="gramEnd"/>
      <w:r w:rsidRPr="0040545A">
        <w:rPr>
          <w:sz w:val="24"/>
          <w:szCs w:val="24"/>
        </w:rPr>
        <w:t xml:space="preserve"> Dotted lines correspond to the liquid lines of descent for different crystallization pressures of 2, 4 and 8 kbar </w:t>
      </w:r>
      <w:r w:rsidR="00A467DB">
        <w:rPr>
          <w:sz w:val="24"/>
          <w:szCs w:val="24"/>
        </w:rPr>
        <w:t xml:space="preserve">calculated </w:t>
      </w:r>
      <w:r w:rsidRPr="0040545A">
        <w:rPr>
          <w:sz w:val="24"/>
          <w:szCs w:val="24"/>
        </w:rPr>
        <w:t xml:space="preserve">with the Petrolog code </w:t>
      </w:r>
      <w:r>
        <w:rPr>
          <w:sz w:val="24"/>
          <w:szCs w:val="24"/>
        </w:rPr>
        <w:t>[</w:t>
      </w:r>
      <w:r w:rsidRPr="0040545A">
        <w:rPr>
          <w:i/>
          <w:sz w:val="24"/>
          <w:szCs w:val="24"/>
        </w:rPr>
        <w:t>Danyushevsky and Plechov</w:t>
      </w:r>
      <w:r w:rsidRPr="0040545A">
        <w:rPr>
          <w:sz w:val="24"/>
          <w:szCs w:val="24"/>
        </w:rPr>
        <w:t>, 2011</w:t>
      </w:r>
      <w:r>
        <w:rPr>
          <w:sz w:val="24"/>
          <w:szCs w:val="24"/>
        </w:rPr>
        <w:t>]</w:t>
      </w:r>
      <w:r w:rsidRPr="0040545A">
        <w:rPr>
          <w:sz w:val="24"/>
          <w:szCs w:val="24"/>
        </w:rPr>
        <w:t xml:space="preserve"> for a starting composition similar to ultramafic seafloor basalt SMS16-3-5. Dots along these trends correspond to percent </w:t>
      </w:r>
      <w:r w:rsidR="00237FA4">
        <w:rPr>
          <w:sz w:val="24"/>
          <w:szCs w:val="24"/>
        </w:rPr>
        <w:t xml:space="preserve">of </w:t>
      </w:r>
      <w:r w:rsidRPr="0040545A">
        <w:rPr>
          <w:sz w:val="24"/>
          <w:szCs w:val="24"/>
        </w:rPr>
        <w:t xml:space="preserve">crystallization. The details of these calculations are given in the Supplementary material </w:t>
      </w:r>
      <w:r w:rsidR="00470F7C">
        <w:rPr>
          <w:sz w:val="24"/>
          <w:szCs w:val="24"/>
        </w:rPr>
        <w:t xml:space="preserve">Text </w:t>
      </w:r>
      <w:r w:rsidRPr="0040545A">
        <w:rPr>
          <w:sz w:val="24"/>
          <w:szCs w:val="24"/>
        </w:rPr>
        <w:t>S</w:t>
      </w:r>
      <w:r w:rsidR="00331BA1">
        <w:rPr>
          <w:sz w:val="24"/>
          <w:szCs w:val="24"/>
        </w:rPr>
        <w:t>2</w:t>
      </w:r>
      <w:r w:rsidRPr="0040545A">
        <w:rPr>
          <w:sz w:val="24"/>
          <w:szCs w:val="24"/>
        </w:rPr>
        <w:t xml:space="preserve">. The model trends are plotted over the composition of easternmost SWIR basalts shown as dots. White dots correspond to samples with REE patterns that are more enriched than ultramafic seafloor basalts from dredges SMS16, 23 and 28. Dark grey dots correspond to samples with REE patterns similar to ultramafic seafloor basalts from dredges SMS16, 23 and 28. The very primitive, LREE-depleted basalts that are shown in grey symbols in Figure </w:t>
      </w:r>
      <w:proofErr w:type="gramStart"/>
      <w:r w:rsidRPr="0040545A">
        <w:rPr>
          <w:sz w:val="24"/>
          <w:szCs w:val="24"/>
        </w:rPr>
        <w:t>3</w:t>
      </w:r>
      <w:r>
        <w:rPr>
          <w:sz w:val="24"/>
          <w:szCs w:val="24"/>
        </w:rPr>
        <w:t>,</w:t>
      </w:r>
      <w:proofErr w:type="gramEnd"/>
      <w:r>
        <w:rPr>
          <w:sz w:val="24"/>
          <w:szCs w:val="24"/>
        </w:rPr>
        <w:t xml:space="preserve"> are not represented here.</w:t>
      </w:r>
    </w:p>
    <w:p w14:paraId="2168F786" w14:textId="414C82C6" w:rsidR="008E3798" w:rsidRPr="00022B05" w:rsidRDefault="00CA06AA" w:rsidP="008E3798">
      <w:pPr>
        <w:pStyle w:val="Heading-Secondary"/>
      </w:pPr>
      <w:r>
        <w:t>6</w:t>
      </w:r>
      <w:r w:rsidR="008E3798" w:rsidRPr="00022B05">
        <w:t>.2 Melt-rock reactions and fractional crystallization</w:t>
      </w:r>
    </w:p>
    <w:p w14:paraId="0D9E6C97" w14:textId="0C7030C3" w:rsidR="008E3798" w:rsidRPr="00CB6492" w:rsidRDefault="008E3798" w:rsidP="008E3798">
      <w:pPr>
        <w:spacing w:before="120"/>
        <w:jc w:val="both"/>
        <w:rPr>
          <w:sz w:val="24"/>
          <w:szCs w:val="24"/>
        </w:rPr>
      </w:pPr>
      <w:r w:rsidRPr="00022B05">
        <w:rPr>
          <w:sz w:val="24"/>
          <w:szCs w:val="24"/>
        </w:rPr>
        <w:tab/>
        <w:t>In Figure 13 we also show the liquid lines of descent (LLD) calculated wit</w:t>
      </w:r>
      <w:r w:rsidR="0011787F" w:rsidRPr="00022B05">
        <w:rPr>
          <w:sz w:val="24"/>
          <w:szCs w:val="24"/>
        </w:rPr>
        <w:t>h the Petrolog code [</w:t>
      </w:r>
      <w:r w:rsidR="0011787F" w:rsidRPr="00022B05">
        <w:rPr>
          <w:i/>
          <w:sz w:val="24"/>
          <w:szCs w:val="24"/>
        </w:rPr>
        <w:t>Danyushevsky and Plechov</w:t>
      </w:r>
      <w:r w:rsidR="0011787F" w:rsidRPr="00022B05">
        <w:rPr>
          <w:sz w:val="24"/>
          <w:szCs w:val="24"/>
        </w:rPr>
        <w:t>, 2011]</w:t>
      </w:r>
      <w:r w:rsidRPr="00022B05">
        <w:rPr>
          <w:sz w:val="24"/>
          <w:szCs w:val="24"/>
        </w:rPr>
        <w:t xml:space="preserve"> for fractional crystallization of olivine, plagioclase and clinopyroxene </w:t>
      </w:r>
      <w:r w:rsidR="00050E43">
        <w:rPr>
          <w:sz w:val="24"/>
          <w:szCs w:val="24"/>
        </w:rPr>
        <w:t>for</w:t>
      </w:r>
      <w:r w:rsidR="00050E43" w:rsidRPr="00022B05">
        <w:rPr>
          <w:sz w:val="24"/>
          <w:szCs w:val="24"/>
        </w:rPr>
        <w:t xml:space="preserve"> </w:t>
      </w:r>
      <w:r w:rsidRPr="00022B05">
        <w:rPr>
          <w:sz w:val="24"/>
          <w:szCs w:val="24"/>
        </w:rPr>
        <w:t>a range of pressures (2, 4 and 8 kbar). The starting melt composition is that of basalt sample SMS16-3-5</w:t>
      </w:r>
      <w:r w:rsidRPr="00CB6492">
        <w:rPr>
          <w:sz w:val="24"/>
          <w:szCs w:val="24"/>
        </w:rPr>
        <w:t xml:space="preserve">. </w:t>
      </w:r>
      <w:r w:rsidR="00CB6492" w:rsidRPr="00CB6492">
        <w:rPr>
          <w:sz w:val="24"/>
          <w:szCs w:val="24"/>
        </w:rPr>
        <w:t>LLDs calculated for the more calcium-rich ultramafic seafloor basalts in dredges SMS23 and 28 (pink and orange triangles in Figure 13) are similar to those calculated for sample SMS16-3-5, except that they predict that clinopyroxene starts crystallizing a bit earlier (for example clinopyroxene is in at 13.6% and 19.1% fractional crystallization, respectively, at 8 kbar, against 26.3% with basalt sample SMS16-3-5 as a starting melt).</w:t>
      </w:r>
    </w:p>
    <w:p w14:paraId="1043691E" w14:textId="71F77349" w:rsidR="008E3798" w:rsidRDefault="008E3798" w:rsidP="008E3798">
      <w:pPr>
        <w:spacing w:before="120"/>
        <w:jc w:val="both"/>
        <w:rPr>
          <w:sz w:val="24"/>
          <w:szCs w:val="24"/>
        </w:rPr>
      </w:pPr>
      <w:r w:rsidRPr="00022B05">
        <w:rPr>
          <w:b/>
          <w:sz w:val="24"/>
          <w:szCs w:val="24"/>
        </w:rPr>
        <w:tab/>
      </w:r>
      <w:r w:rsidRPr="00022B05">
        <w:rPr>
          <w:sz w:val="24"/>
          <w:szCs w:val="24"/>
        </w:rPr>
        <w:t>We see that the melt-mantle reaction trends</w:t>
      </w:r>
      <w:r w:rsidR="00707F21">
        <w:rPr>
          <w:sz w:val="24"/>
          <w:szCs w:val="24"/>
        </w:rPr>
        <w:t>,</w:t>
      </w:r>
      <w:r w:rsidRPr="00022B05">
        <w:rPr>
          <w:sz w:val="24"/>
          <w:szCs w:val="24"/>
        </w:rPr>
        <w:t xml:space="preserve"> calculated with </w:t>
      </w:r>
      <w:r w:rsidR="00E55178">
        <w:rPr>
          <w:sz w:val="24"/>
          <w:szCs w:val="24"/>
        </w:rPr>
        <w:t>this</w:t>
      </w:r>
      <w:r w:rsidR="00E55178" w:rsidRPr="00022B05">
        <w:rPr>
          <w:sz w:val="24"/>
          <w:szCs w:val="24"/>
        </w:rPr>
        <w:t xml:space="preserve"> </w:t>
      </w:r>
      <w:r w:rsidRPr="00022B05">
        <w:rPr>
          <w:sz w:val="24"/>
          <w:szCs w:val="24"/>
        </w:rPr>
        <w:t xml:space="preserve">mass balance approach using </w:t>
      </w:r>
      <w:r w:rsidR="0011523A" w:rsidRPr="00CB6492">
        <w:rPr>
          <w:sz w:val="24"/>
          <w:szCs w:val="24"/>
        </w:rPr>
        <w:t>basalt sample SMS16-3-5</w:t>
      </w:r>
      <w:r w:rsidR="0011523A">
        <w:rPr>
          <w:sz w:val="24"/>
          <w:szCs w:val="24"/>
        </w:rPr>
        <w:t xml:space="preserve"> </w:t>
      </w:r>
      <w:r w:rsidRPr="00022B05">
        <w:rPr>
          <w:sz w:val="24"/>
          <w:szCs w:val="24"/>
        </w:rPr>
        <w:t>as the composition of the reacted melt</w:t>
      </w:r>
      <w:r w:rsidR="00707F21">
        <w:rPr>
          <w:sz w:val="24"/>
          <w:szCs w:val="24"/>
        </w:rPr>
        <w:t>,</w:t>
      </w:r>
      <w:r w:rsidRPr="00022B05">
        <w:rPr>
          <w:sz w:val="24"/>
          <w:szCs w:val="24"/>
        </w:rPr>
        <w:t xml:space="preserve"> are comparable to the early portions of these LLDs. This is understandable because in these early portions of the LLDs, Petrolog predicts fractional crystallization of olivine, then of olivine and plagioclase (Figure 13), while olivine dissolution leading to higher MgO content of the reacted melt clearly dominates the calculated melt-rock reaction trends. </w:t>
      </w:r>
      <w:r w:rsidR="00CB6492" w:rsidRPr="00022B05">
        <w:rPr>
          <w:sz w:val="24"/>
          <w:szCs w:val="24"/>
        </w:rPr>
        <w:t>The similarity between LLDs and melt-mantle reaction trends</w:t>
      </w:r>
      <w:r w:rsidR="00CB6492" w:rsidRPr="00022B05" w:rsidDel="009A70AC">
        <w:rPr>
          <w:sz w:val="24"/>
          <w:szCs w:val="24"/>
        </w:rPr>
        <w:t xml:space="preserve"> </w:t>
      </w:r>
      <w:r w:rsidR="00CB6492" w:rsidRPr="00022B05">
        <w:rPr>
          <w:sz w:val="24"/>
          <w:szCs w:val="24"/>
        </w:rPr>
        <w:t xml:space="preserve">is strong over the </w:t>
      </w:r>
      <w:r w:rsidR="00CB6492">
        <w:rPr>
          <w:sz w:val="24"/>
          <w:szCs w:val="24"/>
        </w:rPr>
        <w:t>full</w:t>
      </w:r>
      <w:r w:rsidR="00CB6492" w:rsidRPr="00022B05">
        <w:rPr>
          <w:sz w:val="24"/>
          <w:szCs w:val="24"/>
        </w:rPr>
        <w:t xml:space="preserve"> range of investigated melt-rock ratios for SiO</w:t>
      </w:r>
      <w:r w:rsidR="00CB6492" w:rsidRPr="00022B05">
        <w:rPr>
          <w:sz w:val="24"/>
          <w:szCs w:val="24"/>
          <w:vertAlign w:val="subscript"/>
        </w:rPr>
        <w:t>2</w:t>
      </w:r>
      <w:r w:rsidR="00CB6492" w:rsidRPr="00022B05">
        <w:rPr>
          <w:sz w:val="24"/>
          <w:szCs w:val="24"/>
        </w:rPr>
        <w:t>, CaO and Na</w:t>
      </w:r>
      <w:r w:rsidR="00CB6492" w:rsidRPr="00022B05">
        <w:rPr>
          <w:sz w:val="24"/>
          <w:szCs w:val="24"/>
          <w:vertAlign w:val="subscript"/>
        </w:rPr>
        <w:t>2</w:t>
      </w:r>
      <w:r w:rsidR="00CB6492" w:rsidRPr="00022B05">
        <w:rPr>
          <w:sz w:val="24"/>
          <w:szCs w:val="24"/>
        </w:rPr>
        <w:t xml:space="preserve">O. </w:t>
      </w:r>
      <w:r w:rsidR="00CB6492">
        <w:rPr>
          <w:sz w:val="24"/>
          <w:szCs w:val="24"/>
        </w:rPr>
        <w:t>F</w:t>
      </w:r>
      <w:r w:rsidR="00CB6492" w:rsidRPr="00022B05">
        <w:rPr>
          <w:sz w:val="24"/>
          <w:szCs w:val="24"/>
        </w:rPr>
        <w:t>or Al</w:t>
      </w:r>
      <w:r w:rsidR="00CB6492" w:rsidRPr="00022B05">
        <w:rPr>
          <w:sz w:val="24"/>
          <w:szCs w:val="24"/>
          <w:vertAlign w:val="subscript"/>
        </w:rPr>
        <w:t>2</w:t>
      </w:r>
      <w:r w:rsidR="00CB6492" w:rsidRPr="00022B05">
        <w:rPr>
          <w:sz w:val="24"/>
          <w:szCs w:val="24"/>
        </w:rPr>
        <w:t>O</w:t>
      </w:r>
      <w:r w:rsidR="00CB6492" w:rsidRPr="00022B05">
        <w:rPr>
          <w:sz w:val="24"/>
          <w:szCs w:val="24"/>
          <w:vertAlign w:val="subscript"/>
        </w:rPr>
        <w:t>3</w:t>
      </w:r>
      <w:r w:rsidR="00CB6492" w:rsidRPr="00022B05">
        <w:rPr>
          <w:sz w:val="24"/>
          <w:szCs w:val="24"/>
        </w:rPr>
        <w:t>, FeO and TiO</w:t>
      </w:r>
      <w:r w:rsidR="00CB6492" w:rsidRPr="00022B05">
        <w:rPr>
          <w:sz w:val="24"/>
          <w:szCs w:val="24"/>
          <w:vertAlign w:val="subscript"/>
        </w:rPr>
        <w:t>2</w:t>
      </w:r>
      <w:r w:rsidR="00CB6492">
        <w:rPr>
          <w:sz w:val="24"/>
          <w:szCs w:val="24"/>
        </w:rPr>
        <w:t>, the similarity does not persist for the lowest melt-rock ratios</w:t>
      </w:r>
      <w:r w:rsidR="00CB6492" w:rsidRPr="00022B05">
        <w:rPr>
          <w:sz w:val="24"/>
          <w:szCs w:val="24"/>
        </w:rPr>
        <w:t xml:space="preserve"> because these three elements vary rapidly in LLDs as plagioclase kicks in and as crystallization rates increase (for basalt sample SMS16-3-5 as a starting melt</w:t>
      </w:r>
      <w:r w:rsidR="00707F21">
        <w:rPr>
          <w:sz w:val="24"/>
          <w:szCs w:val="24"/>
        </w:rPr>
        <w:t>,</w:t>
      </w:r>
      <w:r w:rsidR="00CB6492" w:rsidRPr="00022B05" w:rsidDel="00312047">
        <w:rPr>
          <w:sz w:val="24"/>
          <w:szCs w:val="24"/>
        </w:rPr>
        <w:t xml:space="preserve"> </w:t>
      </w:r>
      <w:r w:rsidR="00707F21">
        <w:rPr>
          <w:sz w:val="24"/>
          <w:szCs w:val="24"/>
        </w:rPr>
        <w:t>plagioclase is in</w:t>
      </w:r>
      <w:r w:rsidR="00CB6492" w:rsidRPr="00022B05">
        <w:rPr>
          <w:sz w:val="24"/>
          <w:szCs w:val="24"/>
        </w:rPr>
        <w:t xml:space="preserve"> at only 1.4% fractional crystallization over the range of investigated crystallization pressures; Figure 13).</w:t>
      </w:r>
    </w:p>
    <w:p w14:paraId="0B31D6E5" w14:textId="1459F163" w:rsidR="00CB6492" w:rsidRDefault="00CB6492" w:rsidP="00CB6492">
      <w:pPr>
        <w:spacing w:before="120"/>
        <w:jc w:val="both"/>
        <w:rPr>
          <w:sz w:val="24"/>
          <w:szCs w:val="24"/>
        </w:rPr>
      </w:pPr>
      <w:r>
        <w:rPr>
          <w:sz w:val="24"/>
          <w:szCs w:val="24"/>
        </w:rPr>
        <w:tab/>
        <w:t>Because of the similarity between</w:t>
      </w:r>
      <w:r w:rsidRPr="00022B05">
        <w:rPr>
          <w:sz w:val="24"/>
          <w:szCs w:val="24"/>
        </w:rPr>
        <w:t xml:space="preserve"> </w:t>
      </w:r>
      <w:r>
        <w:rPr>
          <w:sz w:val="24"/>
          <w:szCs w:val="24"/>
        </w:rPr>
        <w:t xml:space="preserve">the early portions of the </w:t>
      </w:r>
      <w:r w:rsidRPr="00022B05">
        <w:rPr>
          <w:sz w:val="24"/>
          <w:szCs w:val="24"/>
        </w:rPr>
        <w:t xml:space="preserve">LLDs and </w:t>
      </w:r>
      <w:r>
        <w:rPr>
          <w:sz w:val="24"/>
          <w:szCs w:val="24"/>
        </w:rPr>
        <w:t xml:space="preserve">the </w:t>
      </w:r>
      <w:r w:rsidRPr="00022B05">
        <w:rPr>
          <w:sz w:val="24"/>
          <w:szCs w:val="24"/>
        </w:rPr>
        <w:t>melt-mantle reaction trends</w:t>
      </w:r>
      <w:r>
        <w:rPr>
          <w:sz w:val="24"/>
          <w:szCs w:val="24"/>
        </w:rPr>
        <w:t xml:space="preserve">, basalts with intermediate MgO contents in </w:t>
      </w:r>
      <w:r w:rsidR="00E55178">
        <w:rPr>
          <w:sz w:val="24"/>
          <w:szCs w:val="24"/>
        </w:rPr>
        <w:t xml:space="preserve">the </w:t>
      </w:r>
      <w:r>
        <w:rPr>
          <w:sz w:val="24"/>
          <w:szCs w:val="24"/>
        </w:rPr>
        <w:t xml:space="preserve">sample set can be interpreted either as parent melts that have escaped the effects of melt-mantle interactions on their way to the seafloor (or have been involved in such reactions but at melt-rock ratios &gt;100), or as the product of small (&lt;10%; Figure 13) degrees of fractional crystallization from parent melts that would instead have been similar in composition to the more Mg-rich ultramafic seafloor samples. Trace element composition is </w:t>
      </w:r>
      <w:proofErr w:type="gramStart"/>
      <w:r>
        <w:rPr>
          <w:sz w:val="24"/>
          <w:szCs w:val="24"/>
        </w:rPr>
        <w:t>key</w:t>
      </w:r>
      <w:proofErr w:type="gramEnd"/>
      <w:r>
        <w:rPr>
          <w:sz w:val="24"/>
          <w:szCs w:val="24"/>
        </w:rPr>
        <w:t xml:space="preserve"> to discriminate between these two interpretations. Figure 13 shows that volcanic seafloor basalts that have enriched REE patterns with negative Eu anomalies indicative of plagioclase fractionation (Figure </w:t>
      </w:r>
      <w:r w:rsidR="0011523A">
        <w:rPr>
          <w:sz w:val="24"/>
          <w:szCs w:val="24"/>
        </w:rPr>
        <w:t>4</w:t>
      </w:r>
      <w:r>
        <w:rPr>
          <w:sz w:val="24"/>
          <w:szCs w:val="24"/>
        </w:rPr>
        <w:t>), have MgO content between</w:t>
      </w:r>
      <w:r w:rsidR="00C175E7">
        <w:rPr>
          <w:sz w:val="24"/>
          <w:szCs w:val="24"/>
        </w:rPr>
        <w:t xml:space="preserve"> 6.</w:t>
      </w:r>
      <w:r w:rsidR="002A2933">
        <w:rPr>
          <w:sz w:val="24"/>
          <w:szCs w:val="24"/>
        </w:rPr>
        <w:t xml:space="preserve">6 </w:t>
      </w:r>
      <w:r w:rsidR="00345D39">
        <w:rPr>
          <w:sz w:val="24"/>
          <w:szCs w:val="24"/>
        </w:rPr>
        <w:t>and 8.3</w:t>
      </w:r>
      <w:r w:rsidR="00707F21">
        <w:rPr>
          <w:sz w:val="24"/>
          <w:szCs w:val="24"/>
        </w:rPr>
        <w:t xml:space="preserve"> wt</w:t>
      </w:r>
      <w:r>
        <w:rPr>
          <w:sz w:val="24"/>
          <w:szCs w:val="24"/>
        </w:rPr>
        <w:t>% and TiO</w:t>
      </w:r>
      <w:r w:rsidRPr="00CB6492">
        <w:rPr>
          <w:sz w:val="24"/>
          <w:szCs w:val="24"/>
          <w:vertAlign w:val="subscript"/>
        </w:rPr>
        <w:t>2</w:t>
      </w:r>
      <w:r w:rsidR="00C175E7">
        <w:rPr>
          <w:sz w:val="24"/>
          <w:szCs w:val="24"/>
        </w:rPr>
        <w:t xml:space="preserve"> contents between 1.</w:t>
      </w:r>
      <w:r w:rsidR="002A2933">
        <w:rPr>
          <w:sz w:val="24"/>
          <w:szCs w:val="24"/>
        </w:rPr>
        <w:t xml:space="preserve">3 </w:t>
      </w:r>
      <w:r w:rsidR="00C175E7">
        <w:rPr>
          <w:sz w:val="24"/>
          <w:szCs w:val="24"/>
        </w:rPr>
        <w:t>and 1.</w:t>
      </w:r>
      <w:r w:rsidR="002A2933">
        <w:rPr>
          <w:sz w:val="24"/>
          <w:szCs w:val="24"/>
        </w:rPr>
        <w:t>6</w:t>
      </w:r>
      <w:r w:rsidR="00707F21">
        <w:rPr>
          <w:sz w:val="24"/>
          <w:szCs w:val="24"/>
        </w:rPr>
        <w:t xml:space="preserve"> wt</w:t>
      </w:r>
      <w:r>
        <w:rPr>
          <w:sz w:val="24"/>
          <w:szCs w:val="24"/>
        </w:rPr>
        <w:t>%. By contrast, volcanic seafloor basalts with REE patterns similar to those of the ultramafic seafloor basalts in dredges SMS-DR16, 23 an</w:t>
      </w:r>
      <w:r w:rsidR="00C175E7">
        <w:rPr>
          <w:sz w:val="24"/>
          <w:szCs w:val="24"/>
        </w:rPr>
        <w:t>d 28 have MgO content between 7.</w:t>
      </w:r>
      <w:r w:rsidR="002A2933">
        <w:rPr>
          <w:sz w:val="24"/>
          <w:szCs w:val="24"/>
        </w:rPr>
        <w:t xml:space="preserve">4 </w:t>
      </w:r>
      <w:r w:rsidR="00C175E7">
        <w:rPr>
          <w:sz w:val="24"/>
          <w:szCs w:val="24"/>
        </w:rPr>
        <w:t>and 8.3</w:t>
      </w:r>
      <w:r w:rsidR="00707F21">
        <w:rPr>
          <w:sz w:val="24"/>
          <w:szCs w:val="24"/>
        </w:rPr>
        <w:t xml:space="preserve"> wt</w:t>
      </w:r>
      <w:r>
        <w:rPr>
          <w:sz w:val="24"/>
          <w:szCs w:val="24"/>
        </w:rPr>
        <w:t>%</w:t>
      </w:r>
      <w:r w:rsidRPr="00F53F9C">
        <w:rPr>
          <w:sz w:val="24"/>
          <w:szCs w:val="24"/>
        </w:rPr>
        <w:t xml:space="preserve"> </w:t>
      </w:r>
      <w:r>
        <w:rPr>
          <w:sz w:val="24"/>
          <w:szCs w:val="24"/>
        </w:rPr>
        <w:t>and TiO</w:t>
      </w:r>
      <w:r w:rsidRPr="00CB6492">
        <w:rPr>
          <w:sz w:val="24"/>
          <w:szCs w:val="24"/>
          <w:vertAlign w:val="subscript"/>
        </w:rPr>
        <w:t>2</w:t>
      </w:r>
      <w:r w:rsidR="00C175E7">
        <w:rPr>
          <w:sz w:val="24"/>
          <w:szCs w:val="24"/>
        </w:rPr>
        <w:t xml:space="preserve"> contents between 1.1 and 1.3</w:t>
      </w:r>
      <w:r w:rsidR="00707F21">
        <w:rPr>
          <w:sz w:val="24"/>
          <w:szCs w:val="24"/>
        </w:rPr>
        <w:t xml:space="preserve"> wt</w:t>
      </w:r>
      <w:r>
        <w:rPr>
          <w:sz w:val="24"/>
          <w:szCs w:val="24"/>
        </w:rPr>
        <w:t xml:space="preserve">%. </w:t>
      </w:r>
    </w:p>
    <w:p w14:paraId="4B41410A" w14:textId="120DB94E" w:rsidR="008E3798" w:rsidRPr="00022B05" w:rsidRDefault="008E3798" w:rsidP="008E3798">
      <w:pPr>
        <w:spacing w:before="120"/>
        <w:jc w:val="both"/>
        <w:rPr>
          <w:sz w:val="24"/>
          <w:szCs w:val="24"/>
        </w:rPr>
      </w:pPr>
    </w:p>
    <w:p w14:paraId="3E0C6FDD" w14:textId="64AB7EA7" w:rsidR="008E3798" w:rsidRPr="00022B05" w:rsidRDefault="00CA06AA" w:rsidP="008E3798">
      <w:pPr>
        <w:pStyle w:val="Heading-Secondary"/>
      </w:pPr>
      <w:r>
        <w:lastRenderedPageBreak/>
        <w:t>6</w:t>
      </w:r>
      <w:r w:rsidR="008E3798" w:rsidRPr="00022B05">
        <w:t xml:space="preserve">.3 Magma plumbing </w:t>
      </w:r>
      <w:r w:rsidR="002A2933">
        <w:t xml:space="preserve">system </w:t>
      </w:r>
      <w:r w:rsidR="002A2933" w:rsidRPr="00022B05">
        <w:t xml:space="preserve">at </w:t>
      </w:r>
      <w:r w:rsidR="002A2933">
        <w:t>a</w:t>
      </w:r>
      <w:r w:rsidR="002A2933" w:rsidRPr="00022B05">
        <w:t xml:space="preserve"> </w:t>
      </w:r>
      <w:r w:rsidR="002A2933">
        <w:t>melt-poor and ultraslow mid-ocean ridge</w:t>
      </w:r>
    </w:p>
    <w:p w14:paraId="59BCEB42" w14:textId="423DD451" w:rsidR="008E3798" w:rsidRPr="00022B05" w:rsidRDefault="008E3798" w:rsidP="008E3798">
      <w:pPr>
        <w:widowControl w:val="0"/>
        <w:autoSpaceDE w:val="0"/>
        <w:autoSpaceDN w:val="0"/>
        <w:adjustRightInd w:val="0"/>
        <w:spacing w:after="120"/>
        <w:jc w:val="both"/>
        <w:rPr>
          <w:sz w:val="24"/>
          <w:szCs w:val="24"/>
        </w:rPr>
      </w:pPr>
      <w:r w:rsidRPr="00022B05">
        <w:rPr>
          <w:sz w:val="24"/>
          <w:szCs w:val="24"/>
        </w:rPr>
        <w:tab/>
        <w:t xml:space="preserve">Our interpretation links the plagioclase-bearing reacted ultramafic and gabbroic rocks sampled in the nearly amagmatic corridors of </w:t>
      </w:r>
      <w:r w:rsidR="00E55178">
        <w:rPr>
          <w:sz w:val="24"/>
          <w:szCs w:val="24"/>
        </w:rPr>
        <w:t>the</w:t>
      </w:r>
      <w:r w:rsidR="00E55178" w:rsidRPr="00022B05">
        <w:rPr>
          <w:sz w:val="24"/>
          <w:szCs w:val="24"/>
        </w:rPr>
        <w:t xml:space="preserve"> </w:t>
      </w:r>
      <w:r w:rsidRPr="00022B05">
        <w:rPr>
          <w:sz w:val="24"/>
          <w:szCs w:val="24"/>
        </w:rPr>
        <w:t xml:space="preserve">study area, to interactions with basaltic melts that have then been erupted at the seafloor. In this interpretation, ultramafic seafloor basalts and most volcanic seafloor basalts result from similar degrees of melting of a common mantle source and the inferred composition of the parental melts for these two groups of basalts </w:t>
      </w:r>
      <w:r w:rsidR="00C30EC3" w:rsidRPr="00022B05">
        <w:rPr>
          <w:sz w:val="24"/>
          <w:szCs w:val="24"/>
        </w:rPr>
        <w:t>(</w:t>
      </w:r>
      <w:r w:rsidR="00C30EC3">
        <w:rPr>
          <w:sz w:val="24"/>
          <w:szCs w:val="24"/>
        </w:rPr>
        <w:t>shaded domains in F</w:t>
      </w:r>
      <w:r w:rsidR="00C30EC3" w:rsidRPr="00022B05">
        <w:rPr>
          <w:sz w:val="24"/>
          <w:szCs w:val="24"/>
        </w:rPr>
        <w:t>igure</w:t>
      </w:r>
      <w:r w:rsidR="00C30EC3">
        <w:rPr>
          <w:sz w:val="24"/>
          <w:szCs w:val="24"/>
        </w:rPr>
        <w:t xml:space="preserve"> </w:t>
      </w:r>
      <w:r w:rsidR="00C30EC3" w:rsidRPr="00022B05">
        <w:rPr>
          <w:sz w:val="24"/>
          <w:szCs w:val="24"/>
        </w:rPr>
        <w:t>13)</w:t>
      </w:r>
      <w:r w:rsidR="00C30EC3">
        <w:rPr>
          <w:sz w:val="24"/>
          <w:szCs w:val="24"/>
        </w:rPr>
        <w:t xml:space="preserve"> </w:t>
      </w:r>
      <w:r w:rsidRPr="00022B05">
        <w:rPr>
          <w:sz w:val="24"/>
          <w:szCs w:val="24"/>
        </w:rPr>
        <w:t>is close to that of those volcanic seafloor basalts that have flat REE patterns similar to those of the ultramafic seafloor basalts from dredges SMS16, 23 and 28</w:t>
      </w:r>
      <w:r w:rsidR="00C30EC3">
        <w:rPr>
          <w:sz w:val="24"/>
          <w:szCs w:val="24"/>
        </w:rPr>
        <w:t>.</w:t>
      </w:r>
    </w:p>
    <w:p w14:paraId="3F9A346B" w14:textId="0158ECD9" w:rsidR="008E3798" w:rsidRPr="00022B05" w:rsidRDefault="008E3798" w:rsidP="008E3798">
      <w:pPr>
        <w:widowControl w:val="0"/>
        <w:autoSpaceDE w:val="0"/>
        <w:autoSpaceDN w:val="0"/>
        <w:adjustRightInd w:val="0"/>
        <w:spacing w:after="120"/>
        <w:jc w:val="both"/>
        <w:rPr>
          <w:sz w:val="24"/>
          <w:szCs w:val="24"/>
        </w:rPr>
      </w:pPr>
      <w:r w:rsidRPr="00022B05">
        <w:rPr>
          <w:sz w:val="24"/>
          <w:szCs w:val="24"/>
        </w:rPr>
        <w:tab/>
        <w:t xml:space="preserve">The melt-rock reactions documented in </w:t>
      </w:r>
      <w:r w:rsidR="00E55178">
        <w:rPr>
          <w:sz w:val="24"/>
          <w:szCs w:val="24"/>
        </w:rPr>
        <w:t>this</w:t>
      </w:r>
      <w:r w:rsidR="00E55178" w:rsidRPr="00022B05">
        <w:rPr>
          <w:sz w:val="24"/>
          <w:szCs w:val="24"/>
        </w:rPr>
        <w:t xml:space="preserve"> </w:t>
      </w:r>
      <w:r w:rsidRPr="00022B05">
        <w:rPr>
          <w:sz w:val="24"/>
          <w:szCs w:val="24"/>
        </w:rPr>
        <w:t>study occur in the deep (and hot) levels of the axial lithosphere, yet they affect mantle rocks that had already undergone some degree of semi-plastic deformation (kinking of orthopyroxene). In the sketch of Figure 14, we therefore infer that these reactions occurred in the ductile to semi-brittle part of the axial lithosphere, at temperatures between the liquidus of the ag</w:t>
      </w:r>
      <w:r w:rsidR="00F2666A">
        <w:rPr>
          <w:sz w:val="24"/>
          <w:szCs w:val="24"/>
        </w:rPr>
        <w:t>g</w:t>
      </w:r>
      <w:r w:rsidRPr="00022B05">
        <w:rPr>
          <w:sz w:val="24"/>
          <w:szCs w:val="24"/>
        </w:rPr>
        <w:t xml:space="preserve">regated MORB and the base of the brittle lithosphere. We propose that such reactions occur beneath both the volcanic and the ultramafic seafloor domains, but that they result in substantial major element compositional changes of the upflowing melt only below the ultramafic seafloor domains because the melt-rock ratio there is very low. </w:t>
      </w:r>
      <w:r w:rsidR="00765BC5">
        <w:rPr>
          <w:sz w:val="24"/>
          <w:szCs w:val="24"/>
        </w:rPr>
        <w:t>The</w:t>
      </w:r>
      <w:r w:rsidR="00765BC5" w:rsidRPr="00022B05">
        <w:rPr>
          <w:sz w:val="24"/>
          <w:szCs w:val="24"/>
        </w:rPr>
        <w:t xml:space="preserve"> </w:t>
      </w:r>
      <w:r w:rsidRPr="00022B05">
        <w:rPr>
          <w:sz w:val="24"/>
          <w:szCs w:val="24"/>
        </w:rPr>
        <w:t xml:space="preserve">mass balance calculations suggest that melt-rock ratios ≤50 are required in order to transform a parental melt with the composition of </w:t>
      </w:r>
      <w:proofErr w:type="gramStart"/>
      <w:r w:rsidRPr="00022B05">
        <w:rPr>
          <w:sz w:val="24"/>
          <w:szCs w:val="24"/>
        </w:rPr>
        <w:t>a volcanic</w:t>
      </w:r>
      <w:proofErr w:type="gramEnd"/>
      <w:r w:rsidRPr="00022B05">
        <w:rPr>
          <w:sz w:val="24"/>
          <w:szCs w:val="24"/>
        </w:rPr>
        <w:t xml:space="preserve"> seafloor basalt, into an ultramafic seafloor basalt composition. Such low </w:t>
      </w:r>
      <w:r w:rsidR="00C30EC3">
        <w:rPr>
          <w:sz w:val="24"/>
          <w:szCs w:val="24"/>
        </w:rPr>
        <w:t>ratios</w:t>
      </w:r>
      <w:r w:rsidR="00C30EC3" w:rsidRPr="00022B05">
        <w:rPr>
          <w:sz w:val="24"/>
          <w:szCs w:val="24"/>
        </w:rPr>
        <w:t xml:space="preserve"> </w:t>
      </w:r>
      <w:r w:rsidRPr="00022B05">
        <w:rPr>
          <w:sz w:val="24"/>
          <w:szCs w:val="24"/>
        </w:rPr>
        <w:t>would be consistent with the very small volume of erupted basalt in ultramafic seafloor domains: the isolated basaltic construction imaged in Figure 2 is about 2.5 by 1 km and less than 150m-high and would therefore require less than 0.008 km</w:t>
      </w:r>
      <w:r w:rsidRPr="00022B05">
        <w:rPr>
          <w:sz w:val="24"/>
          <w:szCs w:val="24"/>
          <w:vertAlign w:val="superscript"/>
        </w:rPr>
        <w:t>3</w:t>
      </w:r>
      <w:r w:rsidRPr="00022B05">
        <w:rPr>
          <w:sz w:val="24"/>
          <w:szCs w:val="24"/>
        </w:rPr>
        <w:t xml:space="preserve"> of reacted mantle forming in the deep axial lithosphere.</w:t>
      </w:r>
    </w:p>
    <w:p w14:paraId="19D9C6DD" w14:textId="27723084" w:rsidR="008E3798" w:rsidRDefault="008E3798" w:rsidP="008E3798">
      <w:pPr>
        <w:widowControl w:val="0"/>
        <w:autoSpaceDE w:val="0"/>
        <w:autoSpaceDN w:val="0"/>
        <w:adjustRightInd w:val="0"/>
        <w:spacing w:after="120"/>
        <w:jc w:val="both"/>
        <w:rPr>
          <w:sz w:val="24"/>
          <w:szCs w:val="24"/>
        </w:rPr>
      </w:pPr>
      <w:r w:rsidRPr="00022B05">
        <w:rPr>
          <w:sz w:val="24"/>
          <w:szCs w:val="24"/>
        </w:rPr>
        <w:tab/>
        <w:t xml:space="preserve">In the conceptual sketch of Figure 14, we show these melt-rock reactions </w:t>
      </w:r>
      <w:r w:rsidR="00377E8D">
        <w:rPr>
          <w:sz w:val="24"/>
          <w:szCs w:val="24"/>
        </w:rPr>
        <w:t>as</w:t>
      </w:r>
      <w:r w:rsidR="00377E8D" w:rsidRPr="00022B05">
        <w:rPr>
          <w:sz w:val="24"/>
          <w:szCs w:val="24"/>
        </w:rPr>
        <w:t xml:space="preserve"> </w:t>
      </w:r>
      <w:r w:rsidRPr="00022B05">
        <w:rPr>
          <w:sz w:val="24"/>
          <w:szCs w:val="24"/>
        </w:rPr>
        <w:t xml:space="preserve">occurring in the walls of the conduits that allow the aggregated melts extracted from the melting mantle to </w:t>
      </w:r>
      <w:proofErr w:type="gramStart"/>
      <w:r w:rsidRPr="00022B05">
        <w:rPr>
          <w:sz w:val="24"/>
          <w:szCs w:val="24"/>
        </w:rPr>
        <w:t>rise</w:t>
      </w:r>
      <w:proofErr w:type="gramEnd"/>
      <w:r w:rsidRPr="00022B05">
        <w:rPr>
          <w:sz w:val="24"/>
          <w:szCs w:val="24"/>
        </w:rPr>
        <w:t xml:space="preserve"> through the axial lithosphere and to the eruption sites. This is in contrast to previous interpretations that have proposed that similar reacted mantle rocks in other ridge settings result from melt trapping in the deep lithosph</w:t>
      </w:r>
      <w:r w:rsidR="003242CB" w:rsidRPr="00022B05">
        <w:rPr>
          <w:sz w:val="24"/>
          <w:szCs w:val="24"/>
        </w:rPr>
        <w:t>ere [</w:t>
      </w:r>
      <w:r w:rsidRPr="00022B05">
        <w:rPr>
          <w:i/>
          <w:sz w:val="24"/>
          <w:szCs w:val="24"/>
        </w:rPr>
        <w:t>Godard et al.</w:t>
      </w:r>
      <w:r w:rsidRPr="00022B05">
        <w:rPr>
          <w:sz w:val="24"/>
          <w:szCs w:val="24"/>
        </w:rPr>
        <w:t xml:space="preserve">, 2009; </w:t>
      </w:r>
      <w:r w:rsidRPr="00022B05">
        <w:rPr>
          <w:i/>
          <w:sz w:val="24"/>
          <w:szCs w:val="24"/>
        </w:rPr>
        <w:t>Drouin et al.</w:t>
      </w:r>
      <w:r w:rsidRPr="00022B05">
        <w:rPr>
          <w:sz w:val="24"/>
          <w:szCs w:val="24"/>
        </w:rPr>
        <w:t xml:space="preserve">, 2009; </w:t>
      </w:r>
      <w:r w:rsidRPr="00022B05">
        <w:rPr>
          <w:i/>
          <w:sz w:val="24"/>
          <w:szCs w:val="24"/>
        </w:rPr>
        <w:t>Renna and Tribuzio</w:t>
      </w:r>
      <w:r w:rsidRPr="00022B05">
        <w:rPr>
          <w:sz w:val="24"/>
          <w:szCs w:val="24"/>
        </w:rPr>
        <w:t xml:space="preserve">, 2011; </w:t>
      </w:r>
      <w:r w:rsidRPr="00022B05">
        <w:rPr>
          <w:i/>
          <w:sz w:val="24"/>
          <w:szCs w:val="24"/>
        </w:rPr>
        <w:t>Sanfili</w:t>
      </w:r>
      <w:r w:rsidR="00F2666A">
        <w:rPr>
          <w:i/>
          <w:sz w:val="24"/>
          <w:szCs w:val="24"/>
        </w:rPr>
        <w:t>p</w:t>
      </w:r>
      <w:r w:rsidRPr="00022B05">
        <w:rPr>
          <w:i/>
          <w:sz w:val="24"/>
          <w:szCs w:val="24"/>
        </w:rPr>
        <w:t>po et al.</w:t>
      </w:r>
      <w:r w:rsidR="003242CB" w:rsidRPr="00022B05">
        <w:rPr>
          <w:sz w:val="24"/>
          <w:szCs w:val="24"/>
        </w:rPr>
        <w:t>, 2014]</w:t>
      </w:r>
      <w:r w:rsidRPr="00022B05">
        <w:rPr>
          <w:sz w:val="24"/>
          <w:szCs w:val="24"/>
        </w:rPr>
        <w:t>. Microseismicity data recor</w:t>
      </w:r>
      <w:r w:rsidR="003242CB" w:rsidRPr="00022B05">
        <w:rPr>
          <w:sz w:val="24"/>
          <w:szCs w:val="24"/>
        </w:rPr>
        <w:t>ded at the SWIR axis near 66°E [</w:t>
      </w:r>
      <w:r w:rsidR="00A60942">
        <w:rPr>
          <w:i/>
          <w:sz w:val="24"/>
          <w:szCs w:val="24"/>
        </w:rPr>
        <w:t>Schlindwein</w:t>
      </w:r>
      <w:r w:rsidR="001E66AE">
        <w:rPr>
          <w:i/>
          <w:sz w:val="24"/>
          <w:szCs w:val="24"/>
        </w:rPr>
        <w:t xml:space="preserve"> et al.</w:t>
      </w:r>
      <w:r w:rsidR="001E66AE">
        <w:rPr>
          <w:sz w:val="24"/>
          <w:szCs w:val="24"/>
        </w:rPr>
        <w:t>, 2014</w:t>
      </w:r>
      <w:r w:rsidR="003242CB" w:rsidRPr="00022B05">
        <w:rPr>
          <w:sz w:val="24"/>
          <w:szCs w:val="24"/>
        </w:rPr>
        <w:t>]</w:t>
      </w:r>
      <w:r w:rsidRPr="00022B05">
        <w:rPr>
          <w:sz w:val="24"/>
          <w:szCs w:val="24"/>
        </w:rPr>
        <w:t>, indicate that the seismogenic (i</w:t>
      </w:r>
      <w:r w:rsidR="00F608CE">
        <w:rPr>
          <w:sz w:val="24"/>
          <w:szCs w:val="24"/>
        </w:rPr>
        <w:t>.</w:t>
      </w:r>
      <w:r w:rsidRPr="00022B05">
        <w:rPr>
          <w:sz w:val="24"/>
          <w:szCs w:val="24"/>
        </w:rPr>
        <w:t>e</w:t>
      </w:r>
      <w:r w:rsidR="00F608CE">
        <w:rPr>
          <w:sz w:val="24"/>
          <w:szCs w:val="24"/>
        </w:rPr>
        <w:t>.</w:t>
      </w:r>
      <w:r w:rsidRPr="00022B05">
        <w:rPr>
          <w:sz w:val="24"/>
          <w:szCs w:val="24"/>
        </w:rPr>
        <w:t xml:space="preserve"> brittle) part of the axial lithosphere there is substantially thicker than at the faster-spreading Mid-Atlantic Ridge (15 to 20 km-thick against about 8 km-thick at the MAR; </w:t>
      </w:r>
      <w:r w:rsidR="003242CB" w:rsidRPr="00022B05">
        <w:rPr>
          <w:sz w:val="24"/>
          <w:szCs w:val="24"/>
        </w:rPr>
        <w:t>[</w:t>
      </w:r>
      <w:r w:rsidRPr="00022B05">
        <w:rPr>
          <w:i/>
          <w:sz w:val="24"/>
          <w:szCs w:val="24"/>
        </w:rPr>
        <w:t>Toomey et al.</w:t>
      </w:r>
      <w:r w:rsidRPr="00022B05">
        <w:rPr>
          <w:sz w:val="24"/>
          <w:szCs w:val="24"/>
        </w:rPr>
        <w:t xml:space="preserve">, 1988; </w:t>
      </w:r>
      <w:r w:rsidRPr="00022B05">
        <w:rPr>
          <w:i/>
          <w:sz w:val="24"/>
          <w:szCs w:val="24"/>
        </w:rPr>
        <w:t>Wolfe et al.</w:t>
      </w:r>
      <w:r w:rsidRPr="00022B05">
        <w:rPr>
          <w:sz w:val="24"/>
          <w:szCs w:val="24"/>
        </w:rPr>
        <w:t>, 1995</w:t>
      </w:r>
      <w:r w:rsidR="001A70F6">
        <w:rPr>
          <w:sz w:val="24"/>
          <w:szCs w:val="24"/>
        </w:rPr>
        <w:t xml:space="preserve">; </w:t>
      </w:r>
      <w:r w:rsidR="001A70F6">
        <w:rPr>
          <w:i/>
          <w:sz w:val="24"/>
          <w:szCs w:val="24"/>
        </w:rPr>
        <w:t>de Martin et al.</w:t>
      </w:r>
      <w:r w:rsidR="001A70F6">
        <w:rPr>
          <w:sz w:val="24"/>
          <w:szCs w:val="24"/>
        </w:rPr>
        <w:t>, 200</w:t>
      </w:r>
      <w:r w:rsidR="00C53C1C">
        <w:rPr>
          <w:sz w:val="24"/>
          <w:szCs w:val="24"/>
        </w:rPr>
        <w:t>7</w:t>
      </w:r>
      <w:r w:rsidR="003242CB" w:rsidRPr="00022B05">
        <w:rPr>
          <w:sz w:val="24"/>
          <w:szCs w:val="24"/>
        </w:rPr>
        <w:t>]</w:t>
      </w:r>
      <w:r w:rsidRPr="00022B05">
        <w:rPr>
          <w:sz w:val="24"/>
          <w:szCs w:val="24"/>
        </w:rPr>
        <w:t xml:space="preserve">). In this thick lithosphere context, focusing of the melts toward volcanic areas can be enhanced </w:t>
      </w:r>
      <w:r w:rsidR="003242CB" w:rsidRPr="00022B05">
        <w:rPr>
          <w:sz w:val="24"/>
          <w:szCs w:val="24"/>
        </w:rPr>
        <w:t>[</w:t>
      </w:r>
      <w:r w:rsidRPr="00022B05">
        <w:rPr>
          <w:i/>
          <w:sz w:val="24"/>
          <w:szCs w:val="24"/>
        </w:rPr>
        <w:t>Cannat et a</w:t>
      </w:r>
      <w:r w:rsidR="003242CB" w:rsidRPr="00022B05">
        <w:rPr>
          <w:i/>
          <w:sz w:val="24"/>
          <w:szCs w:val="24"/>
        </w:rPr>
        <w:t>l.</w:t>
      </w:r>
      <w:r w:rsidR="003242CB" w:rsidRPr="00022B05">
        <w:rPr>
          <w:sz w:val="24"/>
          <w:szCs w:val="24"/>
        </w:rPr>
        <w:t xml:space="preserve">, 2003; </w:t>
      </w:r>
      <w:r w:rsidR="003242CB" w:rsidRPr="00022B05">
        <w:rPr>
          <w:i/>
          <w:sz w:val="24"/>
          <w:szCs w:val="24"/>
        </w:rPr>
        <w:t>Standish et al.</w:t>
      </w:r>
      <w:r w:rsidR="003242CB" w:rsidRPr="00022B05">
        <w:rPr>
          <w:sz w:val="24"/>
          <w:szCs w:val="24"/>
        </w:rPr>
        <w:t>, 2008]</w:t>
      </w:r>
      <w:r w:rsidRPr="00022B05">
        <w:rPr>
          <w:sz w:val="24"/>
          <w:szCs w:val="24"/>
        </w:rPr>
        <w:t xml:space="preserve">, </w:t>
      </w:r>
      <w:r w:rsidR="003242CB" w:rsidRPr="00022B05">
        <w:rPr>
          <w:sz w:val="24"/>
          <w:szCs w:val="24"/>
        </w:rPr>
        <w:t>favoring</w:t>
      </w:r>
      <w:r w:rsidRPr="00022B05">
        <w:rPr>
          <w:sz w:val="24"/>
          <w:szCs w:val="24"/>
        </w:rPr>
        <w:t xml:space="preserve"> the formation of large axial volcanoes and further depleting the intervening nearly amagmatic ridge domains (Figure 14).</w:t>
      </w:r>
    </w:p>
    <w:p w14:paraId="7F3DCD1C" w14:textId="77777777" w:rsidR="00B70CCE" w:rsidRDefault="00B70CCE" w:rsidP="008E3798">
      <w:pPr>
        <w:widowControl w:val="0"/>
        <w:autoSpaceDE w:val="0"/>
        <w:autoSpaceDN w:val="0"/>
        <w:adjustRightInd w:val="0"/>
        <w:spacing w:after="120"/>
        <w:jc w:val="both"/>
        <w:rPr>
          <w:sz w:val="24"/>
          <w:szCs w:val="24"/>
        </w:rPr>
      </w:pPr>
    </w:p>
    <w:p w14:paraId="00F297F9" w14:textId="516FB7A5" w:rsidR="00B70CCE" w:rsidRDefault="00B70CCE" w:rsidP="008E3798">
      <w:pPr>
        <w:widowControl w:val="0"/>
        <w:autoSpaceDE w:val="0"/>
        <w:autoSpaceDN w:val="0"/>
        <w:adjustRightInd w:val="0"/>
        <w:spacing w:after="120"/>
        <w:jc w:val="both"/>
        <w:rPr>
          <w:sz w:val="24"/>
          <w:szCs w:val="24"/>
        </w:rPr>
      </w:pPr>
      <w:r>
        <w:rPr>
          <w:noProof/>
          <w:sz w:val="24"/>
          <w:szCs w:val="24"/>
          <w:lang w:val="en-GB" w:eastAsia="en-GB"/>
        </w:rPr>
        <w:lastRenderedPageBreak/>
        <w:drawing>
          <wp:inline distT="0" distB="0" distL="0" distR="0" wp14:anchorId="5AB87B7F" wp14:editId="6CA357E4">
            <wp:extent cx="5384800" cy="3596640"/>
            <wp:effectExtent l="0" t="0" r="0" b="10160"/>
            <wp:docPr id="13" name="Image 13" descr="Sans titre:Users:MarinePaquet:Documents:PhD:Sujet Basaltes - Stage M2:Papiers:Majeurs &amp; Traces:Figures:schema_bilan_alongaxis_fig14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ans titre:Users:MarinePaquet:Documents:PhD:Sujet Basaltes - Stage M2:Papiers:Majeurs &amp; Traces:Figures:schema_bilan_alongaxis_fig14_fina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84800" cy="3596640"/>
                    </a:xfrm>
                    <a:prstGeom prst="rect">
                      <a:avLst/>
                    </a:prstGeom>
                    <a:noFill/>
                    <a:ln>
                      <a:noFill/>
                    </a:ln>
                  </pic:spPr>
                </pic:pic>
              </a:graphicData>
            </a:graphic>
          </wp:inline>
        </w:drawing>
      </w:r>
    </w:p>
    <w:p w14:paraId="24ECFCA9" w14:textId="7E96CC64" w:rsidR="00B70CCE" w:rsidRPr="00022B05" w:rsidRDefault="00B70CCE" w:rsidP="008E3798">
      <w:pPr>
        <w:widowControl w:val="0"/>
        <w:autoSpaceDE w:val="0"/>
        <w:autoSpaceDN w:val="0"/>
        <w:adjustRightInd w:val="0"/>
        <w:spacing w:after="120"/>
        <w:jc w:val="both"/>
        <w:rPr>
          <w:sz w:val="24"/>
          <w:szCs w:val="24"/>
        </w:rPr>
      </w:pPr>
      <w:proofErr w:type="gramStart"/>
      <w:r w:rsidRPr="00AC4D88">
        <w:rPr>
          <w:b/>
          <w:sz w:val="24"/>
        </w:rPr>
        <w:t xml:space="preserve">Figure </w:t>
      </w:r>
      <w:r>
        <w:rPr>
          <w:b/>
          <w:sz w:val="24"/>
        </w:rPr>
        <w:t>14</w:t>
      </w:r>
      <w:r w:rsidRPr="00AC4D88">
        <w:rPr>
          <w:sz w:val="24"/>
        </w:rPr>
        <w:t>.</w:t>
      </w:r>
      <w:proofErr w:type="gramEnd"/>
      <w:r>
        <w:rPr>
          <w:sz w:val="24"/>
        </w:rPr>
        <w:t xml:space="preserve"> </w:t>
      </w:r>
      <w:r w:rsidRPr="00B70CCE">
        <w:rPr>
          <w:sz w:val="24"/>
        </w:rPr>
        <w:t xml:space="preserve">Cartoon showing the geological context proposed for melt-mantle interactions and for the melt plumbing system at the easternmost Southwest Indian Ridge. </w:t>
      </w:r>
      <w:proofErr w:type="gramStart"/>
      <w:r w:rsidRPr="00B70CCE">
        <w:rPr>
          <w:sz w:val="24"/>
        </w:rPr>
        <w:t>Along-axis section, not to scale.</w:t>
      </w:r>
      <w:proofErr w:type="gramEnd"/>
      <w:r w:rsidRPr="00B70CCE">
        <w:rPr>
          <w:sz w:val="24"/>
        </w:rPr>
        <w:t xml:space="preserve"> In this conceptual sketch, we propose that melting of a common mantle source occurs to a similar degree below volcanic seafloor and ultramafic seafloor domains. The extracted melts are then focused preferentially toward volcanic domains, generating higher melt fluxes and leading to the formation of large axial volcanos, as proposed by </w:t>
      </w:r>
      <w:r w:rsidRPr="00B70CCE">
        <w:rPr>
          <w:i/>
          <w:sz w:val="24"/>
        </w:rPr>
        <w:t>Cannat et al.</w:t>
      </w:r>
      <w:r w:rsidRPr="00B70CCE">
        <w:rPr>
          <w:sz w:val="24"/>
        </w:rPr>
        <w:t xml:space="preserve"> </w:t>
      </w:r>
      <w:r>
        <w:rPr>
          <w:sz w:val="24"/>
        </w:rPr>
        <w:t>[</w:t>
      </w:r>
      <w:r w:rsidRPr="00B70CCE">
        <w:rPr>
          <w:sz w:val="24"/>
        </w:rPr>
        <w:t>2003</w:t>
      </w:r>
      <w:r>
        <w:rPr>
          <w:sz w:val="24"/>
        </w:rPr>
        <w:t>]</w:t>
      </w:r>
      <w:r w:rsidRPr="00B70CCE">
        <w:rPr>
          <w:sz w:val="24"/>
        </w:rPr>
        <w:t xml:space="preserve">, and by </w:t>
      </w:r>
      <w:r w:rsidRPr="00B70CCE">
        <w:rPr>
          <w:i/>
          <w:sz w:val="24"/>
        </w:rPr>
        <w:t>Standish et al.</w:t>
      </w:r>
      <w:r>
        <w:rPr>
          <w:sz w:val="24"/>
        </w:rPr>
        <w:t xml:space="preserve"> [2008]</w:t>
      </w:r>
      <w:r w:rsidRPr="00B70CCE">
        <w:rPr>
          <w:sz w:val="24"/>
        </w:rPr>
        <w:t xml:space="preserve">. The melt-mantle reactions documented in this paper are proposed to occur in the walls of melt conduits, at temperatures lower than the liquidus temperature of the agregated parent melt and below the basis of the brittle axial lithosphere. Microseismic data suggests that this brittle lithosphere is &gt;15 km-thick in the ultramafic seafloor domains </w:t>
      </w:r>
      <w:r>
        <w:rPr>
          <w:sz w:val="24"/>
        </w:rPr>
        <w:t>[</w:t>
      </w:r>
      <w:r w:rsidRPr="00B70CCE">
        <w:rPr>
          <w:i/>
          <w:sz w:val="24"/>
          <w:szCs w:val="22"/>
        </w:rPr>
        <w:t>Schlindwein</w:t>
      </w:r>
      <w:r w:rsidR="001E66AE">
        <w:rPr>
          <w:i/>
          <w:sz w:val="24"/>
          <w:szCs w:val="22"/>
        </w:rPr>
        <w:t xml:space="preserve"> et al.</w:t>
      </w:r>
      <w:r w:rsidR="001E66AE">
        <w:rPr>
          <w:sz w:val="24"/>
          <w:szCs w:val="22"/>
        </w:rPr>
        <w:t>, 2014</w:t>
      </w:r>
      <w:r>
        <w:rPr>
          <w:sz w:val="24"/>
        </w:rPr>
        <w:t>]</w:t>
      </w:r>
      <w:r w:rsidRPr="00B70CCE">
        <w:rPr>
          <w:sz w:val="24"/>
        </w:rPr>
        <w:t>. Arrows figure the flux of melt at each "structural level" above the melting mantle. Low fluxes in the reactive domains result in low overall melt-rock ratios and in a more modified major element composition (Figure 13) of the reacted melt (orange). Subsequent fractional crystallization may occur in melt lenses emplaced at various levels through the axial lithosphere.</w:t>
      </w:r>
    </w:p>
    <w:p w14:paraId="52AEC588" w14:textId="508FD00C" w:rsidR="008E3798" w:rsidRPr="00022B05" w:rsidRDefault="008E3798" w:rsidP="008E3798">
      <w:pPr>
        <w:widowControl w:val="0"/>
        <w:autoSpaceDE w:val="0"/>
        <w:autoSpaceDN w:val="0"/>
        <w:adjustRightInd w:val="0"/>
        <w:spacing w:after="120"/>
        <w:jc w:val="both"/>
        <w:rPr>
          <w:sz w:val="24"/>
          <w:szCs w:val="24"/>
        </w:rPr>
      </w:pPr>
      <w:r w:rsidRPr="00022B05">
        <w:rPr>
          <w:sz w:val="24"/>
          <w:szCs w:val="24"/>
        </w:rPr>
        <w:tab/>
        <w:t xml:space="preserve">The conceptual sketch in Figure 14 also includes melt lenses located at various depths in the axial lithosphere (in the mantle or in the crust). These melt lenses have not been imaged seismically yet in </w:t>
      </w:r>
      <w:r w:rsidR="00765BC5">
        <w:rPr>
          <w:sz w:val="24"/>
          <w:szCs w:val="24"/>
        </w:rPr>
        <w:t>the</w:t>
      </w:r>
      <w:r w:rsidR="00765BC5" w:rsidRPr="00022B05">
        <w:rPr>
          <w:sz w:val="24"/>
          <w:szCs w:val="24"/>
        </w:rPr>
        <w:t xml:space="preserve"> </w:t>
      </w:r>
      <w:r w:rsidRPr="00022B05">
        <w:rPr>
          <w:sz w:val="24"/>
          <w:szCs w:val="24"/>
        </w:rPr>
        <w:t xml:space="preserve">study area. Their existence is, however likely, beneath the large axial volcanoes by analogy with what is known of the melt plumbing system of large volcanoes in other geodynamic contexts </w:t>
      </w:r>
      <w:r w:rsidR="003242CB" w:rsidRPr="00022B05">
        <w:rPr>
          <w:sz w:val="24"/>
          <w:szCs w:val="24"/>
        </w:rPr>
        <w:t>[</w:t>
      </w:r>
      <w:r w:rsidRPr="00022B05">
        <w:rPr>
          <w:i/>
          <w:sz w:val="24"/>
          <w:szCs w:val="24"/>
        </w:rPr>
        <w:t>Gudmundsson et al.</w:t>
      </w:r>
      <w:r w:rsidR="003242CB" w:rsidRPr="00022B05">
        <w:rPr>
          <w:sz w:val="24"/>
          <w:szCs w:val="24"/>
        </w:rPr>
        <w:t>,</w:t>
      </w:r>
      <w:r w:rsidRPr="00022B05">
        <w:rPr>
          <w:sz w:val="24"/>
          <w:szCs w:val="24"/>
        </w:rPr>
        <w:t xml:space="preserve"> 1994; </w:t>
      </w:r>
      <w:r w:rsidRPr="00022B05">
        <w:rPr>
          <w:i/>
          <w:sz w:val="24"/>
          <w:szCs w:val="24"/>
        </w:rPr>
        <w:t>Okubo et al.</w:t>
      </w:r>
      <w:r w:rsidRPr="00022B05">
        <w:rPr>
          <w:sz w:val="24"/>
          <w:szCs w:val="24"/>
        </w:rPr>
        <w:t>, 1997</w:t>
      </w:r>
      <w:r w:rsidR="003242CB" w:rsidRPr="00022B05">
        <w:rPr>
          <w:sz w:val="24"/>
          <w:szCs w:val="24"/>
        </w:rPr>
        <w:t>]</w:t>
      </w:r>
      <w:r w:rsidRPr="00022B05">
        <w:rPr>
          <w:sz w:val="24"/>
          <w:szCs w:val="24"/>
        </w:rPr>
        <w:t>. The major and trace element composition of both the volcanic and ultramafic seafloor basalts (Figures 3 and 4) indicates variable degrees of fractional crystallization that could take place in such lenses.</w:t>
      </w:r>
    </w:p>
    <w:p w14:paraId="15DCC38E" w14:textId="72090D79" w:rsidR="008E3798" w:rsidRPr="00022B05" w:rsidRDefault="008E3798" w:rsidP="008E3798">
      <w:pPr>
        <w:widowControl w:val="0"/>
        <w:autoSpaceDE w:val="0"/>
        <w:autoSpaceDN w:val="0"/>
        <w:adjustRightInd w:val="0"/>
        <w:spacing w:after="120"/>
        <w:jc w:val="both"/>
        <w:rPr>
          <w:sz w:val="24"/>
          <w:szCs w:val="24"/>
        </w:rPr>
      </w:pPr>
      <w:r w:rsidRPr="00022B05">
        <w:rPr>
          <w:sz w:val="24"/>
          <w:szCs w:val="24"/>
        </w:rPr>
        <w:tab/>
        <w:t xml:space="preserve">Clinopyroxene compositions </w:t>
      </w:r>
      <w:r w:rsidR="00765BC5">
        <w:rPr>
          <w:sz w:val="24"/>
          <w:szCs w:val="24"/>
        </w:rPr>
        <w:t>of the</w:t>
      </w:r>
      <w:r w:rsidRPr="00022B05">
        <w:rPr>
          <w:sz w:val="24"/>
          <w:szCs w:val="24"/>
        </w:rPr>
        <w:t xml:space="preserve"> plagioclase-bearing ultramafic and gabbroic reacted rocks indicate that most samples result from reactions with a melt that had the trace element composition of the most primitive erupted basalts in the area (not considering the very primitive, LREE-depleted basalts that are shown in grey symbols in Figure 3). However, a few samples of </w:t>
      </w:r>
      <w:r w:rsidRPr="00022B05">
        <w:rPr>
          <w:sz w:val="24"/>
          <w:szCs w:val="24"/>
        </w:rPr>
        <w:lastRenderedPageBreak/>
        <w:t xml:space="preserve">troctolites and olivine gabbros appear to result from reactions with a melt that was more enriched in trace elements (Figure 12) and </w:t>
      </w:r>
      <w:r w:rsidR="00377E8D">
        <w:rPr>
          <w:sz w:val="24"/>
          <w:szCs w:val="24"/>
        </w:rPr>
        <w:t xml:space="preserve">that </w:t>
      </w:r>
      <w:r w:rsidRPr="00022B05">
        <w:rPr>
          <w:sz w:val="24"/>
          <w:szCs w:val="24"/>
        </w:rPr>
        <w:t>crystallized plagioclase with lower An and higher TiO</w:t>
      </w:r>
      <w:r w:rsidRPr="00022B05">
        <w:rPr>
          <w:sz w:val="24"/>
          <w:szCs w:val="24"/>
          <w:vertAlign w:val="subscript"/>
        </w:rPr>
        <w:t>2</w:t>
      </w:r>
      <w:r w:rsidRPr="00022B05">
        <w:rPr>
          <w:sz w:val="24"/>
          <w:szCs w:val="24"/>
        </w:rPr>
        <w:t>, K</w:t>
      </w:r>
      <w:r w:rsidRPr="00022B05">
        <w:rPr>
          <w:sz w:val="24"/>
          <w:szCs w:val="24"/>
          <w:vertAlign w:val="subscript"/>
        </w:rPr>
        <w:t>2</w:t>
      </w:r>
      <w:r w:rsidRPr="00022B05">
        <w:rPr>
          <w:sz w:val="24"/>
          <w:szCs w:val="24"/>
        </w:rPr>
        <w:t>O contents (Figure 8a). This suggests that</w:t>
      </w:r>
      <w:r w:rsidR="00377E8D">
        <w:rPr>
          <w:sz w:val="24"/>
          <w:szCs w:val="24"/>
        </w:rPr>
        <w:t xml:space="preserve"> limited</w:t>
      </w:r>
      <w:r w:rsidRPr="00022B05">
        <w:rPr>
          <w:sz w:val="24"/>
          <w:szCs w:val="24"/>
        </w:rPr>
        <w:t xml:space="preserve"> fractional crystallization of some of the upflowing melt did occur in the deepest levels of the axial lithosphere, prior to melt-mantle interactions.</w:t>
      </w:r>
    </w:p>
    <w:p w14:paraId="71ED7773" w14:textId="26D45296" w:rsidR="008E3798" w:rsidRPr="00022B05" w:rsidRDefault="008E3798" w:rsidP="008E3798">
      <w:pPr>
        <w:tabs>
          <w:tab w:val="left" w:pos="912"/>
        </w:tabs>
        <w:spacing w:after="120"/>
        <w:jc w:val="both"/>
        <w:rPr>
          <w:sz w:val="24"/>
          <w:szCs w:val="24"/>
        </w:rPr>
      </w:pPr>
      <w:r w:rsidRPr="00022B05">
        <w:rPr>
          <w:sz w:val="24"/>
          <w:szCs w:val="24"/>
        </w:rPr>
        <w:tab/>
        <w:t xml:space="preserve">These constraints on the axial magma plumbing system of </w:t>
      </w:r>
      <w:r w:rsidR="00765BC5">
        <w:rPr>
          <w:sz w:val="24"/>
          <w:szCs w:val="24"/>
        </w:rPr>
        <w:t>the</w:t>
      </w:r>
      <w:r w:rsidR="00765BC5" w:rsidRPr="00022B05">
        <w:rPr>
          <w:sz w:val="24"/>
          <w:szCs w:val="24"/>
        </w:rPr>
        <w:t xml:space="preserve"> </w:t>
      </w:r>
      <w:r w:rsidRPr="00022B05">
        <w:rPr>
          <w:sz w:val="24"/>
          <w:szCs w:val="24"/>
        </w:rPr>
        <w:t xml:space="preserve">ultraslow and melt-depleted study area are based on the joined study of erupted basalts and of the plagioclase-bearing ultramafic and gabbroic reacted rock suite. </w:t>
      </w:r>
      <w:r w:rsidR="00FE534F">
        <w:rPr>
          <w:sz w:val="24"/>
          <w:szCs w:val="24"/>
        </w:rPr>
        <w:t>In addition, i</w:t>
      </w:r>
      <w:r w:rsidRPr="00022B05">
        <w:rPr>
          <w:sz w:val="24"/>
          <w:szCs w:val="24"/>
        </w:rPr>
        <w:t xml:space="preserve">t is important to stress that the data on basalt composition alone indicates that the melts erupted on the exhumed ultramafic rocks in the nearly amagmatic corridors are distinct from those erupted in the volcanic domains and could not have evolved from the volcanic seafloor melts in dikes feeding lateral eruptions (as proposed for Kilauea or for the MAR; </w:t>
      </w:r>
      <w:r w:rsidR="003242CB" w:rsidRPr="00022B05">
        <w:rPr>
          <w:sz w:val="24"/>
          <w:szCs w:val="24"/>
        </w:rPr>
        <w:t>[</w:t>
      </w:r>
      <w:r w:rsidRPr="00022B05">
        <w:rPr>
          <w:i/>
          <w:sz w:val="24"/>
          <w:szCs w:val="24"/>
        </w:rPr>
        <w:t>Fialko and Rubin</w:t>
      </w:r>
      <w:r w:rsidRPr="00022B05">
        <w:rPr>
          <w:sz w:val="24"/>
          <w:szCs w:val="24"/>
        </w:rPr>
        <w:t xml:space="preserve">, 1998; </w:t>
      </w:r>
      <w:r w:rsidRPr="00022B05">
        <w:rPr>
          <w:i/>
          <w:sz w:val="24"/>
          <w:szCs w:val="24"/>
        </w:rPr>
        <w:t>Smith and Cann</w:t>
      </w:r>
      <w:r w:rsidR="003242CB" w:rsidRPr="00022B05">
        <w:rPr>
          <w:sz w:val="24"/>
          <w:szCs w:val="24"/>
        </w:rPr>
        <w:t>, 1999]</w:t>
      </w:r>
      <w:r w:rsidRPr="00022B05">
        <w:rPr>
          <w:sz w:val="24"/>
          <w:szCs w:val="24"/>
        </w:rPr>
        <w:t xml:space="preserve">. This </w:t>
      </w:r>
      <w:r w:rsidR="00435AAA">
        <w:rPr>
          <w:sz w:val="24"/>
          <w:szCs w:val="24"/>
        </w:rPr>
        <w:t>suggests</w:t>
      </w:r>
      <w:r w:rsidRPr="00022B05">
        <w:rPr>
          <w:sz w:val="24"/>
          <w:szCs w:val="24"/>
        </w:rPr>
        <w:t xml:space="preserve"> instead that eruptions in volcanic seafloor domains and in ultramafic seafloor domains are primarily fed by dikes that convey melts vertically (Figure 14).</w:t>
      </w:r>
    </w:p>
    <w:p w14:paraId="06C03C3F" w14:textId="0139F91B" w:rsidR="008E3798" w:rsidRPr="00022B05" w:rsidRDefault="004A6642" w:rsidP="008E3798">
      <w:pPr>
        <w:pStyle w:val="Heading-Secondary"/>
      </w:pPr>
      <w:r>
        <w:t>6</w:t>
      </w:r>
      <w:r w:rsidR="008E3798" w:rsidRPr="00022B05">
        <w:t xml:space="preserve">.4 Reacting melt composition and the </w:t>
      </w:r>
      <w:proofErr w:type="gramStart"/>
      <w:r w:rsidR="008E3798" w:rsidRPr="00022B05">
        <w:t>An</w:t>
      </w:r>
      <w:proofErr w:type="gramEnd"/>
      <w:r w:rsidR="008E3798" w:rsidRPr="00022B05">
        <w:t xml:space="preserve"> content of plagioclase in plagioclase-bearing ultramafic and gabbroic samples</w:t>
      </w:r>
    </w:p>
    <w:p w14:paraId="02CD2192" w14:textId="2F572215" w:rsidR="00CA06AA" w:rsidRDefault="008E3798" w:rsidP="00CA06AA">
      <w:pPr>
        <w:jc w:val="both"/>
        <w:rPr>
          <w:sz w:val="24"/>
          <w:szCs w:val="24"/>
        </w:rPr>
      </w:pPr>
      <w:r w:rsidRPr="00022B05">
        <w:rPr>
          <w:sz w:val="24"/>
          <w:szCs w:val="24"/>
        </w:rPr>
        <w:tab/>
      </w:r>
      <w:proofErr w:type="gramStart"/>
      <w:r w:rsidRPr="00022B05">
        <w:rPr>
          <w:sz w:val="24"/>
          <w:szCs w:val="24"/>
        </w:rPr>
        <w:t>The An</w:t>
      </w:r>
      <w:proofErr w:type="gramEnd"/>
      <w:r w:rsidRPr="00022B05">
        <w:rPr>
          <w:sz w:val="24"/>
          <w:szCs w:val="24"/>
        </w:rPr>
        <w:t xml:space="preserve"> content of plagioclase in plagioclase-bearing ultramafic rocks, troctolites and gabbros varies over a wide range (58.</w:t>
      </w:r>
      <w:r w:rsidR="00CA06AA">
        <w:rPr>
          <w:sz w:val="24"/>
          <w:szCs w:val="24"/>
        </w:rPr>
        <w:t>8</w:t>
      </w:r>
      <w:r w:rsidRPr="00022B05">
        <w:rPr>
          <w:sz w:val="24"/>
          <w:szCs w:val="24"/>
        </w:rPr>
        <w:t xml:space="preserve"> to 91.6%; Figure 9a). </w:t>
      </w:r>
      <w:r w:rsidR="00CA06AA">
        <w:rPr>
          <w:sz w:val="24"/>
          <w:szCs w:val="24"/>
        </w:rPr>
        <w:t>T</w:t>
      </w:r>
      <w:r w:rsidR="00CA06AA" w:rsidRPr="00022B05">
        <w:rPr>
          <w:sz w:val="24"/>
          <w:szCs w:val="24"/>
        </w:rPr>
        <w:t xml:space="preserve">he highest </w:t>
      </w:r>
      <w:proofErr w:type="gramStart"/>
      <w:r w:rsidR="00CA06AA" w:rsidRPr="00022B05">
        <w:rPr>
          <w:sz w:val="24"/>
          <w:szCs w:val="24"/>
        </w:rPr>
        <w:t>An</w:t>
      </w:r>
      <w:proofErr w:type="gramEnd"/>
      <w:r w:rsidR="00CA06AA" w:rsidRPr="00022B05">
        <w:rPr>
          <w:sz w:val="24"/>
          <w:szCs w:val="24"/>
        </w:rPr>
        <w:t xml:space="preserve"> values (74 to 91.6%) are measured in small plagioclase grains that are either isolated in ultramafic rocks with low modal abundances of plagioclase, or found as inclusions in clinopyroxenes. Gabbroic samples that contain such An-rich inclusions, also contain larger plagioclase grains with </w:t>
      </w:r>
      <w:proofErr w:type="gramStart"/>
      <w:r w:rsidR="00CA06AA" w:rsidRPr="00022B05">
        <w:rPr>
          <w:sz w:val="24"/>
          <w:szCs w:val="24"/>
        </w:rPr>
        <w:t>An</w:t>
      </w:r>
      <w:proofErr w:type="gramEnd"/>
      <w:r w:rsidR="00CA06AA" w:rsidRPr="00022B05">
        <w:rPr>
          <w:sz w:val="24"/>
          <w:szCs w:val="24"/>
        </w:rPr>
        <w:t xml:space="preserve"> contents &lt;74%. </w:t>
      </w:r>
    </w:p>
    <w:p w14:paraId="3AD109E2" w14:textId="4CC6D7AF" w:rsidR="00993233" w:rsidRPr="000600BD" w:rsidRDefault="00056FF2" w:rsidP="00CA06AA">
      <w:pPr>
        <w:jc w:val="both"/>
        <w:rPr>
          <w:sz w:val="24"/>
          <w:szCs w:val="24"/>
        </w:rPr>
      </w:pPr>
      <w:r>
        <w:rPr>
          <w:sz w:val="24"/>
          <w:szCs w:val="24"/>
        </w:rPr>
        <w:tab/>
      </w:r>
      <w:r w:rsidR="00993233">
        <w:rPr>
          <w:sz w:val="24"/>
          <w:szCs w:val="24"/>
        </w:rPr>
        <w:t xml:space="preserve">LLDs </w:t>
      </w:r>
      <w:r w:rsidR="00993233" w:rsidRPr="00022B05">
        <w:rPr>
          <w:sz w:val="24"/>
          <w:szCs w:val="24"/>
        </w:rPr>
        <w:t>calculated with Petrolog (</w:t>
      </w:r>
      <w:r w:rsidR="004A6896">
        <w:rPr>
          <w:sz w:val="24"/>
          <w:szCs w:val="24"/>
        </w:rPr>
        <w:t xml:space="preserve">Figure 13; </w:t>
      </w:r>
      <w:r w:rsidR="00993233" w:rsidRPr="00022B05">
        <w:rPr>
          <w:i/>
          <w:sz w:val="24"/>
          <w:szCs w:val="24"/>
        </w:rPr>
        <w:t>Danyushevsky and Plechov</w:t>
      </w:r>
      <w:r w:rsidR="00993233" w:rsidRPr="00022B05">
        <w:rPr>
          <w:sz w:val="24"/>
          <w:szCs w:val="24"/>
        </w:rPr>
        <w:t xml:space="preserve">, </w:t>
      </w:r>
      <w:r w:rsidR="004A6896">
        <w:rPr>
          <w:sz w:val="24"/>
          <w:szCs w:val="24"/>
        </w:rPr>
        <w:t>[</w:t>
      </w:r>
      <w:r w:rsidR="00993233" w:rsidRPr="00022B05">
        <w:rPr>
          <w:sz w:val="24"/>
          <w:szCs w:val="24"/>
        </w:rPr>
        <w:t>2011</w:t>
      </w:r>
      <w:r w:rsidR="004A6896">
        <w:rPr>
          <w:sz w:val="24"/>
          <w:szCs w:val="24"/>
        </w:rPr>
        <w:t>]</w:t>
      </w:r>
      <w:r w:rsidR="00993233" w:rsidRPr="00022B05">
        <w:rPr>
          <w:sz w:val="24"/>
          <w:szCs w:val="24"/>
        </w:rPr>
        <w:t>)</w:t>
      </w:r>
      <w:r w:rsidR="00993233">
        <w:rPr>
          <w:sz w:val="24"/>
          <w:szCs w:val="24"/>
        </w:rPr>
        <w:t xml:space="preserve"> predict that t</w:t>
      </w:r>
      <w:r w:rsidR="00993233" w:rsidRPr="00022B05">
        <w:rPr>
          <w:sz w:val="24"/>
          <w:szCs w:val="24"/>
        </w:rPr>
        <w:t>he first plagioclase to crystallize f</w:t>
      </w:r>
      <w:r w:rsidR="00993233">
        <w:rPr>
          <w:sz w:val="24"/>
          <w:szCs w:val="24"/>
        </w:rPr>
        <w:t>rom a melt with</w:t>
      </w:r>
      <w:r w:rsidR="00993233" w:rsidRPr="00022B05">
        <w:rPr>
          <w:sz w:val="24"/>
          <w:szCs w:val="24"/>
        </w:rPr>
        <w:t xml:space="preserve"> </w:t>
      </w:r>
      <w:r w:rsidR="00993233">
        <w:rPr>
          <w:sz w:val="24"/>
          <w:szCs w:val="24"/>
        </w:rPr>
        <w:t xml:space="preserve">the major element composition of </w:t>
      </w:r>
      <w:r w:rsidR="00993233" w:rsidRPr="00022B05">
        <w:rPr>
          <w:sz w:val="24"/>
          <w:szCs w:val="24"/>
        </w:rPr>
        <w:t xml:space="preserve">ultramafic seafloor basalt SMS16-3-5 </w:t>
      </w:r>
      <w:r w:rsidR="00993233">
        <w:rPr>
          <w:sz w:val="24"/>
          <w:szCs w:val="24"/>
        </w:rPr>
        <w:t>should have</w:t>
      </w:r>
      <w:r w:rsidR="00993233" w:rsidRPr="00022B05">
        <w:rPr>
          <w:sz w:val="24"/>
          <w:szCs w:val="24"/>
        </w:rPr>
        <w:t xml:space="preserve"> </w:t>
      </w:r>
      <w:r w:rsidR="00993233">
        <w:rPr>
          <w:sz w:val="24"/>
          <w:szCs w:val="24"/>
        </w:rPr>
        <w:t xml:space="preserve">an </w:t>
      </w:r>
      <w:proofErr w:type="gramStart"/>
      <w:r w:rsidR="00993233" w:rsidRPr="00022B05">
        <w:rPr>
          <w:sz w:val="24"/>
          <w:szCs w:val="24"/>
        </w:rPr>
        <w:t>An</w:t>
      </w:r>
      <w:proofErr w:type="gramEnd"/>
      <w:r w:rsidR="00993233" w:rsidRPr="00022B05">
        <w:rPr>
          <w:sz w:val="24"/>
          <w:szCs w:val="24"/>
        </w:rPr>
        <w:t xml:space="preserve"> content of 62.7% at 2 kbar, 59.3% at 4 kbar, and 52.</w:t>
      </w:r>
      <w:r w:rsidR="00CA06AA">
        <w:rPr>
          <w:sz w:val="24"/>
          <w:szCs w:val="24"/>
        </w:rPr>
        <w:t>5</w:t>
      </w:r>
      <w:r w:rsidR="00993233" w:rsidRPr="00022B05">
        <w:rPr>
          <w:sz w:val="24"/>
          <w:szCs w:val="24"/>
        </w:rPr>
        <w:t xml:space="preserve">% at 8 kbar. Using </w:t>
      </w:r>
      <w:r w:rsidR="00993233">
        <w:rPr>
          <w:sz w:val="24"/>
          <w:szCs w:val="24"/>
        </w:rPr>
        <w:t>t</w:t>
      </w:r>
      <w:r w:rsidR="00993233" w:rsidRPr="00022B05">
        <w:rPr>
          <w:sz w:val="24"/>
          <w:szCs w:val="24"/>
        </w:rPr>
        <w:t xml:space="preserve">he composition we </w:t>
      </w:r>
      <w:r w:rsidR="00993233">
        <w:rPr>
          <w:sz w:val="24"/>
          <w:szCs w:val="24"/>
        </w:rPr>
        <w:t>calculate</w:t>
      </w:r>
      <w:r w:rsidR="00993233" w:rsidRPr="00022B05">
        <w:rPr>
          <w:sz w:val="24"/>
          <w:szCs w:val="24"/>
        </w:rPr>
        <w:t xml:space="preserve"> for the reacting melt at a melt-rock ratio of 30</w:t>
      </w:r>
      <w:r w:rsidR="00993233">
        <w:rPr>
          <w:sz w:val="24"/>
          <w:szCs w:val="24"/>
        </w:rPr>
        <w:t xml:space="preserve"> </w:t>
      </w:r>
      <w:r w:rsidR="00993233" w:rsidRPr="00022B05">
        <w:rPr>
          <w:sz w:val="24"/>
          <w:szCs w:val="24"/>
        </w:rPr>
        <w:t>(lower MgO and higher CaO</w:t>
      </w:r>
      <w:r w:rsidR="00993233">
        <w:rPr>
          <w:sz w:val="24"/>
          <w:szCs w:val="24"/>
        </w:rPr>
        <w:t xml:space="preserve"> and Al</w:t>
      </w:r>
      <w:r w:rsidR="00993233" w:rsidRPr="00993233">
        <w:rPr>
          <w:sz w:val="24"/>
          <w:szCs w:val="24"/>
          <w:vertAlign w:val="subscript"/>
        </w:rPr>
        <w:t>2</w:t>
      </w:r>
      <w:r w:rsidR="00993233">
        <w:rPr>
          <w:sz w:val="24"/>
          <w:szCs w:val="24"/>
        </w:rPr>
        <w:t>O</w:t>
      </w:r>
      <w:r w:rsidR="00993233" w:rsidRPr="00993233">
        <w:rPr>
          <w:sz w:val="24"/>
          <w:szCs w:val="24"/>
          <w:vertAlign w:val="subscript"/>
        </w:rPr>
        <w:t>3</w:t>
      </w:r>
      <w:r w:rsidR="00993233">
        <w:rPr>
          <w:sz w:val="24"/>
          <w:szCs w:val="24"/>
        </w:rPr>
        <w:t>; Figure 13</w:t>
      </w:r>
      <w:r w:rsidR="00993233" w:rsidRPr="00022B05">
        <w:rPr>
          <w:sz w:val="24"/>
          <w:szCs w:val="24"/>
        </w:rPr>
        <w:t>)</w:t>
      </w:r>
      <w:r w:rsidR="00342945">
        <w:rPr>
          <w:sz w:val="24"/>
          <w:szCs w:val="24"/>
        </w:rPr>
        <w:t xml:space="preserve"> as initial composition</w:t>
      </w:r>
      <w:r w:rsidR="00993233" w:rsidRPr="00022B05">
        <w:rPr>
          <w:sz w:val="24"/>
          <w:szCs w:val="24"/>
        </w:rPr>
        <w:t xml:space="preserve">, we obtain </w:t>
      </w:r>
      <w:proofErr w:type="gramStart"/>
      <w:r w:rsidR="00993233" w:rsidRPr="00022B05">
        <w:rPr>
          <w:sz w:val="24"/>
          <w:szCs w:val="24"/>
        </w:rPr>
        <w:t>An</w:t>
      </w:r>
      <w:proofErr w:type="gramEnd"/>
      <w:r w:rsidR="00993233" w:rsidRPr="00022B05">
        <w:rPr>
          <w:sz w:val="24"/>
          <w:szCs w:val="24"/>
        </w:rPr>
        <w:t xml:space="preserve"> values of 63.3% at 2 kbar, 59.9% at 4 kbar, and 53.1% at 8</w:t>
      </w:r>
      <w:r w:rsidR="00993233">
        <w:rPr>
          <w:sz w:val="24"/>
          <w:szCs w:val="24"/>
        </w:rPr>
        <w:t xml:space="preserve"> </w:t>
      </w:r>
      <w:r w:rsidR="00993233" w:rsidRPr="00022B05">
        <w:rPr>
          <w:sz w:val="24"/>
          <w:szCs w:val="24"/>
        </w:rPr>
        <w:t>kbar</w:t>
      </w:r>
      <w:r w:rsidR="00993233" w:rsidRPr="000600BD">
        <w:rPr>
          <w:sz w:val="24"/>
          <w:szCs w:val="24"/>
        </w:rPr>
        <w:t>. These</w:t>
      </w:r>
      <w:r w:rsidR="00CA06AA">
        <w:rPr>
          <w:sz w:val="24"/>
          <w:szCs w:val="24"/>
        </w:rPr>
        <w:t xml:space="preserve"> range</w:t>
      </w:r>
      <w:r w:rsidR="00342945">
        <w:rPr>
          <w:sz w:val="24"/>
          <w:szCs w:val="24"/>
        </w:rPr>
        <w:t>s</w:t>
      </w:r>
      <w:r w:rsidR="00CA06AA">
        <w:rPr>
          <w:sz w:val="24"/>
          <w:szCs w:val="24"/>
        </w:rPr>
        <w:t xml:space="preserve"> of</w:t>
      </w:r>
      <w:r w:rsidR="00993233" w:rsidRPr="000600BD">
        <w:rPr>
          <w:sz w:val="24"/>
          <w:szCs w:val="24"/>
        </w:rPr>
        <w:t xml:space="preserve"> </w:t>
      </w:r>
      <w:proofErr w:type="gramStart"/>
      <w:r w:rsidR="00993233" w:rsidRPr="000600BD">
        <w:rPr>
          <w:sz w:val="24"/>
          <w:szCs w:val="24"/>
        </w:rPr>
        <w:t>An</w:t>
      </w:r>
      <w:proofErr w:type="gramEnd"/>
      <w:r w:rsidR="00993233" w:rsidRPr="000600BD">
        <w:rPr>
          <w:sz w:val="24"/>
          <w:szCs w:val="24"/>
        </w:rPr>
        <w:t xml:space="preserve"> values are comparable to those measured in the larger plagioclase grains in most samples of troctolites and gabbros (An contents between 55 and 67%; Figure 8). This supports our interpretation of these larger plagioclases as having crystallized from the reacting melt.</w:t>
      </w:r>
    </w:p>
    <w:p w14:paraId="71144D82" w14:textId="31E6FA8D" w:rsidR="00993233" w:rsidRDefault="00056FF2" w:rsidP="008E3798">
      <w:pPr>
        <w:jc w:val="both"/>
        <w:rPr>
          <w:sz w:val="24"/>
          <w:szCs w:val="24"/>
        </w:rPr>
      </w:pPr>
      <w:r>
        <w:rPr>
          <w:sz w:val="24"/>
          <w:szCs w:val="24"/>
        </w:rPr>
        <w:tab/>
        <w:t>By contrast, we propose that</w:t>
      </w:r>
      <w:r w:rsidRPr="00022B05">
        <w:rPr>
          <w:sz w:val="24"/>
          <w:szCs w:val="24"/>
        </w:rPr>
        <w:t xml:space="preserve"> the high</w:t>
      </w:r>
      <w:r>
        <w:rPr>
          <w:sz w:val="24"/>
          <w:szCs w:val="24"/>
        </w:rPr>
        <w:t>er</w:t>
      </w:r>
      <w:r w:rsidRPr="00022B05">
        <w:rPr>
          <w:sz w:val="24"/>
          <w:szCs w:val="24"/>
        </w:rPr>
        <w:t xml:space="preserve"> An </w:t>
      </w:r>
      <w:r>
        <w:rPr>
          <w:sz w:val="24"/>
          <w:szCs w:val="24"/>
        </w:rPr>
        <w:t xml:space="preserve">and smaller </w:t>
      </w:r>
      <w:r w:rsidRPr="00022B05">
        <w:rPr>
          <w:sz w:val="24"/>
          <w:szCs w:val="24"/>
        </w:rPr>
        <w:t>plagioclase</w:t>
      </w:r>
      <w:r>
        <w:rPr>
          <w:sz w:val="24"/>
          <w:szCs w:val="24"/>
        </w:rPr>
        <w:t xml:space="preserve"> grains</w:t>
      </w:r>
      <w:r w:rsidRPr="00022B05">
        <w:rPr>
          <w:sz w:val="24"/>
          <w:szCs w:val="24"/>
        </w:rPr>
        <w:t xml:space="preserve"> </w:t>
      </w:r>
      <w:r>
        <w:rPr>
          <w:sz w:val="24"/>
          <w:szCs w:val="24"/>
        </w:rPr>
        <w:t xml:space="preserve">in </w:t>
      </w:r>
      <w:r w:rsidR="00765BC5">
        <w:rPr>
          <w:sz w:val="24"/>
          <w:szCs w:val="24"/>
        </w:rPr>
        <w:t xml:space="preserve">the </w:t>
      </w:r>
      <w:r w:rsidRPr="00022B05">
        <w:rPr>
          <w:sz w:val="24"/>
          <w:szCs w:val="24"/>
        </w:rPr>
        <w:t>plagioclase-bearing ultramafic rocks</w:t>
      </w:r>
      <w:r w:rsidRPr="00022B05" w:rsidDel="001D1632">
        <w:rPr>
          <w:sz w:val="24"/>
          <w:szCs w:val="24"/>
        </w:rPr>
        <w:t xml:space="preserve"> </w:t>
      </w:r>
      <w:r w:rsidRPr="00022B05">
        <w:rPr>
          <w:sz w:val="24"/>
          <w:szCs w:val="24"/>
        </w:rPr>
        <w:t>are the result reactions between the melt and the peridotite minerals</w:t>
      </w:r>
      <w:r>
        <w:rPr>
          <w:sz w:val="24"/>
          <w:szCs w:val="24"/>
        </w:rPr>
        <w:t xml:space="preserve">, leading to the </w:t>
      </w:r>
      <w:r w:rsidRPr="00022B05">
        <w:rPr>
          <w:sz w:val="24"/>
          <w:szCs w:val="24"/>
        </w:rPr>
        <w:t xml:space="preserve">destabilization of spinel and </w:t>
      </w:r>
      <w:r>
        <w:rPr>
          <w:sz w:val="24"/>
          <w:szCs w:val="24"/>
        </w:rPr>
        <w:t xml:space="preserve">to the </w:t>
      </w:r>
      <w:r w:rsidRPr="00022B05">
        <w:rPr>
          <w:sz w:val="24"/>
          <w:szCs w:val="24"/>
        </w:rPr>
        <w:t>replacement of preexisting orthopyroxene, olivine and spinel by orthopyroxene and plagioclase. Plagioclase</w:t>
      </w:r>
      <w:r w:rsidR="00BF6259">
        <w:rPr>
          <w:sz w:val="24"/>
          <w:szCs w:val="24"/>
        </w:rPr>
        <w:t>s</w:t>
      </w:r>
      <w:r w:rsidRPr="00022B05">
        <w:rPr>
          <w:sz w:val="24"/>
          <w:szCs w:val="24"/>
        </w:rPr>
        <w:t xml:space="preserve"> with similarly high </w:t>
      </w:r>
      <w:proofErr w:type="gramStart"/>
      <w:r w:rsidRPr="00022B05">
        <w:rPr>
          <w:sz w:val="24"/>
          <w:szCs w:val="24"/>
        </w:rPr>
        <w:t>An</w:t>
      </w:r>
      <w:proofErr w:type="gramEnd"/>
      <w:r w:rsidRPr="00022B05">
        <w:rPr>
          <w:sz w:val="24"/>
          <w:szCs w:val="24"/>
        </w:rPr>
        <w:t xml:space="preserve"> contents ha</w:t>
      </w:r>
      <w:r w:rsidR="00BF6259">
        <w:rPr>
          <w:sz w:val="24"/>
          <w:szCs w:val="24"/>
        </w:rPr>
        <w:t>ve</w:t>
      </w:r>
      <w:r w:rsidRPr="00022B05">
        <w:rPr>
          <w:sz w:val="24"/>
          <w:szCs w:val="24"/>
        </w:rPr>
        <w:t xml:space="preserve"> been reported in several suites of plagioclase-bearing abyssal peridotites [e.g. </w:t>
      </w:r>
      <w:r w:rsidRPr="00022B05">
        <w:rPr>
          <w:i/>
          <w:sz w:val="24"/>
          <w:szCs w:val="24"/>
        </w:rPr>
        <w:t>Tartarotti et al.</w:t>
      </w:r>
      <w:r w:rsidRPr="00022B05">
        <w:rPr>
          <w:sz w:val="24"/>
          <w:szCs w:val="24"/>
        </w:rPr>
        <w:t xml:space="preserve">, 2002; </w:t>
      </w:r>
      <w:r w:rsidRPr="00022B05">
        <w:rPr>
          <w:i/>
          <w:sz w:val="24"/>
          <w:szCs w:val="24"/>
        </w:rPr>
        <w:t>Dick et al.</w:t>
      </w:r>
      <w:r w:rsidRPr="00022B05">
        <w:rPr>
          <w:sz w:val="24"/>
          <w:szCs w:val="24"/>
        </w:rPr>
        <w:t xml:space="preserve">, 2010; </w:t>
      </w:r>
      <w:r w:rsidRPr="00022B05">
        <w:rPr>
          <w:i/>
          <w:sz w:val="24"/>
          <w:szCs w:val="24"/>
        </w:rPr>
        <w:t>Warren and Shimizu</w:t>
      </w:r>
      <w:r w:rsidRPr="00022B05">
        <w:rPr>
          <w:sz w:val="24"/>
          <w:szCs w:val="24"/>
        </w:rPr>
        <w:t xml:space="preserve">, 2010]. Experimental data on the spinel to plagioclase transition in lherzolites </w:t>
      </w:r>
      <w:r w:rsidR="00F2666A">
        <w:rPr>
          <w:sz w:val="24"/>
          <w:szCs w:val="24"/>
        </w:rPr>
        <w:t>suggest</w:t>
      </w:r>
      <w:r w:rsidR="00F2666A" w:rsidRPr="00022B05">
        <w:rPr>
          <w:sz w:val="24"/>
          <w:szCs w:val="24"/>
        </w:rPr>
        <w:t xml:space="preserve"> </w:t>
      </w:r>
      <w:r w:rsidRPr="00022B05">
        <w:rPr>
          <w:sz w:val="24"/>
          <w:szCs w:val="24"/>
        </w:rPr>
        <w:t xml:space="preserve">that there is an inverse relation between pressure and the </w:t>
      </w:r>
      <w:proofErr w:type="gramStart"/>
      <w:r w:rsidRPr="00022B05">
        <w:rPr>
          <w:sz w:val="24"/>
          <w:szCs w:val="24"/>
        </w:rPr>
        <w:t>An</w:t>
      </w:r>
      <w:proofErr w:type="gramEnd"/>
      <w:r w:rsidRPr="00022B05">
        <w:rPr>
          <w:sz w:val="24"/>
          <w:szCs w:val="24"/>
        </w:rPr>
        <w:t xml:space="preserve"> content of the metamorphic plagioclase [</w:t>
      </w:r>
      <w:r w:rsidRPr="00022B05">
        <w:rPr>
          <w:i/>
          <w:sz w:val="24"/>
          <w:szCs w:val="24"/>
        </w:rPr>
        <w:t>Borghini et al.</w:t>
      </w:r>
      <w:r w:rsidRPr="00022B05">
        <w:rPr>
          <w:sz w:val="24"/>
          <w:szCs w:val="24"/>
        </w:rPr>
        <w:t>,</w:t>
      </w:r>
      <w:r w:rsidR="00375C2A">
        <w:rPr>
          <w:sz w:val="24"/>
          <w:szCs w:val="24"/>
        </w:rPr>
        <w:t xml:space="preserve"> </w:t>
      </w:r>
      <w:r>
        <w:rPr>
          <w:sz w:val="24"/>
          <w:szCs w:val="24"/>
        </w:rPr>
        <w:t>2010</w:t>
      </w:r>
      <w:r w:rsidR="00375C2A">
        <w:rPr>
          <w:sz w:val="24"/>
          <w:szCs w:val="24"/>
        </w:rPr>
        <w:t>,</w:t>
      </w:r>
      <w:r w:rsidRPr="00022B05">
        <w:rPr>
          <w:sz w:val="24"/>
          <w:szCs w:val="24"/>
        </w:rPr>
        <w:t xml:space="preserve"> 2011]. </w:t>
      </w:r>
      <w:r w:rsidR="00765BC5">
        <w:rPr>
          <w:sz w:val="24"/>
          <w:szCs w:val="24"/>
        </w:rPr>
        <w:t>However, in this study,</w:t>
      </w:r>
      <w:r w:rsidRPr="00022B05">
        <w:rPr>
          <w:sz w:val="24"/>
          <w:szCs w:val="24"/>
        </w:rPr>
        <w:t xml:space="preserve"> melt is clearly involved in the formation of the plagioclase and the </w:t>
      </w:r>
      <w:proofErr w:type="gramStart"/>
      <w:r w:rsidRPr="00022B05">
        <w:rPr>
          <w:sz w:val="24"/>
          <w:szCs w:val="24"/>
        </w:rPr>
        <w:t>An</w:t>
      </w:r>
      <w:proofErr w:type="gramEnd"/>
      <w:r w:rsidRPr="00022B05">
        <w:rPr>
          <w:sz w:val="24"/>
          <w:szCs w:val="24"/>
        </w:rPr>
        <w:t xml:space="preserve"> contents measured are therefore not equilibrium metamorphic compositions.</w:t>
      </w:r>
    </w:p>
    <w:p w14:paraId="51C82856" w14:textId="0B83C41C" w:rsidR="008E3798" w:rsidRPr="00022B05" w:rsidRDefault="008E3798" w:rsidP="00BF6259">
      <w:pPr>
        <w:jc w:val="both"/>
        <w:rPr>
          <w:sz w:val="24"/>
          <w:szCs w:val="24"/>
        </w:rPr>
      </w:pPr>
    </w:p>
    <w:p w14:paraId="7C703531" w14:textId="0526B922" w:rsidR="008E3798" w:rsidRPr="00022B05" w:rsidRDefault="00CA06AA" w:rsidP="008E3798">
      <w:pPr>
        <w:pStyle w:val="Heading-Secondary"/>
      </w:pPr>
      <w:r>
        <w:lastRenderedPageBreak/>
        <w:t>6</w:t>
      </w:r>
      <w:r w:rsidR="008E3798" w:rsidRPr="00022B05">
        <w:t>.5 Parental melts</w:t>
      </w:r>
    </w:p>
    <w:p w14:paraId="217ECC30" w14:textId="191437F4" w:rsidR="008E3798" w:rsidRPr="00022B05" w:rsidRDefault="008E3798" w:rsidP="008E3798">
      <w:pPr>
        <w:tabs>
          <w:tab w:val="left" w:pos="912"/>
        </w:tabs>
        <w:spacing w:after="120"/>
        <w:jc w:val="both"/>
        <w:rPr>
          <w:sz w:val="24"/>
          <w:szCs w:val="24"/>
          <w:u w:val="single"/>
        </w:rPr>
      </w:pPr>
      <w:r w:rsidRPr="00022B05">
        <w:rPr>
          <w:sz w:val="24"/>
          <w:szCs w:val="24"/>
        </w:rPr>
        <w:tab/>
        <w:t xml:space="preserve">If our interpretation is correct, ultramafic seafloor basalts and most volcanic seafloor basalts are derived from parental melts similar to those volcanic seafloor basalts that have flat REE patterns </w:t>
      </w:r>
      <w:r w:rsidR="0097658B" w:rsidRPr="00022B05">
        <w:rPr>
          <w:sz w:val="24"/>
          <w:szCs w:val="24"/>
        </w:rPr>
        <w:t>comparable</w:t>
      </w:r>
      <w:r w:rsidRPr="00022B05">
        <w:rPr>
          <w:sz w:val="24"/>
          <w:szCs w:val="24"/>
        </w:rPr>
        <w:t xml:space="preserve"> to those of the ultramafic seafloor basalts from dredges SMS16, 23 and 28. These basalts have lower MgO contents (7.</w:t>
      </w:r>
      <w:r w:rsidR="00CA06AA">
        <w:rPr>
          <w:sz w:val="24"/>
          <w:szCs w:val="24"/>
        </w:rPr>
        <w:t>4</w:t>
      </w:r>
      <w:r w:rsidR="00CA06AA" w:rsidRPr="00022B05">
        <w:rPr>
          <w:sz w:val="24"/>
          <w:szCs w:val="24"/>
        </w:rPr>
        <w:t xml:space="preserve"> </w:t>
      </w:r>
      <w:r w:rsidRPr="00022B05">
        <w:rPr>
          <w:sz w:val="24"/>
          <w:szCs w:val="24"/>
        </w:rPr>
        <w:t>to 8</w:t>
      </w:r>
      <w:r w:rsidR="000600BD">
        <w:rPr>
          <w:sz w:val="24"/>
          <w:szCs w:val="24"/>
        </w:rPr>
        <w:t>.3</w:t>
      </w:r>
      <w:r w:rsidRPr="00022B05">
        <w:rPr>
          <w:sz w:val="24"/>
          <w:szCs w:val="24"/>
        </w:rPr>
        <w:t>%; Figure 13) than commonly pr</w:t>
      </w:r>
      <w:r w:rsidR="003242CB" w:rsidRPr="00022B05">
        <w:rPr>
          <w:sz w:val="24"/>
          <w:szCs w:val="24"/>
        </w:rPr>
        <w:t>oposed for MORB parental melts [</w:t>
      </w:r>
      <w:r w:rsidRPr="00022B05">
        <w:rPr>
          <w:bCs/>
          <w:sz w:val="24"/>
          <w:szCs w:val="24"/>
        </w:rPr>
        <w:t xml:space="preserve">e.g. </w:t>
      </w:r>
      <w:r w:rsidRPr="00022B05">
        <w:rPr>
          <w:bCs/>
          <w:i/>
          <w:sz w:val="24"/>
          <w:szCs w:val="24"/>
        </w:rPr>
        <w:t>Kinzler and Grove</w:t>
      </w:r>
      <w:r w:rsidRPr="00022B05">
        <w:rPr>
          <w:bCs/>
          <w:sz w:val="24"/>
          <w:szCs w:val="24"/>
        </w:rPr>
        <w:t>, 1993</w:t>
      </w:r>
      <w:r w:rsidR="003242CB" w:rsidRPr="00022B05">
        <w:rPr>
          <w:sz w:val="24"/>
          <w:szCs w:val="24"/>
        </w:rPr>
        <w:t>]</w:t>
      </w:r>
      <w:r w:rsidRPr="00022B05">
        <w:rPr>
          <w:sz w:val="24"/>
          <w:szCs w:val="24"/>
        </w:rPr>
        <w:t xml:space="preserve">. Low MgO content in the melts is consistent with the low degrees of mantle melting indicated for the 61°-67°E region of the SWIR by the </w:t>
      </w:r>
      <w:r w:rsidRPr="00022B05">
        <w:rPr>
          <w:bCs/>
          <w:sz w:val="24"/>
          <w:szCs w:val="24"/>
        </w:rPr>
        <w:t>c</w:t>
      </w:r>
      <w:r w:rsidR="003242CB" w:rsidRPr="00022B05">
        <w:rPr>
          <w:bCs/>
          <w:sz w:val="24"/>
          <w:szCs w:val="24"/>
        </w:rPr>
        <w:t>omposition of both peridotites [</w:t>
      </w:r>
      <w:r w:rsidRPr="00022B05">
        <w:rPr>
          <w:bCs/>
          <w:i/>
          <w:sz w:val="24"/>
          <w:szCs w:val="24"/>
        </w:rPr>
        <w:t>Seyler et al.</w:t>
      </w:r>
      <w:r w:rsidRPr="00022B05">
        <w:rPr>
          <w:bCs/>
          <w:sz w:val="24"/>
          <w:szCs w:val="24"/>
        </w:rPr>
        <w:t xml:space="preserve">, 2003; </w:t>
      </w:r>
      <w:r w:rsidRPr="00022B05">
        <w:rPr>
          <w:bCs/>
          <w:i/>
          <w:sz w:val="24"/>
          <w:szCs w:val="24"/>
        </w:rPr>
        <w:t>Brunelli et al.</w:t>
      </w:r>
      <w:r w:rsidR="003242CB" w:rsidRPr="00022B05">
        <w:rPr>
          <w:bCs/>
          <w:sz w:val="24"/>
          <w:szCs w:val="24"/>
        </w:rPr>
        <w:t>, 2014] and basalts [</w:t>
      </w:r>
      <w:r w:rsidR="003242CB" w:rsidRPr="00022B05">
        <w:rPr>
          <w:bCs/>
          <w:i/>
          <w:sz w:val="24"/>
          <w:szCs w:val="24"/>
        </w:rPr>
        <w:t>Meyzen et al.</w:t>
      </w:r>
      <w:r w:rsidR="003242CB" w:rsidRPr="00022B05">
        <w:rPr>
          <w:bCs/>
          <w:sz w:val="24"/>
          <w:szCs w:val="24"/>
        </w:rPr>
        <w:t>, 2003]</w:t>
      </w:r>
      <w:r w:rsidRPr="00022B05">
        <w:rPr>
          <w:bCs/>
          <w:sz w:val="24"/>
          <w:szCs w:val="24"/>
        </w:rPr>
        <w:t>. However, current partial melting models using commonly accepted up</w:t>
      </w:r>
      <w:r w:rsidR="003242CB" w:rsidRPr="00022B05">
        <w:rPr>
          <w:bCs/>
          <w:sz w:val="24"/>
          <w:szCs w:val="24"/>
        </w:rPr>
        <w:t>per mantle source compositions [</w:t>
      </w:r>
      <w:r w:rsidRPr="00022B05">
        <w:rPr>
          <w:bCs/>
          <w:sz w:val="24"/>
          <w:szCs w:val="24"/>
        </w:rPr>
        <w:t xml:space="preserve">e.g. </w:t>
      </w:r>
      <w:r w:rsidRPr="00022B05">
        <w:rPr>
          <w:bCs/>
          <w:i/>
          <w:sz w:val="24"/>
          <w:szCs w:val="24"/>
        </w:rPr>
        <w:t>McDonough and Sun</w:t>
      </w:r>
      <w:r w:rsidRPr="00022B05">
        <w:rPr>
          <w:bCs/>
          <w:sz w:val="24"/>
          <w:szCs w:val="24"/>
        </w:rPr>
        <w:t xml:space="preserve">, 1995; </w:t>
      </w:r>
      <w:r w:rsidRPr="00022B05">
        <w:rPr>
          <w:bCs/>
          <w:i/>
          <w:sz w:val="24"/>
          <w:szCs w:val="24"/>
        </w:rPr>
        <w:t>Salters and Stracke</w:t>
      </w:r>
      <w:r w:rsidRPr="00022B05">
        <w:rPr>
          <w:bCs/>
          <w:sz w:val="24"/>
          <w:szCs w:val="24"/>
        </w:rPr>
        <w:t xml:space="preserve">, 2004; </w:t>
      </w:r>
      <w:r w:rsidRPr="00022B05">
        <w:rPr>
          <w:bCs/>
          <w:i/>
          <w:sz w:val="24"/>
          <w:szCs w:val="24"/>
        </w:rPr>
        <w:t>Workman and Hart</w:t>
      </w:r>
      <w:r w:rsidR="003242CB" w:rsidRPr="00022B05">
        <w:rPr>
          <w:bCs/>
          <w:sz w:val="24"/>
          <w:szCs w:val="24"/>
        </w:rPr>
        <w:t>, 2005]</w:t>
      </w:r>
      <w:r w:rsidRPr="00022B05">
        <w:rPr>
          <w:bCs/>
          <w:sz w:val="24"/>
          <w:szCs w:val="24"/>
        </w:rPr>
        <w:t xml:space="preserve"> produce higher melt MgO contents even for </w:t>
      </w:r>
      <w:r w:rsidR="00CA06AA">
        <w:rPr>
          <w:bCs/>
          <w:sz w:val="24"/>
          <w:szCs w:val="24"/>
        </w:rPr>
        <w:t xml:space="preserve">the </w:t>
      </w:r>
      <w:r w:rsidRPr="00022B05">
        <w:rPr>
          <w:bCs/>
          <w:sz w:val="24"/>
          <w:szCs w:val="24"/>
        </w:rPr>
        <w:t xml:space="preserve">very low degrees of </w:t>
      </w:r>
      <w:r w:rsidR="00CA06AA">
        <w:rPr>
          <w:bCs/>
          <w:sz w:val="24"/>
          <w:szCs w:val="24"/>
        </w:rPr>
        <w:t xml:space="preserve">mantle </w:t>
      </w:r>
      <w:r w:rsidR="00CA06AA" w:rsidRPr="00022B05">
        <w:rPr>
          <w:bCs/>
          <w:sz w:val="24"/>
          <w:szCs w:val="24"/>
        </w:rPr>
        <w:t>melting</w:t>
      </w:r>
      <w:r w:rsidR="00CA06AA">
        <w:rPr>
          <w:bCs/>
          <w:sz w:val="24"/>
          <w:szCs w:val="24"/>
        </w:rPr>
        <w:t xml:space="preserve"> inferred in our study area</w:t>
      </w:r>
      <w:r w:rsidRPr="00022B05">
        <w:rPr>
          <w:bCs/>
          <w:sz w:val="24"/>
          <w:szCs w:val="24"/>
        </w:rPr>
        <w:t>. This is the case for the MELTs model, based on thermodynamics and d</w:t>
      </w:r>
      <w:r w:rsidR="003242CB" w:rsidRPr="00022B05">
        <w:rPr>
          <w:bCs/>
          <w:sz w:val="24"/>
          <w:szCs w:val="24"/>
        </w:rPr>
        <w:t xml:space="preserve">ecompression melting [e.g. </w:t>
      </w:r>
      <w:r w:rsidR="003242CB" w:rsidRPr="00022B05">
        <w:rPr>
          <w:bCs/>
          <w:i/>
          <w:sz w:val="24"/>
          <w:szCs w:val="24"/>
        </w:rPr>
        <w:t>Hirschmann et al.</w:t>
      </w:r>
      <w:r w:rsidR="003242CB" w:rsidRPr="00022B05">
        <w:rPr>
          <w:bCs/>
          <w:sz w:val="24"/>
          <w:szCs w:val="24"/>
        </w:rPr>
        <w:t>, 1998]</w:t>
      </w:r>
      <w:r w:rsidRPr="00022B05">
        <w:rPr>
          <w:bCs/>
          <w:sz w:val="24"/>
          <w:szCs w:val="24"/>
        </w:rPr>
        <w:t xml:space="preserve">, and for the </w:t>
      </w:r>
      <w:r w:rsidRPr="00022B05">
        <w:rPr>
          <w:sz w:val="24"/>
          <w:szCs w:val="24"/>
        </w:rPr>
        <w:t xml:space="preserve">non-modal incremental melting model of </w:t>
      </w:r>
      <w:r w:rsidRPr="00022B05">
        <w:rPr>
          <w:bCs/>
          <w:i/>
          <w:sz w:val="24"/>
          <w:szCs w:val="24"/>
        </w:rPr>
        <w:t>Kinzler and Grove</w:t>
      </w:r>
      <w:r w:rsidR="003242CB" w:rsidRPr="00022B05">
        <w:rPr>
          <w:bCs/>
          <w:sz w:val="24"/>
          <w:szCs w:val="24"/>
        </w:rPr>
        <w:t xml:space="preserve"> [1992a, 1992b</w:t>
      </w:r>
      <w:r w:rsidR="0097658B">
        <w:rPr>
          <w:bCs/>
          <w:sz w:val="24"/>
          <w:szCs w:val="24"/>
        </w:rPr>
        <w:t>,</w:t>
      </w:r>
      <w:r w:rsidR="003242CB" w:rsidRPr="00022B05">
        <w:rPr>
          <w:bCs/>
          <w:sz w:val="24"/>
          <w:szCs w:val="24"/>
        </w:rPr>
        <w:t xml:space="preserve"> 1993],</w:t>
      </w:r>
      <w:r w:rsidRPr="00022B05">
        <w:rPr>
          <w:bCs/>
          <w:sz w:val="24"/>
          <w:szCs w:val="24"/>
        </w:rPr>
        <w:t xml:space="preserve"> which is based on batch melting experiments. For example, using the non modal incremental melting model of </w:t>
      </w:r>
      <w:r w:rsidR="003242CB" w:rsidRPr="00022B05">
        <w:rPr>
          <w:bCs/>
          <w:i/>
          <w:sz w:val="24"/>
          <w:szCs w:val="24"/>
        </w:rPr>
        <w:t>Kinzler and Grove</w:t>
      </w:r>
      <w:r w:rsidR="003242CB" w:rsidRPr="00022B05">
        <w:rPr>
          <w:bCs/>
          <w:sz w:val="24"/>
          <w:szCs w:val="24"/>
        </w:rPr>
        <w:t xml:space="preserve"> [1992a, 1992b</w:t>
      </w:r>
      <w:r w:rsidR="0097658B">
        <w:rPr>
          <w:bCs/>
          <w:sz w:val="24"/>
          <w:szCs w:val="24"/>
        </w:rPr>
        <w:t>,</w:t>
      </w:r>
      <w:r w:rsidR="003242CB" w:rsidRPr="00022B05">
        <w:rPr>
          <w:bCs/>
          <w:sz w:val="24"/>
          <w:szCs w:val="24"/>
        </w:rPr>
        <w:t xml:space="preserve"> </w:t>
      </w:r>
      <w:proofErr w:type="gramStart"/>
      <w:r w:rsidR="003242CB" w:rsidRPr="00022B05">
        <w:rPr>
          <w:bCs/>
          <w:sz w:val="24"/>
          <w:szCs w:val="24"/>
        </w:rPr>
        <w:t>1993</w:t>
      </w:r>
      <w:proofErr w:type="gramEnd"/>
      <w:r w:rsidR="003242CB" w:rsidRPr="00022B05">
        <w:rPr>
          <w:bCs/>
          <w:sz w:val="24"/>
          <w:szCs w:val="24"/>
        </w:rPr>
        <w:t>]</w:t>
      </w:r>
      <w:r w:rsidRPr="00022B05">
        <w:rPr>
          <w:bCs/>
          <w:sz w:val="24"/>
          <w:szCs w:val="24"/>
        </w:rPr>
        <w:t>, their H&amp;Z dep. 1 depleted upper mantle composition, and a constant melting pressure of 10 kbar, we obtain a MgO content of 9.6 wt% in the melt, for a total melting rate of 4%.</w:t>
      </w:r>
    </w:p>
    <w:p w14:paraId="186C020A" w14:textId="3DE311AB" w:rsidR="008E3798" w:rsidRPr="00022B05" w:rsidRDefault="008E3798" w:rsidP="008E3798">
      <w:pPr>
        <w:tabs>
          <w:tab w:val="left" w:pos="567"/>
        </w:tabs>
        <w:spacing w:before="120"/>
        <w:jc w:val="both"/>
        <w:rPr>
          <w:bCs/>
          <w:sz w:val="24"/>
          <w:szCs w:val="24"/>
        </w:rPr>
      </w:pPr>
      <w:r w:rsidRPr="00022B05">
        <w:rPr>
          <w:b/>
          <w:bCs/>
          <w:sz w:val="24"/>
          <w:szCs w:val="24"/>
        </w:rPr>
        <w:tab/>
      </w:r>
      <w:r w:rsidRPr="00022B05">
        <w:rPr>
          <w:bCs/>
          <w:sz w:val="24"/>
          <w:szCs w:val="24"/>
        </w:rPr>
        <w:t xml:space="preserve">A possible way to obtain parental melts with lower MgO values </w:t>
      </w:r>
      <w:r w:rsidR="00CA06AA">
        <w:rPr>
          <w:bCs/>
          <w:sz w:val="24"/>
          <w:szCs w:val="24"/>
        </w:rPr>
        <w:t>is</w:t>
      </w:r>
      <w:r w:rsidRPr="00022B05">
        <w:rPr>
          <w:bCs/>
          <w:sz w:val="24"/>
          <w:szCs w:val="24"/>
        </w:rPr>
        <w:t xml:space="preserve"> to mix these low degree mantle melts with melts produced </w:t>
      </w:r>
      <w:r w:rsidR="00CA06AA">
        <w:rPr>
          <w:bCs/>
          <w:sz w:val="24"/>
          <w:szCs w:val="24"/>
        </w:rPr>
        <w:t>from</w:t>
      </w:r>
      <w:r w:rsidRPr="00022B05">
        <w:rPr>
          <w:bCs/>
          <w:sz w:val="24"/>
          <w:szCs w:val="24"/>
        </w:rPr>
        <w:t xml:space="preserve"> basaltic heterogeneities (pyroxenites or eclogites) in the subaxial mantle. The existence of these heterogeneities is supported by basalt petrology and </w:t>
      </w:r>
      <w:r w:rsidR="003242CB" w:rsidRPr="00022B05">
        <w:rPr>
          <w:bCs/>
          <w:sz w:val="24"/>
          <w:szCs w:val="24"/>
        </w:rPr>
        <w:t>geochemistry [</w:t>
      </w:r>
      <w:r w:rsidRPr="00022B05">
        <w:rPr>
          <w:bCs/>
          <w:sz w:val="24"/>
          <w:szCs w:val="24"/>
        </w:rPr>
        <w:t>e</w:t>
      </w:r>
      <w:r w:rsidR="00577A38">
        <w:rPr>
          <w:bCs/>
          <w:sz w:val="24"/>
          <w:szCs w:val="24"/>
        </w:rPr>
        <w:t>.</w:t>
      </w:r>
      <w:r w:rsidRPr="00022B05">
        <w:rPr>
          <w:bCs/>
          <w:sz w:val="24"/>
          <w:szCs w:val="24"/>
        </w:rPr>
        <w:t>g</w:t>
      </w:r>
      <w:r w:rsidR="00577A38">
        <w:rPr>
          <w:bCs/>
          <w:sz w:val="24"/>
          <w:szCs w:val="24"/>
        </w:rPr>
        <w:t>.</w:t>
      </w:r>
      <w:r w:rsidRPr="00022B05">
        <w:rPr>
          <w:bCs/>
          <w:sz w:val="24"/>
          <w:szCs w:val="24"/>
        </w:rPr>
        <w:t xml:space="preserve"> </w:t>
      </w:r>
      <w:r w:rsidRPr="00022B05">
        <w:rPr>
          <w:bCs/>
          <w:i/>
          <w:sz w:val="24"/>
          <w:szCs w:val="24"/>
        </w:rPr>
        <w:t>Hofmann and White</w:t>
      </w:r>
      <w:r w:rsidRPr="00022B05">
        <w:rPr>
          <w:bCs/>
          <w:sz w:val="24"/>
          <w:szCs w:val="24"/>
        </w:rPr>
        <w:t xml:space="preserve">, 1982; </w:t>
      </w:r>
      <w:r w:rsidRPr="00022B05">
        <w:rPr>
          <w:bCs/>
          <w:i/>
          <w:sz w:val="24"/>
          <w:szCs w:val="24"/>
        </w:rPr>
        <w:t>Hirschmann and Stolper</w:t>
      </w:r>
      <w:r w:rsidRPr="00022B05">
        <w:rPr>
          <w:bCs/>
          <w:sz w:val="24"/>
          <w:szCs w:val="24"/>
        </w:rPr>
        <w:t xml:space="preserve">, 1996; </w:t>
      </w:r>
      <w:r w:rsidRPr="00022B05">
        <w:rPr>
          <w:bCs/>
          <w:i/>
          <w:sz w:val="24"/>
          <w:szCs w:val="24"/>
        </w:rPr>
        <w:t>Sobolev et al.</w:t>
      </w:r>
      <w:r w:rsidR="003242CB" w:rsidRPr="00022B05">
        <w:rPr>
          <w:bCs/>
          <w:sz w:val="24"/>
          <w:szCs w:val="24"/>
        </w:rPr>
        <w:t>, 2007]</w:t>
      </w:r>
      <w:r w:rsidRPr="00022B05">
        <w:rPr>
          <w:bCs/>
          <w:sz w:val="24"/>
          <w:szCs w:val="24"/>
        </w:rPr>
        <w:t>. While this mixing is used to explain some aspects of the trace and</w:t>
      </w:r>
      <w:r w:rsidR="003242CB" w:rsidRPr="00022B05">
        <w:rPr>
          <w:bCs/>
          <w:sz w:val="24"/>
          <w:szCs w:val="24"/>
        </w:rPr>
        <w:t xml:space="preserve"> isotopic composition of MORBs [</w:t>
      </w:r>
      <w:r w:rsidRPr="00022B05">
        <w:rPr>
          <w:bCs/>
          <w:sz w:val="24"/>
          <w:szCs w:val="24"/>
        </w:rPr>
        <w:t xml:space="preserve">e.g. </w:t>
      </w:r>
      <w:r w:rsidRPr="00022B05">
        <w:rPr>
          <w:bCs/>
          <w:i/>
          <w:sz w:val="24"/>
          <w:szCs w:val="24"/>
        </w:rPr>
        <w:t>Lundstrom et al., 1995</w:t>
      </w:r>
      <w:r w:rsidRPr="00022B05">
        <w:rPr>
          <w:bCs/>
          <w:sz w:val="24"/>
          <w:szCs w:val="24"/>
        </w:rPr>
        <w:t xml:space="preserve">; </w:t>
      </w:r>
      <w:r w:rsidRPr="00022B05">
        <w:rPr>
          <w:bCs/>
          <w:i/>
          <w:sz w:val="24"/>
          <w:szCs w:val="24"/>
        </w:rPr>
        <w:t>Hirschmann and Stolper</w:t>
      </w:r>
      <w:r w:rsidRPr="00022B05">
        <w:rPr>
          <w:bCs/>
          <w:sz w:val="24"/>
          <w:szCs w:val="24"/>
        </w:rPr>
        <w:t xml:space="preserve">, 1996; </w:t>
      </w:r>
      <w:r w:rsidRPr="00022B05">
        <w:rPr>
          <w:bCs/>
          <w:i/>
          <w:sz w:val="24"/>
          <w:szCs w:val="24"/>
        </w:rPr>
        <w:t>Salters and Dick</w:t>
      </w:r>
      <w:r w:rsidRPr="00022B05">
        <w:rPr>
          <w:bCs/>
          <w:sz w:val="24"/>
          <w:szCs w:val="24"/>
        </w:rPr>
        <w:t xml:space="preserve">, 2002; </w:t>
      </w:r>
      <w:r w:rsidRPr="00022B05">
        <w:rPr>
          <w:bCs/>
          <w:i/>
          <w:sz w:val="24"/>
          <w:szCs w:val="24"/>
        </w:rPr>
        <w:t>Pertermann and Hirschmann</w:t>
      </w:r>
      <w:r w:rsidR="003242CB" w:rsidRPr="00022B05">
        <w:rPr>
          <w:bCs/>
          <w:sz w:val="24"/>
          <w:szCs w:val="24"/>
        </w:rPr>
        <w:t>, 2003]</w:t>
      </w:r>
      <w:r w:rsidRPr="00022B05">
        <w:rPr>
          <w:bCs/>
          <w:sz w:val="24"/>
          <w:szCs w:val="24"/>
        </w:rPr>
        <w:t xml:space="preserve">, it may only have a significant effect on major element compositions if the proportion of pyroxenitic melt over depleted mantle melt is itself significant. This is of course more likely to be the case in the melt-poor ridge environment considered in </w:t>
      </w:r>
      <w:r w:rsidR="00765BC5">
        <w:rPr>
          <w:bCs/>
          <w:sz w:val="24"/>
          <w:szCs w:val="24"/>
        </w:rPr>
        <w:t>this</w:t>
      </w:r>
      <w:r w:rsidR="00765BC5" w:rsidRPr="00022B05">
        <w:rPr>
          <w:bCs/>
          <w:sz w:val="24"/>
          <w:szCs w:val="24"/>
        </w:rPr>
        <w:t xml:space="preserve"> </w:t>
      </w:r>
      <w:r w:rsidRPr="00022B05">
        <w:rPr>
          <w:bCs/>
          <w:sz w:val="24"/>
          <w:szCs w:val="24"/>
        </w:rPr>
        <w:t xml:space="preserve">study. Such bimodal melting has also been proposed to explain </w:t>
      </w:r>
      <w:r w:rsidR="00BF679E">
        <w:rPr>
          <w:bCs/>
          <w:sz w:val="24"/>
          <w:szCs w:val="24"/>
        </w:rPr>
        <w:t xml:space="preserve">the composition of the so-called low K/Ti </w:t>
      </w:r>
      <w:r w:rsidR="00BF679E" w:rsidRPr="00022B05">
        <w:rPr>
          <w:bCs/>
          <w:sz w:val="24"/>
          <w:szCs w:val="24"/>
        </w:rPr>
        <w:t>basalt</w:t>
      </w:r>
      <w:r w:rsidR="00BF679E">
        <w:rPr>
          <w:bCs/>
          <w:sz w:val="24"/>
          <w:szCs w:val="24"/>
        </w:rPr>
        <w:t>s</w:t>
      </w:r>
      <w:r w:rsidRPr="00022B05">
        <w:rPr>
          <w:bCs/>
          <w:sz w:val="24"/>
          <w:szCs w:val="24"/>
        </w:rPr>
        <w:t xml:space="preserve"> in the me</w:t>
      </w:r>
      <w:r w:rsidR="003242CB" w:rsidRPr="00022B05">
        <w:rPr>
          <w:bCs/>
          <w:sz w:val="24"/>
          <w:szCs w:val="24"/>
        </w:rPr>
        <w:t>lt-poor 9° to 25°E SWIR region [</w:t>
      </w:r>
      <w:r w:rsidR="003242CB" w:rsidRPr="00022B05">
        <w:rPr>
          <w:bCs/>
          <w:i/>
          <w:sz w:val="24"/>
          <w:szCs w:val="24"/>
        </w:rPr>
        <w:t>Standish et al.</w:t>
      </w:r>
      <w:r w:rsidR="003242CB" w:rsidRPr="00022B05">
        <w:rPr>
          <w:bCs/>
          <w:sz w:val="24"/>
          <w:szCs w:val="24"/>
        </w:rPr>
        <w:t>, 2008]</w:t>
      </w:r>
      <w:r w:rsidRPr="00022B05">
        <w:rPr>
          <w:bCs/>
          <w:sz w:val="24"/>
          <w:szCs w:val="24"/>
        </w:rPr>
        <w:t xml:space="preserve">. The pertinence of pyroxenite/peridotite bimodal melting in </w:t>
      </w:r>
      <w:r w:rsidR="00765BC5">
        <w:rPr>
          <w:bCs/>
          <w:sz w:val="24"/>
          <w:szCs w:val="24"/>
        </w:rPr>
        <w:t>the</w:t>
      </w:r>
      <w:r w:rsidR="00765BC5" w:rsidRPr="00022B05">
        <w:rPr>
          <w:bCs/>
          <w:sz w:val="24"/>
          <w:szCs w:val="24"/>
        </w:rPr>
        <w:t xml:space="preserve"> </w:t>
      </w:r>
      <w:r w:rsidRPr="00022B05">
        <w:rPr>
          <w:bCs/>
          <w:sz w:val="24"/>
          <w:szCs w:val="24"/>
        </w:rPr>
        <w:t xml:space="preserve">study area is further supported by clinopyroxene trace element composition in </w:t>
      </w:r>
      <w:r w:rsidR="003242CB" w:rsidRPr="00022B05">
        <w:rPr>
          <w:bCs/>
          <w:sz w:val="24"/>
          <w:szCs w:val="24"/>
        </w:rPr>
        <w:t>the dredged spinel peridotites [</w:t>
      </w:r>
      <w:r w:rsidRPr="00022B05">
        <w:rPr>
          <w:bCs/>
          <w:i/>
          <w:sz w:val="24"/>
          <w:szCs w:val="24"/>
        </w:rPr>
        <w:t>Seyler et al.</w:t>
      </w:r>
      <w:r w:rsidR="003242CB" w:rsidRPr="00022B05">
        <w:rPr>
          <w:bCs/>
          <w:sz w:val="24"/>
          <w:szCs w:val="24"/>
        </w:rPr>
        <w:t>, 2011]</w:t>
      </w:r>
      <w:r w:rsidRPr="00022B05">
        <w:rPr>
          <w:bCs/>
          <w:sz w:val="24"/>
          <w:szCs w:val="24"/>
        </w:rPr>
        <w:t xml:space="preserve">. These trace element compositions can be modeled with open-system melting of the peridotites accompanied by influx of garnet </w:t>
      </w:r>
      <w:r w:rsidR="003242CB" w:rsidRPr="00022B05">
        <w:rPr>
          <w:bCs/>
          <w:sz w:val="24"/>
          <w:szCs w:val="24"/>
        </w:rPr>
        <w:t>field-generated enriched melts [</w:t>
      </w:r>
      <w:r w:rsidRPr="00022B05">
        <w:rPr>
          <w:bCs/>
          <w:i/>
          <w:sz w:val="24"/>
          <w:szCs w:val="24"/>
        </w:rPr>
        <w:t>Brunelli et al.</w:t>
      </w:r>
      <w:r w:rsidR="003242CB" w:rsidRPr="00022B05">
        <w:rPr>
          <w:bCs/>
          <w:sz w:val="24"/>
          <w:szCs w:val="24"/>
        </w:rPr>
        <w:t>, 2014]</w:t>
      </w:r>
      <w:r w:rsidRPr="00022B05">
        <w:rPr>
          <w:bCs/>
          <w:sz w:val="24"/>
          <w:szCs w:val="24"/>
        </w:rPr>
        <w:t xml:space="preserve">. Pyroxenites are good candidates for the source of these deep and enriched melts </w:t>
      </w:r>
      <w:r w:rsidR="003242CB" w:rsidRPr="00022B05">
        <w:rPr>
          <w:bCs/>
          <w:sz w:val="24"/>
          <w:szCs w:val="24"/>
        </w:rPr>
        <w:t>[</w:t>
      </w:r>
      <w:r w:rsidR="003242CB" w:rsidRPr="00022B05">
        <w:rPr>
          <w:bCs/>
          <w:i/>
          <w:sz w:val="24"/>
          <w:szCs w:val="24"/>
        </w:rPr>
        <w:t>Brunelli et al.</w:t>
      </w:r>
      <w:r w:rsidR="003242CB" w:rsidRPr="00022B05">
        <w:rPr>
          <w:bCs/>
          <w:sz w:val="24"/>
          <w:szCs w:val="24"/>
        </w:rPr>
        <w:t>, 2015].</w:t>
      </w:r>
    </w:p>
    <w:p w14:paraId="029700BE" w14:textId="6CD0DE62" w:rsidR="008E3798" w:rsidRPr="00022B05" w:rsidRDefault="008E3798" w:rsidP="008E3798">
      <w:pPr>
        <w:tabs>
          <w:tab w:val="left" w:pos="567"/>
        </w:tabs>
        <w:spacing w:before="120"/>
        <w:jc w:val="both"/>
        <w:rPr>
          <w:bCs/>
          <w:sz w:val="24"/>
          <w:szCs w:val="24"/>
        </w:rPr>
      </w:pPr>
      <w:r w:rsidRPr="00022B05">
        <w:rPr>
          <w:b/>
          <w:bCs/>
          <w:sz w:val="24"/>
          <w:szCs w:val="24"/>
        </w:rPr>
        <w:tab/>
      </w:r>
      <w:r w:rsidRPr="00022B05">
        <w:rPr>
          <w:bCs/>
          <w:sz w:val="24"/>
          <w:szCs w:val="24"/>
        </w:rPr>
        <w:t xml:space="preserve">To test the potential of this bimodal melting process to produce the low MgO contents measured in primitive volcanic seafloor basalts, we mixed the mantle melts produced with the non modal incremental melting model of </w:t>
      </w:r>
      <w:r w:rsidR="00B42693" w:rsidRPr="00022B05">
        <w:rPr>
          <w:bCs/>
          <w:i/>
          <w:sz w:val="24"/>
          <w:szCs w:val="24"/>
        </w:rPr>
        <w:t>Kinzler and Grove</w:t>
      </w:r>
      <w:r w:rsidR="00B42693" w:rsidRPr="00022B05">
        <w:rPr>
          <w:bCs/>
          <w:sz w:val="24"/>
          <w:szCs w:val="24"/>
        </w:rPr>
        <w:t xml:space="preserve"> [1992a, 1992b and 1993]</w:t>
      </w:r>
      <w:r w:rsidRPr="00022B05">
        <w:rPr>
          <w:sz w:val="24"/>
          <w:szCs w:val="24"/>
        </w:rPr>
        <w:t xml:space="preserve"> for 4% melting, with a melt produced by melting of a pyroxenite component representing 10 wt% of the mantle by 10% (composition A284 obtained experimentally at 2GPa and 1250°C by </w:t>
      </w:r>
      <w:r w:rsidRPr="00022B05">
        <w:rPr>
          <w:i/>
          <w:sz w:val="24"/>
          <w:szCs w:val="24"/>
        </w:rPr>
        <w:t>Pertermann and Hirschmann</w:t>
      </w:r>
      <w:r w:rsidRPr="00022B05">
        <w:rPr>
          <w:sz w:val="24"/>
          <w:szCs w:val="24"/>
        </w:rPr>
        <w:t xml:space="preserve"> </w:t>
      </w:r>
      <w:r w:rsidR="00B42693" w:rsidRPr="00022B05">
        <w:rPr>
          <w:sz w:val="24"/>
          <w:szCs w:val="24"/>
        </w:rPr>
        <w:t>[</w:t>
      </w:r>
      <w:r w:rsidRPr="00022B05">
        <w:rPr>
          <w:sz w:val="24"/>
          <w:szCs w:val="24"/>
        </w:rPr>
        <w:t>2003</w:t>
      </w:r>
      <w:r w:rsidR="00B42693" w:rsidRPr="00022B05">
        <w:rPr>
          <w:sz w:val="24"/>
          <w:szCs w:val="24"/>
        </w:rPr>
        <w:t>]</w:t>
      </w:r>
      <w:r w:rsidRPr="00022B05">
        <w:rPr>
          <w:sz w:val="24"/>
          <w:szCs w:val="24"/>
        </w:rPr>
        <w:t xml:space="preserve">). </w:t>
      </w:r>
      <w:r w:rsidR="00BF679E" w:rsidRPr="00022B05">
        <w:rPr>
          <w:bCs/>
          <w:sz w:val="24"/>
          <w:szCs w:val="24"/>
        </w:rPr>
        <w:t xml:space="preserve">The resulting melt provides a better fit to </w:t>
      </w:r>
      <w:r w:rsidR="00582964">
        <w:rPr>
          <w:bCs/>
          <w:sz w:val="24"/>
          <w:szCs w:val="24"/>
        </w:rPr>
        <w:t>the</w:t>
      </w:r>
      <w:r w:rsidR="00BF679E">
        <w:rPr>
          <w:bCs/>
          <w:sz w:val="24"/>
          <w:szCs w:val="24"/>
        </w:rPr>
        <w:t xml:space="preserve"> range of inferred parental melts (shaded domains in Figure 13)</w:t>
      </w:r>
      <w:r w:rsidR="00BF679E" w:rsidRPr="00022B05">
        <w:rPr>
          <w:bCs/>
          <w:sz w:val="24"/>
          <w:szCs w:val="24"/>
        </w:rPr>
        <w:t xml:space="preserve"> than the low degree mantle melt alone. It fits in terms of MgO (8.2%), CaO (9.8%), Na</w:t>
      </w:r>
      <w:r w:rsidR="00BF679E" w:rsidRPr="00022B05">
        <w:rPr>
          <w:bCs/>
          <w:sz w:val="24"/>
          <w:szCs w:val="24"/>
          <w:vertAlign w:val="subscript"/>
        </w:rPr>
        <w:t>2</w:t>
      </w:r>
      <w:r w:rsidR="00BF679E" w:rsidRPr="00022B05">
        <w:rPr>
          <w:bCs/>
          <w:sz w:val="24"/>
          <w:szCs w:val="24"/>
        </w:rPr>
        <w:t xml:space="preserve">O (3.9%) and FeO (7.5%) contents. </w:t>
      </w:r>
      <w:r w:rsidR="00BB240A">
        <w:rPr>
          <w:bCs/>
          <w:sz w:val="24"/>
          <w:szCs w:val="24"/>
        </w:rPr>
        <w:t xml:space="preserve">However, it is </w:t>
      </w:r>
      <w:r w:rsidR="00BF679E" w:rsidRPr="00022B05">
        <w:rPr>
          <w:bCs/>
          <w:sz w:val="24"/>
          <w:szCs w:val="24"/>
        </w:rPr>
        <w:t>too high in TiO</w:t>
      </w:r>
      <w:r w:rsidR="00BF679E" w:rsidRPr="00022B05">
        <w:rPr>
          <w:bCs/>
          <w:sz w:val="24"/>
          <w:szCs w:val="24"/>
          <w:vertAlign w:val="subscript"/>
        </w:rPr>
        <w:t>2</w:t>
      </w:r>
      <w:r w:rsidR="00BF679E" w:rsidRPr="00022B05">
        <w:rPr>
          <w:bCs/>
          <w:sz w:val="24"/>
          <w:szCs w:val="24"/>
        </w:rPr>
        <w:t xml:space="preserve"> (2.3%) and SiO</w:t>
      </w:r>
      <w:r w:rsidR="00BF679E" w:rsidRPr="00022B05">
        <w:rPr>
          <w:bCs/>
          <w:sz w:val="24"/>
          <w:szCs w:val="24"/>
          <w:vertAlign w:val="subscript"/>
        </w:rPr>
        <w:t>2</w:t>
      </w:r>
      <w:r w:rsidR="00BF679E" w:rsidRPr="00022B05">
        <w:rPr>
          <w:bCs/>
          <w:sz w:val="24"/>
          <w:szCs w:val="24"/>
        </w:rPr>
        <w:t xml:space="preserve"> (51.5%), and a little too low in Al</w:t>
      </w:r>
      <w:r w:rsidR="00BF679E" w:rsidRPr="00022B05">
        <w:rPr>
          <w:bCs/>
          <w:sz w:val="24"/>
          <w:szCs w:val="24"/>
          <w:vertAlign w:val="subscript"/>
        </w:rPr>
        <w:t>2</w:t>
      </w:r>
      <w:r w:rsidR="00BF679E" w:rsidRPr="00022B05">
        <w:rPr>
          <w:bCs/>
          <w:sz w:val="24"/>
          <w:szCs w:val="24"/>
        </w:rPr>
        <w:t>O</w:t>
      </w:r>
      <w:r w:rsidR="00BF679E" w:rsidRPr="00022B05">
        <w:rPr>
          <w:bCs/>
          <w:sz w:val="24"/>
          <w:szCs w:val="24"/>
          <w:vertAlign w:val="subscript"/>
        </w:rPr>
        <w:t>3</w:t>
      </w:r>
      <w:r w:rsidR="00BF679E">
        <w:rPr>
          <w:bCs/>
          <w:sz w:val="24"/>
          <w:szCs w:val="24"/>
        </w:rPr>
        <w:t xml:space="preserve"> (16.7%).</w:t>
      </w:r>
      <w:r w:rsidRPr="00022B05">
        <w:rPr>
          <w:bCs/>
          <w:sz w:val="24"/>
          <w:szCs w:val="24"/>
        </w:rPr>
        <w:t xml:space="preserve"> While these misfits can be partly explained by our choice of the degree of melting, hence composition, for the pyroxenitic melt component, they </w:t>
      </w:r>
      <w:r w:rsidR="00BF679E">
        <w:rPr>
          <w:bCs/>
          <w:sz w:val="24"/>
          <w:szCs w:val="24"/>
        </w:rPr>
        <w:t xml:space="preserve">could </w:t>
      </w:r>
      <w:r w:rsidRPr="00022B05">
        <w:rPr>
          <w:bCs/>
          <w:sz w:val="24"/>
          <w:szCs w:val="24"/>
        </w:rPr>
        <w:t xml:space="preserve">also undoubtedly arise from using melting models that are too </w:t>
      </w:r>
      <w:r w:rsidRPr="00022B05">
        <w:rPr>
          <w:bCs/>
          <w:sz w:val="24"/>
          <w:szCs w:val="24"/>
        </w:rPr>
        <w:lastRenderedPageBreak/>
        <w:t xml:space="preserve">simplistic. Indeed, the Kinzler and Grove partial melting model is not designed for very low degrees of mantle melting and is based on batch melting experiments while decompression melting in the mantle is more likely to be open system and fractional </w:t>
      </w:r>
      <w:r w:rsidR="000E5D04" w:rsidRPr="00022B05">
        <w:rPr>
          <w:bCs/>
          <w:sz w:val="24"/>
          <w:szCs w:val="24"/>
        </w:rPr>
        <w:t>[</w:t>
      </w:r>
      <w:r w:rsidRPr="00022B05">
        <w:rPr>
          <w:bCs/>
          <w:i/>
          <w:sz w:val="24"/>
          <w:szCs w:val="24"/>
        </w:rPr>
        <w:t>Johnson and Dick</w:t>
      </w:r>
      <w:r w:rsidRPr="00022B05">
        <w:rPr>
          <w:bCs/>
          <w:sz w:val="24"/>
          <w:szCs w:val="24"/>
        </w:rPr>
        <w:t xml:space="preserve">, 1990; </w:t>
      </w:r>
      <w:r w:rsidRPr="00022B05">
        <w:rPr>
          <w:bCs/>
          <w:i/>
          <w:sz w:val="24"/>
          <w:szCs w:val="24"/>
        </w:rPr>
        <w:t>Aharonov et al.</w:t>
      </w:r>
      <w:r w:rsidRPr="00022B05">
        <w:rPr>
          <w:bCs/>
          <w:sz w:val="24"/>
          <w:szCs w:val="24"/>
        </w:rPr>
        <w:t xml:space="preserve">, 1995; </w:t>
      </w:r>
      <w:r w:rsidRPr="00022B05">
        <w:rPr>
          <w:bCs/>
          <w:i/>
          <w:sz w:val="24"/>
          <w:szCs w:val="24"/>
        </w:rPr>
        <w:t>Ozawa and Shimizu</w:t>
      </w:r>
      <w:r w:rsidRPr="00022B05">
        <w:rPr>
          <w:bCs/>
          <w:sz w:val="24"/>
          <w:szCs w:val="24"/>
        </w:rPr>
        <w:t xml:space="preserve">, 1995; </w:t>
      </w:r>
      <w:r w:rsidRPr="00022B05">
        <w:rPr>
          <w:bCs/>
          <w:i/>
          <w:sz w:val="24"/>
          <w:szCs w:val="24"/>
        </w:rPr>
        <w:t>Shaw</w:t>
      </w:r>
      <w:r w:rsidR="000E5D04" w:rsidRPr="00022B05">
        <w:rPr>
          <w:bCs/>
          <w:sz w:val="24"/>
          <w:szCs w:val="24"/>
        </w:rPr>
        <w:t>, 2000]</w:t>
      </w:r>
      <w:r w:rsidRPr="00022B05">
        <w:rPr>
          <w:bCs/>
          <w:sz w:val="24"/>
          <w:szCs w:val="24"/>
        </w:rPr>
        <w:t xml:space="preserve">. Also, </w:t>
      </w:r>
      <w:r w:rsidR="00765BC5">
        <w:rPr>
          <w:bCs/>
          <w:sz w:val="24"/>
          <w:szCs w:val="24"/>
        </w:rPr>
        <w:t>the</w:t>
      </w:r>
      <w:r w:rsidR="00765BC5" w:rsidRPr="00022B05">
        <w:rPr>
          <w:bCs/>
          <w:sz w:val="24"/>
          <w:szCs w:val="24"/>
        </w:rPr>
        <w:t xml:space="preserve"> </w:t>
      </w:r>
      <w:r w:rsidRPr="00022B05">
        <w:rPr>
          <w:bCs/>
          <w:sz w:val="24"/>
          <w:szCs w:val="24"/>
        </w:rPr>
        <w:t xml:space="preserve">bulk mixing approach of the melts derived from the mantle and pyroxenitic components does not take into account the effect of melt-rock disequilibrium in the melting domain </w:t>
      </w:r>
      <w:r w:rsidR="000E5D04" w:rsidRPr="00022B05">
        <w:rPr>
          <w:bCs/>
          <w:sz w:val="24"/>
          <w:szCs w:val="24"/>
        </w:rPr>
        <w:t>[</w:t>
      </w:r>
      <w:r w:rsidRPr="00022B05">
        <w:rPr>
          <w:bCs/>
          <w:sz w:val="24"/>
          <w:szCs w:val="24"/>
        </w:rPr>
        <w:t xml:space="preserve">e.g. </w:t>
      </w:r>
      <w:r w:rsidRPr="00022B05">
        <w:rPr>
          <w:bCs/>
          <w:i/>
          <w:sz w:val="24"/>
          <w:szCs w:val="24"/>
        </w:rPr>
        <w:t>Aharonov et al.</w:t>
      </w:r>
      <w:r w:rsidRPr="00022B05">
        <w:rPr>
          <w:bCs/>
          <w:sz w:val="24"/>
          <w:szCs w:val="24"/>
        </w:rPr>
        <w:t xml:space="preserve">, 1995; </w:t>
      </w:r>
      <w:r w:rsidRPr="00022B05">
        <w:rPr>
          <w:bCs/>
          <w:i/>
          <w:sz w:val="24"/>
          <w:szCs w:val="24"/>
        </w:rPr>
        <w:t>Ozawa and Shimizu</w:t>
      </w:r>
      <w:r w:rsidRPr="00022B05">
        <w:rPr>
          <w:bCs/>
          <w:sz w:val="24"/>
          <w:szCs w:val="24"/>
        </w:rPr>
        <w:t xml:space="preserve">, 1995; </w:t>
      </w:r>
      <w:r w:rsidRPr="00022B05">
        <w:rPr>
          <w:bCs/>
          <w:i/>
          <w:sz w:val="24"/>
          <w:szCs w:val="24"/>
        </w:rPr>
        <w:t>Shaw</w:t>
      </w:r>
      <w:r w:rsidRPr="00022B05">
        <w:rPr>
          <w:bCs/>
          <w:sz w:val="24"/>
          <w:szCs w:val="24"/>
        </w:rPr>
        <w:t xml:space="preserve">, 2000; </w:t>
      </w:r>
      <w:r w:rsidRPr="00022B05">
        <w:rPr>
          <w:bCs/>
          <w:i/>
          <w:sz w:val="24"/>
          <w:szCs w:val="24"/>
        </w:rPr>
        <w:t>Spiegelman and Kelemen</w:t>
      </w:r>
      <w:r w:rsidRPr="00022B05">
        <w:rPr>
          <w:bCs/>
          <w:sz w:val="24"/>
          <w:szCs w:val="24"/>
        </w:rPr>
        <w:t xml:space="preserve">, 2003; </w:t>
      </w:r>
      <w:r w:rsidRPr="00022B05">
        <w:rPr>
          <w:bCs/>
          <w:i/>
          <w:sz w:val="24"/>
          <w:szCs w:val="24"/>
        </w:rPr>
        <w:t>Liang and Parmenti</w:t>
      </w:r>
      <w:r w:rsidR="000E5D04" w:rsidRPr="00022B05">
        <w:rPr>
          <w:bCs/>
          <w:i/>
          <w:sz w:val="24"/>
          <w:szCs w:val="24"/>
        </w:rPr>
        <w:t>er</w:t>
      </w:r>
      <w:r w:rsidR="000E5D04" w:rsidRPr="00022B05">
        <w:rPr>
          <w:bCs/>
          <w:sz w:val="24"/>
          <w:szCs w:val="24"/>
        </w:rPr>
        <w:t xml:space="preserve">, 2010; </w:t>
      </w:r>
      <w:r w:rsidR="000E5D04" w:rsidRPr="00022B05">
        <w:rPr>
          <w:bCs/>
          <w:i/>
          <w:sz w:val="24"/>
          <w:szCs w:val="24"/>
        </w:rPr>
        <w:t>Brunelli et al.</w:t>
      </w:r>
      <w:r w:rsidR="000E5D04" w:rsidRPr="00022B05">
        <w:rPr>
          <w:bCs/>
          <w:sz w:val="24"/>
          <w:szCs w:val="24"/>
        </w:rPr>
        <w:t>, 2014]</w:t>
      </w:r>
      <w:r w:rsidRPr="00022B05">
        <w:rPr>
          <w:bCs/>
          <w:sz w:val="24"/>
          <w:szCs w:val="24"/>
        </w:rPr>
        <w:t>.</w:t>
      </w:r>
    </w:p>
    <w:p w14:paraId="76043AF5" w14:textId="23F03BBB" w:rsidR="008E3798" w:rsidRPr="00022B05" w:rsidRDefault="008E3798" w:rsidP="008E3798">
      <w:pPr>
        <w:tabs>
          <w:tab w:val="left" w:pos="567"/>
        </w:tabs>
        <w:spacing w:before="120"/>
        <w:jc w:val="both"/>
        <w:rPr>
          <w:sz w:val="24"/>
          <w:szCs w:val="24"/>
          <w:u w:val="single"/>
        </w:rPr>
      </w:pPr>
      <w:r w:rsidRPr="00022B05">
        <w:rPr>
          <w:sz w:val="24"/>
          <w:szCs w:val="24"/>
        </w:rPr>
        <w:tab/>
      </w:r>
      <w:r w:rsidR="00AC6A91">
        <w:rPr>
          <w:sz w:val="24"/>
          <w:szCs w:val="24"/>
        </w:rPr>
        <w:t>A</w:t>
      </w:r>
      <w:r w:rsidRPr="00022B05">
        <w:rPr>
          <w:sz w:val="24"/>
          <w:szCs w:val="24"/>
        </w:rPr>
        <w:t xml:space="preserve"> few basalts, so far sampled only in volcanic seafloor domains, have LREE-depleted signatures (Figure 4), higher MgO and FeO contents, and lower Na</w:t>
      </w:r>
      <w:r w:rsidRPr="00022B05">
        <w:rPr>
          <w:sz w:val="24"/>
          <w:szCs w:val="24"/>
          <w:vertAlign w:val="subscript"/>
        </w:rPr>
        <w:t>2</w:t>
      </w:r>
      <w:r w:rsidRPr="00022B05">
        <w:rPr>
          <w:sz w:val="24"/>
          <w:szCs w:val="24"/>
        </w:rPr>
        <w:t>O, TiO</w:t>
      </w:r>
      <w:r w:rsidRPr="00022B05">
        <w:rPr>
          <w:sz w:val="24"/>
          <w:szCs w:val="24"/>
          <w:vertAlign w:val="subscript"/>
        </w:rPr>
        <w:t>2</w:t>
      </w:r>
      <w:r w:rsidRPr="00022B05">
        <w:rPr>
          <w:sz w:val="24"/>
          <w:szCs w:val="24"/>
        </w:rPr>
        <w:t xml:space="preserve"> and SiO</w:t>
      </w:r>
      <w:r w:rsidRPr="00022B05">
        <w:rPr>
          <w:sz w:val="24"/>
          <w:szCs w:val="24"/>
          <w:vertAlign w:val="subscript"/>
        </w:rPr>
        <w:t>2</w:t>
      </w:r>
      <w:r w:rsidRPr="00022B05">
        <w:rPr>
          <w:sz w:val="24"/>
          <w:szCs w:val="24"/>
        </w:rPr>
        <w:t xml:space="preserve"> contents (grey dots in Figure 3). These basalts, occurring in dredges ED20, ED22 and ED26 (Figure 1), could </w:t>
      </w:r>
      <w:r w:rsidR="000600BD">
        <w:rPr>
          <w:sz w:val="24"/>
          <w:szCs w:val="24"/>
        </w:rPr>
        <w:t>derive from</w:t>
      </w:r>
      <w:r w:rsidRPr="00022B05">
        <w:rPr>
          <w:sz w:val="24"/>
          <w:szCs w:val="24"/>
        </w:rPr>
        <w:t xml:space="preserve"> mantle melts with very little to no mixed pyroxenitic component.</w:t>
      </w:r>
    </w:p>
    <w:p w14:paraId="5B9FEBB2" w14:textId="7D64B761" w:rsidR="005F2154" w:rsidRPr="00022B05" w:rsidRDefault="00EE48F6" w:rsidP="005F2154">
      <w:pPr>
        <w:pStyle w:val="Heading-Secondary"/>
      </w:pPr>
      <w:r>
        <w:t>6</w:t>
      </w:r>
      <w:r w:rsidR="005F2154" w:rsidRPr="00022B05">
        <w:t xml:space="preserve">.6. </w:t>
      </w:r>
      <w:r w:rsidR="00627071">
        <w:t xml:space="preserve">Are the effects of </w:t>
      </w:r>
      <w:r w:rsidR="00627071" w:rsidRPr="00022B05">
        <w:t xml:space="preserve">melt-mantle reactions </w:t>
      </w:r>
      <w:r w:rsidR="00627071">
        <w:t>seen in MORBs from</w:t>
      </w:r>
      <w:r w:rsidR="00627071" w:rsidRPr="00022B05">
        <w:t xml:space="preserve"> more magmatically robust slow-spreading ridges?</w:t>
      </w:r>
    </w:p>
    <w:p w14:paraId="6ED64A97" w14:textId="77777777" w:rsidR="0033385E" w:rsidRDefault="0033385E" w:rsidP="005F2154">
      <w:pPr>
        <w:jc w:val="both"/>
        <w:rPr>
          <w:sz w:val="24"/>
          <w:szCs w:val="24"/>
        </w:rPr>
      </w:pPr>
    </w:p>
    <w:p w14:paraId="281087A9" w14:textId="77777777" w:rsidR="009420A9" w:rsidRDefault="0033385E" w:rsidP="00D67DD3">
      <w:pPr>
        <w:jc w:val="both"/>
        <w:rPr>
          <w:sz w:val="24"/>
        </w:rPr>
      </w:pPr>
      <w:r>
        <w:rPr>
          <w:sz w:val="24"/>
          <w:szCs w:val="24"/>
        </w:rPr>
        <w:tab/>
      </w:r>
      <w:r w:rsidR="00765BC5">
        <w:rPr>
          <w:sz w:val="24"/>
          <w:szCs w:val="24"/>
        </w:rPr>
        <w:t>The</w:t>
      </w:r>
      <w:r w:rsidR="00627071">
        <w:rPr>
          <w:sz w:val="24"/>
          <w:szCs w:val="24"/>
        </w:rPr>
        <w:t xml:space="preserve"> easternmost SWIR</w:t>
      </w:r>
      <w:r w:rsidR="00765BC5">
        <w:rPr>
          <w:sz w:val="24"/>
          <w:szCs w:val="24"/>
        </w:rPr>
        <w:t xml:space="preserve"> </w:t>
      </w:r>
      <w:r>
        <w:rPr>
          <w:sz w:val="24"/>
          <w:szCs w:val="24"/>
        </w:rPr>
        <w:t xml:space="preserve">study area is a low melt supply </w:t>
      </w:r>
      <w:r w:rsidR="00627071">
        <w:rPr>
          <w:sz w:val="24"/>
          <w:szCs w:val="24"/>
        </w:rPr>
        <w:t>end-</w:t>
      </w:r>
      <w:r>
        <w:rPr>
          <w:sz w:val="24"/>
          <w:szCs w:val="24"/>
        </w:rPr>
        <w:t>member for the global MOR system</w:t>
      </w:r>
      <w:r w:rsidR="00627071">
        <w:rPr>
          <w:sz w:val="24"/>
          <w:szCs w:val="24"/>
        </w:rPr>
        <w:t xml:space="preserve"> and the nearly amagmatic spreading corridors there are indeed exceptional settings</w:t>
      </w:r>
      <w:r>
        <w:rPr>
          <w:sz w:val="24"/>
          <w:szCs w:val="24"/>
        </w:rPr>
        <w:t xml:space="preserve">. The more common case is for slow and ultraslow spreading ridges to receive sufficient melt, averaged over the 30 to 100 km length of a ridge segment, to produce a 6 km-thick magmatic crust (see review in </w:t>
      </w:r>
      <w:r w:rsidRPr="00B86EDC">
        <w:rPr>
          <w:i/>
          <w:sz w:val="24"/>
          <w:szCs w:val="24"/>
        </w:rPr>
        <w:t>Carbotte et al.</w:t>
      </w:r>
      <w:r>
        <w:rPr>
          <w:sz w:val="24"/>
          <w:szCs w:val="24"/>
        </w:rPr>
        <w:t xml:space="preserve"> </w:t>
      </w:r>
      <w:r w:rsidR="00B86EDC">
        <w:rPr>
          <w:sz w:val="24"/>
          <w:szCs w:val="24"/>
        </w:rPr>
        <w:t>[</w:t>
      </w:r>
      <w:r>
        <w:rPr>
          <w:sz w:val="24"/>
          <w:szCs w:val="24"/>
        </w:rPr>
        <w:t>2015</w:t>
      </w:r>
      <w:r w:rsidR="00B86EDC">
        <w:rPr>
          <w:sz w:val="24"/>
          <w:szCs w:val="24"/>
        </w:rPr>
        <w:t>]</w:t>
      </w:r>
      <w:r>
        <w:rPr>
          <w:sz w:val="24"/>
          <w:szCs w:val="24"/>
        </w:rPr>
        <w:t>). In this more common slow spreading ridge setting, mantle exhumation and detachment faulting characterize the least magmatically active do</w:t>
      </w:r>
      <w:r w:rsidR="00B86EDC">
        <w:rPr>
          <w:sz w:val="24"/>
          <w:szCs w:val="24"/>
        </w:rPr>
        <w:t>mains [</w:t>
      </w:r>
      <w:r w:rsidRPr="00B86EDC">
        <w:rPr>
          <w:i/>
          <w:sz w:val="24"/>
          <w:szCs w:val="24"/>
        </w:rPr>
        <w:t>Cannat et al.</w:t>
      </w:r>
      <w:r>
        <w:rPr>
          <w:sz w:val="24"/>
          <w:szCs w:val="24"/>
        </w:rPr>
        <w:t xml:space="preserve">, 1995; </w:t>
      </w:r>
      <w:r w:rsidRPr="00B86EDC">
        <w:rPr>
          <w:i/>
          <w:sz w:val="24"/>
          <w:szCs w:val="24"/>
        </w:rPr>
        <w:t>Dick et al.</w:t>
      </w:r>
      <w:r>
        <w:rPr>
          <w:sz w:val="24"/>
          <w:szCs w:val="24"/>
        </w:rPr>
        <w:t xml:space="preserve">, 2008; </w:t>
      </w:r>
      <w:r w:rsidRPr="00B86EDC">
        <w:rPr>
          <w:i/>
          <w:sz w:val="24"/>
          <w:szCs w:val="24"/>
        </w:rPr>
        <w:t>Escartin et al.</w:t>
      </w:r>
      <w:r w:rsidR="00B86EDC">
        <w:rPr>
          <w:sz w:val="24"/>
          <w:szCs w:val="24"/>
        </w:rPr>
        <w:t>, 2008]</w:t>
      </w:r>
      <w:r>
        <w:rPr>
          <w:sz w:val="24"/>
          <w:szCs w:val="24"/>
        </w:rPr>
        <w:t xml:space="preserve">. Microseismicity studies in these detachment-dominated contexts indicates that the brittle part of the axial lithosphere is about 8 km-thick </w:t>
      </w:r>
      <w:r w:rsidRPr="00022B05">
        <w:rPr>
          <w:sz w:val="24"/>
          <w:szCs w:val="24"/>
        </w:rPr>
        <w:t>[</w:t>
      </w:r>
      <w:r w:rsidRPr="00022B05">
        <w:rPr>
          <w:i/>
          <w:sz w:val="24"/>
          <w:szCs w:val="24"/>
        </w:rPr>
        <w:t>Toomey et al.</w:t>
      </w:r>
      <w:r w:rsidRPr="00022B05">
        <w:rPr>
          <w:sz w:val="24"/>
          <w:szCs w:val="24"/>
        </w:rPr>
        <w:t xml:space="preserve">, 1988; </w:t>
      </w:r>
      <w:r w:rsidRPr="00022B05">
        <w:rPr>
          <w:i/>
          <w:sz w:val="24"/>
          <w:szCs w:val="24"/>
        </w:rPr>
        <w:t>Wolfe et al.</w:t>
      </w:r>
      <w:r w:rsidRPr="00022B05">
        <w:rPr>
          <w:sz w:val="24"/>
          <w:szCs w:val="24"/>
        </w:rPr>
        <w:t>, 1995</w:t>
      </w:r>
      <w:r w:rsidR="0071121C">
        <w:rPr>
          <w:sz w:val="24"/>
          <w:szCs w:val="24"/>
        </w:rPr>
        <w:t xml:space="preserve">; </w:t>
      </w:r>
      <w:r w:rsidR="0071121C" w:rsidRPr="0071121C">
        <w:rPr>
          <w:i/>
          <w:sz w:val="24"/>
          <w:szCs w:val="24"/>
        </w:rPr>
        <w:t>de</w:t>
      </w:r>
      <w:r w:rsidRPr="0071121C">
        <w:rPr>
          <w:i/>
          <w:sz w:val="24"/>
          <w:szCs w:val="24"/>
        </w:rPr>
        <w:t>Martin et al.</w:t>
      </w:r>
      <w:r>
        <w:rPr>
          <w:sz w:val="24"/>
          <w:szCs w:val="24"/>
        </w:rPr>
        <w:t>, 200</w:t>
      </w:r>
      <w:r w:rsidR="0071121C">
        <w:rPr>
          <w:sz w:val="24"/>
          <w:szCs w:val="24"/>
        </w:rPr>
        <w:t>7</w:t>
      </w:r>
      <w:r w:rsidRPr="00022B05">
        <w:rPr>
          <w:sz w:val="24"/>
          <w:szCs w:val="24"/>
        </w:rPr>
        <w:t>]</w:t>
      </w:r>
      <w:r>
        <w:rPr>
          <w:sz w:val="24"/>
          <w:szCs w:val="24"/>
        </w:rPr>
        <w:t>. This is less than inferred for the eastern SWIR (Figure 14), but mantle melts still have to travel up through a substantial thickness of lithospheric mantle before they can crystallize in the crust or be erupted as basalts</w:t>
      </w:r>
      <w:r w:rsidR="00627071">
        <w:rPr>
          <w:sz w:val="24"/>
          <w:szCs w:val="24"/>
        </w:rPr>
        <w:t xml:space="preserve"> [</w:t>
      </w:r>
      <w:r w:rsidR="00627071" w:rsidRPr="00D67DD3">
        <w:rPr>
          <w:i/>
          <w:sz w:val="24"/>
          <w:szCs w:val="24"/>
        </w:rPr>
        <w:t>Cannat</w:t>
      </w:r>
      <w:r w:rsidR="00D67DD3" w:rsidRPr="00D67DD3">
        <w:rPr>
          <w:i/>
          <w:sz w:val="24"/>
          <w:szCs w:val="24"/>
        </w:rPr>
        <w:t xml:space="preserve"> et al.</w:t>
      </w:r>
      <w:r w:rsidR="00627071">
        <w:rPr>
          <w:sz w:val="24"/>
          <w:szCs w:val="24"/>
        </w:rPr>
        <w:t>, 1995]</w:t>
      </w:r>
      <w:r>
        <w:rPr>
          <w:sz w:val="24"/>
          <w:szCs w:val="24"/>
        </w:rPr>
        <w:t xml:space="preserve">. Gabbroic </w:t>
      </w:r>
      <w:r w:rsidR="00D67DD3">
        <w:rPr>
          <w:sz w:val="24"/>
          <w:szCs w:val="24"/>
        </w:rPr>
        <w:t xml:space="preserve">impregnations and </w:t>
      </w:r>
      <w:r>
        <w:rPr>
          <w:sz w:val="24"/>
          <w:szCs w:val="24"/>
        </w:rPr>
        <w:t>veins</w:t>
      </w:r>
      <w:r w:rsidR="009478EA">
        <w:rPr>
          <w:sz w:val="24"/>
          <w:szCs w:val="24"/>
        </w:rPr>
        <w:t>,</w:t>
      </w:r>
      <w:r>
        <w:rPr>
          <w:sz w:val="24"/>
          <w:szCs w:val="24"/>
        </w:rPr>
        <w:t xml:space="preserve"> and reacted ultramafic rocks have been sampled at numerous MAR locations and bear witness to melt-mantle reactions </w:t>
      </w:r>
      <w:r w:rsidR="00D67DD3">
        <w:rPr>
          <w:sz w:val="24"/>
          <w:szCs w:val="24"/>
        </w:rPr>
        <w:t>that are comparable to those described in this paper</w:t>
      </w:r>
      <w:r w:rsidR="00832A61">
        <w:rPr>
          <w:sz w:val="24"/>
          <w:szCs w:val="24"/>
        </w:rPr>
        <w:t xml:space="preserve"> [</w:t>
      </w:r>
      <w:r w:rsidRPr="00832A61">
        <w:rPr>
          <w:i/>
          <w:sz w:val="24"/>
          <w:szCs w:val="24"/>
        </w:rPr>
        <w:t>Cannat</w:t>
      </w:r>
      <w:r>
        <w:rPr>
          <w:sz w:val="24"/>
          <w:szCs w:val="24"/>
        </w:rPr>
        <w:t xml:space="preserve">, 1993; </w:t>
      </w:r>
      <w:r w:rsidRPr="00022B05">
        <w:rPr>
          <w:i/>
          <w:sz w:val="24"/>
        </w:rPr>
        <w:t>Cannat and Casey</w:t>
      </w:r>
      <w:r w:rsidRPr="00022B05">
        <w:rPr>
          <w:sz w:val="24"/>
        </w:rPr>
        <w:t xml:space="preserve">, 1995; </w:t>
      </w:r>
      <w:r w:rsidRPr="00022B05">
        <w:rPr>
          <w:i/>
          <w:sz w:val="24"/>
        </w:rPr>
        <w:t>Cannat et al.</w:t>
      </w:r>
      <w:r w:rsidRPr="00022B05">
        <w:rPr>
          <w:sz w:val="24"/>
        </w:rPr>
        <w:t>, 1995, 1997</w:t>
      </w:r>
      <w:r w:rsidR="00963221">
        <w:rPr>
          <w:sz w:val="24"/>
        </w:rPr>
        <w:t>b</w:t>
      </w:r>
      <w:r w:rsidRPr="00022B05">
        <w:rPr>
          <w:sz w:val="24"/>
        </w:rPr>
        <w:t xml:space="preserve">; </w:t>
      </w:r>
      <w:r w:rsidRPr="00022B05">
        <w:rPr>
          <w:i/>
          <w:sz w:val="24"/>
        </w:rPr>
        <w:t>Seyler et al.</w:t>
      </w:r>
      <w:r>
        <w:rPr>
          <w:sz w:val="24"/>
        </w:rPr>
        <w:t xml:space="preserve">, 2007; </w:t>
      </w:r>
      <w:r w:rsidRPr="00832A61">
        <w:rPr>
          <w:i/>
          <w:sz w:val="24"/>
        </w:rPr>
        <w:t>Dick et al.</w:t>
      </w:r>
      <w:r>
        <w:rPr>
          <w:sz w:val="24"/>
        </w:rPr>
        <w:t xml:space="preserve">, 2008; </w:t>
      </w:r>
      <w:r w:rsidRPr="00022B05">
        <w:rPr>
          <w:i/>
          <w:sz w:val="24"/>
        </w:rPr>
        <w:t>Suhr et al.</w:t>
      </w:r>
      <w:r w:rsidRPr="00022B05">
        <w:rPr>
          <w:sz w:val="24"/>
        </w:rPr>
        <w:t xml:space="preserve">, 2008; </w:t>
      </w:r>
      <w:r w:rsidRPr="00022B05">
        <w:rPr>
          <w:i/>
          <w:sz w:val="24"/>
        </w:rPr>
        <w:t>Drouin et al.</w:t>
      </w:r>
      <w:r w:rsidRPr="00022B05">
        <w:rPr>
          <w:sz w:val="24"/>
        </w:rPr>
        <w:t>, 2009</w:t>
      </w:r>
      <w:r w:rsidR="00832A61">
        <w:rPr>
          <w:sz w:val="24"/>
        </w:rPr>
        <w:t>]</w:t>
      </w:r>
      <w:r>
        <w:rPr>
          <w:sz w:val="24"/>
        </w:rPr>
        <w:t>.</w:t>
      </w:r>
    </w:p>
    <w:p w14:paraId="64197F9C" w14:textId="1D3124D4" w:rsidR="00D67DD3" w:rsidRDefault="00D67DD3" w:rsidP="00D67DD3">
      <w:pPr>
        <w:jc w:val="both"/>
        <w:rPr>
          <w:sz w:val="24"/>
          <w:szCs w:val="24"/>
        </w:rPr>
      </w:pPr>
      <w:r>
        <w:rPr>
          <w:sz w:val="24"/>
        </w:rPr>
        <w:t xml:space="preserve"> </w:t>
      </w:r>
      <w:r w:rsidR="009420A9">
        <w:rPr>
          <w:sz w:val="24"/>
        </w:rPr>
        <w:tab/>
      </w:r>
      <w:r>
        <w:rPr>
          <w:sz w:val="24"/>
          <w:szCs w:val="24"/>
        </w:rPr>
        <w:t>Figure 15 shows results of</w:t>
      </w:r>
      <w:r w:rsidRPr="00022B05">
        <w:rPr>
          <w:sz w:val="24"/>
          <w:szCs w:val="24"/>
        </w:rPr>
        <w:t xml:space="preserve"> the same </w:t>
      </w:r>
      <w:r>
        <w:rPr>
          <w:sz w:val="24"/>
          <w:szCs w:val="24"/>
        </w:rPr>
        <w:t>mass balance model</w:t>
      </w:r>
      <w:r w:rsidRPr="00022B05">
        <w:rPr>
          <w:sz w:val="24"/>
          <w:szCs w:val="24"/>
        </w:rPr>
        <w:t xml:space="preserve"> as in Figure 13</w:t>
      </w:r>
      <w:r>
        <w:rPr>
          <w:sz w:val="24"/>
          <w:szCs w:val="24"/>
        </w:rPr>
        <w:t xml:space="preserve">, using a MgO and CaO-rich MAR basalt as </w:t>
      </w:r>
      <w:r w:rsidRPr="00022B05">
        <w:rPr>
          <w:sz w:val="24"/>
          <w:szCs w:val="24"/>
        </w:rPr>
        <w:t>the reacted melt</w:t>
      </w:r>
      <w:r>
        <w:rPr>
          <w:sz w:val="24"/>
          <w:szCs w:val="24"/>
        </w:rPr>
        <w:t>,</w:t>
      </w:r>
      <w:r w:rsidRPr="00022B05">
        <w:rPr>
          <w:sz w:val="24"/>
          <w:szCs w:val="24"/>
        </w:rPr>
        <w:t xml:space="preserve"> </w:t>
      </w:r>
      <w:r>
        <w:rPr>
          <w:sz w:val="24"/>
          <w:szCs w:val="24"/>
        </w:rPr>
        <w:t xml:space="preserve">a moderately depleted </w:t>
      </w:r>
      <w:r w:rsidRPr="00022B05">
        <w:rPr>
          <w:sz w:val="24"/>
          <w:szCs w:val="24"/>
        </w:rPr>
        <w:t xml:space="preserve">spinel lherzolite </w:t>
      </w:r>
      <w:r>
        <w:rPr>
          <w:sz w:val="24"/>
          <w:szCs w:val="24"/>
        </w:rPr>
        <w:t>from south of the Kane Fracture Zone for the reacting mantle, and an olivine-rich troctolite drilled during leg</w:t>
      </w:r>
      <w:r w:rsidRPr="00022B05">
        <w:rPr>
          <w:sz w:val="24"/>
          <w:szCs w:val="24"/>
        </w:rPr>
        <w:t xml:space="preserve"> IODP304/305</w:t>
      </w:r>
      <w:r>
        <w:rPr>
          <w:sz w:val="24"/>
          <w:szCs w:val="24"/>
        </w:rPr>
        <w:t xml:space="preserve"> for the reacted rock</w:t>
      </w:r>
      <w:r w:rsidRPr="00022B05">
        <w:rPr>
          <w:sz w:val="24"/>
          <w:szCs w:val="24"/>
        </w:rPr>
        <w:t>.</w:t>
      </w:r>
      <w:r>
        <w:rPr>
          <w:sz w:val="24"/>
          <w:szCs w:val="24"/>
        </w:rPr>
        <w:t xml:space="preserve"> As calculated for the SWIR case (Figure 13), t</w:t>
      </w:r>
      <w:r w:rsidRPr="00022B05">
        <w:rPr>
          <w:sz w:val="24"/>
          <w:szCs w:val="24"/>
        </w:rPr>
        <w:t>he initial composition predicted for the reacting melt</w:t>
      </w:r>
      <w:r>
        <w:rPr>
          <w:sz w:val="24"/>
          <w:szCs w:val="24"/>
        </w:rPr>
        <w:t>, for no change in the solid mass,</w:t>
      </w:r>
      <w:r w:rsidRPr="00022B05">
        <w:rPr>
          <w:sz w:val="24"/>
          <w:szCs w:val="24"/>
        </w:rPr>
        <w:t xml:space="preserve"> is lower in MgO, and higher in CaO and Al</w:t>
      </w:r>
      <w:r w:rsidRPr="00022B05">
        <w:rPr>
          <w:sz w:val="24"/>
          <w:szCs w:val="24"/>
          <w:vertAlign w:val="subscript"/>
        </w:rPr>
        <w:t>2</w:t>
      </w:r>
      <w:r w:rsidRPr="00022B05">
        <w:rPr>
          <w:sz w:val="24"/>
          <w:szCs w:val="24"/>
        </w:rPr>
        <w:t>O</w:t>
      </w:r>
      <w:r w:rsidRPr="00022B05">
        <w:rPr>
          <w:sz w:val="24"/>
          <w:szCs w:val="24"/>
          <w:vertAlign w:val="subscript"/>
        </w:rPr>
        <w:t>3</w:t>
      </w:r>
      <w:r w:rsidRPr="00022B05">
        <w:rPr>
          <w:sz w:val="24"/>
          <w:szCs w:val="24"/>
        </w:rPr>
        <w:t>, compared to the reacted melt composition</w:t>
      </w:r>
      <w:r>
        <w:rPr>
          <w:sz w:val="24"/>
          <w:szCs w:val="24"/>
        </w:rPr>
        <w:t xml:space="preserve"> and t</w:t>
      </w:r>
      <w:r w:rsidRPr="00022B05">
        <w:rPr>
          <w:sz w:val="24"/>
          <w:szCs w:val="24"/>
        </w:rPr>
        <w:t>he trace element and TiO</w:t>
      </w:r>
      <w:r w:rsidRPr="00022B05">
        <w:rPr>
          <w:sz w:val="24"/>
          <w:szCs w:val="24"/>
          <w:vertAlign w:val="subscript"/>
        </w:rPr>
        <w:t>2</w:t>
      </w:r>
      <w:r w:rsidRPr="00022B05">
        <w:rPr>
          <w:sz w:val="24"/>
          <w:szCs w:val="24"/>
        </w:rPr>
        <w:t xml:space="preserve"> contents of the melt are not modified, regardless of the melt-rock ratio</w:t>
      </w:r>
      <w:r>
        <w:rPr>
          <w:sz w:val="24"/>
          <w:szCs w:val="24"/>
        </w:rPr>
        <w:t xml:space="preserve"> (</w:t>
      </w:r>
      <w:r w:rsidRPr="00022B05">
        <w:rPr>
          <w:sz w:val="24"/>
          <w:szCs w:val="24"/>
        </w:rPr>
        <w:t>Figure 15).</w:t>
      </w:r>
    </w:p>
    <w:p w14:paraId="2380C854" w14:textId="41816126" w:rsidR="00D67DD3" w:rsidRDefault="00D67DD3" w:rsidP="00144CCA">
      <w:pPr>
        <w:jc w:val="both"/>
        <w:rPr>
          <w:sz w:val="24"/>
          <w:szCs w:val="24"/>
        </w:rPr>
      </w:pPr>
      <w:r>
        <w:rPr>
          <w:sz w:val="24"/>
        </w:rPr>
        <w:tab/>
      </w:r>
      <w:r>
        <w:rPr>
          <w:sz w:val="24"/>
          <w:szCs w:val="24"/>
        </w:rPr>
        <w:t xml:space="preserve">If they occur at sufficiently low </w:t>
      </w:r>
      <w:r>
        <w:rPr>
          <w:sz w:val="24"/>
        </w:rPr>
        <w:t>melt-rock ratios in conduits that channel melts through the deep lithosphere, melt-mantle reactions could thus be expected to increase the MgO and to lower the CaO and Al</w:t>
      </w:r>
      <w:r w:rsidRPr="00D67DD3">
        <w:rPr>
          <w:sz w:val="24"/>
          <w:vertAlign w:val="subscript"/>
        </w:rPr>
        <w:t>2</w:t>
      </w:r>
      <w:r>
        <w:rPr>
          <w:sz w:val="24"/>
        </w:rPr>
        <w:t>O</w:t>
      </w:r>
      <w:r w:rsidRPr="00D67DD3">
        <w:rPr>
          <w:sz w:val="24"/>
          <w:vertAlign w:val="subscript"/>
        </w:rPr>
        <w:t>3</w:t>
      </w:r>
      <w:r>
        <w:rPr>
          <w:sz w:val="24"/>
        </w:rPr>
        <w:t xml:space="preserve"> contents of MAR asthenospheric parent melts in much the same way as proposed for the ultramafic seafloor basalts at the easternmost SWIR. If this were the case, some of the highest MgO content MAR basalts (Figure 15) would not in fact be closer to parental melt composition than less MgO-rich basalts collected in the same regions. </w:t>
      </w:r>
      <w:r w:rsidR="009420A9">
        <w:rPr>
          <w:sz w:val="24"/>
          <w:szCs w:val="24"/>
        </w:rPr>
        <w:t>However, t</w:t>
      </w:r>
      <w:r>
        <w:rPr>
          <w:sz w:val="24"/>
          <w:szCs w:val="24"/>
        </w:rPr>
        <w:t>here are at least two reasons why this effect should be subdued. One reason is that the ratio of erupted melt to reacted mantle (i</w:t>
      </w:r>
      <w:r w:rsidR="009420A9">
        <w:rPr>
          <w:sz w:val="24"/>
          <w:szCs w:val="24"/>
        </w:rPr>
        <w:t>.</w:t>
      </w:r>
      <w:r>
        <w:rPr>
          <w:sz w:val="24"/>
          <w:szCs w:val="24"/>
        </w:rPr>
        <w:t>e</w:t>
      </w:r>
      <w:r w:rsidR="009420A9">
        <w:rPr>
          <w:sz w:val="24"/>
          <w:szCs w:val="24"/>
        </w:rPr>
        <w:t>.</w:t>
      </w:r>
      <w:r>
        <w:rPr>
          <w:sz w:val="24"/>
          <w:szCs w:val="24"/>
        </w:rPr>
        <w:t xml:space="preserve"> the melt-rock ratio as defined in our mass balance model) would be much </w:t>
      </w:r>
      <w:r>
        <w:rPr>
          <w:sz w:val="24"/>
          <w:szCs w:val="24"/>
        </w:rPr>
        <w:lastRenderedPageBreak/>
        <w:t xml:space="preserve">higher even in detachment-dominated portions of the MAR that at the nearly amagmatic corridors of the eastern SWIR [although probably lower than at the eastern SWIR volcanic centers where the magmatic crust may be up to 8 km-thick; </w:t>
      </w:r>
      <w:r w:rsidRPr="009420A9">
        <w:rPr>
          <w:i/>
          <w:sz w:val="24"/>
          <w:szCs w:val="24"/>
        </w:rPr>
        <w:t>Muller et al.</w:t>
      </w:r>
      <w:r>
        <w:rPr>
          <w:sz w:val="24"/>
          <w:szCs w:val="24"/>
        </w:rPr>
        <w:t xml:space="preserve">, 1999; </w:t>
      </w:r>
      <w:r w:rsidRPr="009420A9">
        <w:rPr>
          <w:i/>
          <w:sz w:val="24"/>
          <w:szCs w:val="24"/>
        </w:rPr>
        <w:t>Cannat et al.</w:t>
      </w:r>
      <w:r>
        <w:rPr>
          <w:sz w:val="24"/>
          <w:szCs w:val="24"/>
        </w:rPr>
        <w:t xml:space="preserve">, 2006]. The other reason is that in this higher melt supply context melts are more likely to undergo significant fractionation and melt-mush interactions that would overprint the earlier chemical effects of melt-mantle interactions. In the following paragraph and in Figure 15, we use the </w:t>
      </w:r>
      <w:r w:rsidRPr="00DD1FA3">
        <w:rPr>
          <w:sz w:val="24"/>
          <w:szCs w:val="24"/>
        </w:rPr>
        <w:t>PetDB</w:t>
      </w:r>
      <w:r>
        <w:rPr>
          <w:sz w:val="24"/>
          <w:szCs w:val="24"/>
        </w:rPr>
        <w:t xml:space="preserve"> compilation of MAR basalts to look for a possible major element signature of melt-mantle reactions.</w:t>
      </w:r>
    </w:p>
    <w:p w14:paraId="0424DF99" w14:textId="07E9D99D" w:rsidR="00D67DD3" w:rsidRDefault="00D67DD3" w:rsidP="00144CCA">
      <w:pPr>
        <w:jc w:val="both"/>
        <w:rPr>
          <w:sz w:val="24"/>
        </w:rPr>
      </w:pPr>
      <w:r>
        <w:rPr>
          <w:sz w:val="24"/>
          <w:szCs w:val="24"/>
        </w:rPr>
        <w:tab/>
        <w:t xml:space="preserve">Figure 15 shows the </w:t>
      </w:r>
      <w:r w:rsidRPr="00DD1FA3">
        <w:rPr>
          <w:sz w:val="24"/>
          <w:szCs w:val="24"/>
        </w:rPr>
        <w:t>PetDB</w:t>
      </w:r>
      <w:r>
        <w:rPr>
          <w:sz w:val="24"/>
          <w:szCs w:val="24"/>
        </w:rPr>
        <w:t xml:space="preserve"> compilation of MAR basalts and identifies those that have non Eu-depleted REE patterns and have therefore crystallized only minor amounts of plagioclase prior to being erupted. Most of these l</w:t>
      </w:r>
      <w:r w:rsidR="00585F22">
        <w:rPr>
          <w:sz w:val="24"/>
          <w:szCs w:val="24"/>
        </w:rPr>
        <w:t>east fractionated basalts have 8</w:t>
      </w:r>
      <w:r>
        <w:rPr>
          <w:sz w:val="24"/>
          <w:szCs w:val="24"/>
        </w:rPr>
        <w:t xml:space="preserve">.5% </w:t>
      </w:r>
      <w:r w:rsidR="00585F22">
        <w:rPr>
          <w:sz w:val="24"/>
          <w:szCs w:val="24"/>
        </w:rPr>
        <w:t>&lt; MgO &lt; 9</w:t>
      </w:r>
      <w:r>
        <w:rPr>
          <w:sz w:val="24"/>
          <w:szCs w:val="24"/>
        </w:rPr>
        <w:t>.5%, with a spread in MgO, CaO and Al</w:t>
      </w:r>
      <w:r w:rsidRPr="006D728A">
        <w:rPr>
          <w:sz w:val="24"/>
          <w:szCs w:val="24"/>
          <w:vertAlign w:val="subscript"/>
        </w:rPr>
        <w:t>2</w:t>
      </w:r>
      <w:r>
        <w:rPr>
          <w:sz w:val="24"/>
          <w:szCs w:val="24"/>
        </w:rPr>
        <w:t>O</w:t>
      </w:r>
      <w:r w:rsidRPr="006D728A">
        <w:rPr>
          <w:sz w:val="24"/>
          <w:szCs w:val="24"/>
          <w:vertAlign w:val="subscript"/>
        </w:rPr>
        <w:t>3</w:t>
      </w:r>
      <w:r>
        <w:rPr>
          <w:sz w:val="24"/>
          <w:szCs w:val="24"/>
        </w:rPr>
        <w:t xml:space="preserve"> that could be in</w:t>
      </w:r>
      <w:r w:rsidR="00585F22">
        <w:rPr>
          <w:sz w:val="24"/>
          <w:szCs w:val="24"/>
        </w:rPr>
        <w:t>terpreted in three ways</w:t>
      </w:r>
      <w:r>
        <w:rPr>
          <w:sz w:val="24"/>
          <w:szCs w:val="24"/>
        </w:rPr>
        <w:t xml:space="preserve">: as a result of regional variations in the degree of mantle melting; as due to variations in the degree of early olivine and plagioclase fractionation; or as due to variations in the contribution of melt-mantle reactions in the axial lithosphere. Refining the interpretation requires the study of more local datasets, allowing for intersegment and intra-segment variations to be identified. Numerous studies have performed this more local approach of MAR basalts and identified intra-segment </w:t>
      </w:r>
      <w:r w:rsidRPr="00D37BE9">
        <w:rPr>
          <w:sz w:val="24"/>
          <w:szCs w:val="24"/>
        </w:rPr>
        <w:t>calcium and calcium/aluminum versus magnesium trends</w:t>
      </w:r>
      <w:r>
        <w:rPr>
          <w:sz w:val="24"/>
          <w:szCs w:val="24"/>
        </w:rPr>
        <w:t xml:space="preserve"> </w:t>
      </w:r>
      <w:r w:rsidRPr="00B94FBA">
        <w:rPr>
          <w:sz w:val="24"/>
          <w:szCs w:val="24"/>
        </w:rPr>
        <w:t>[</w:t>
      </w:r>
      <w:r w:rsidRPr="00B94FBA">
        <w:rPr>
          <w:i/>
          <w:iCs/>
          <w:color w:val="1D2325"/>
          <w:sz w:val="24"/>
          <w:szCs w:val="24"/>
        </w:rPr>
        <w:t>Tormey et al.</w:t>
      </w:r>
      <w:r w:rsidRPr="00B94FBA">
        <w:rPr>
          <w:color w:val="1D2325"/>
          <w:sz w:val="24"/>
          <w:szCs w:val="24"/>
        </w:rPr>
        <w:t xml:space="preserve">, 1987; </w:t>
      </w:r>
      <w:r w:rsidRPr="00B94FBA">
        <w:rPr>
          <w:i/>
          <w:sz w:val="24"/>
          <w:szCs w:val="24"/>
        </w:rPr>
        <w:t>Grove et al.</w:t>
      </w:r>
      <w:r w:rsidRPr="00B94FBA">
        <w:rPr>
          <w:sz w:val="24"/>
          <w:szCs w:val="24"/>
        </w:rPr>
        <w:t xml:space="preserve">, 1993; </w:t>
      </w:r>
      <w:r w:rsidRPr="00B94FBA">
        <w:rPr>
          <w:i/>
          <w:sz w:val="24"/>
          <w:szCs w:val="24"/>
        </w:rPr>
        <w:t>Michael and Cornell</w:t>
      </w:r>
      <w:r w:rsidRPr="00B94FBA">
        <w:rPr>
          <w:sz w:val="24"/>
          <w:szCs w:val="24"/>
        </w:rPr>
        <w:t xml:space="preserve">, 1998; </w:t>
      </w:r>
      <w:r>
        <w:rPr>
          <w:sz w:val="24"/>
          <w:szCs w:val="24"/>
        </w:rPr>
        <w:t>Escartin et al., 2008</w:t>
      </w:r>
      <w:r w:rsidRPr="00B94FBA">
        <w:rPr>
          <w:sz w:val="24"/>
          <w:szCs w:val="24"/>
        </w:rPr>
        <w:t>]</w:t>
      </w:r>
      <w:r>
        <w:rPr>
          <w:sz w:val="24"/>
          <w:szCs w:val="24"/>
        </w:rPr>
        <w:t xml:space="preserve"> that run at right angle to the CaO vs. MgO </w:t>
      </w:r>
      <w:r w:rsidRPr="00022B05">
        <w:rPr>
          <w:sz w:val="24"/>
          <w:szCs w:val="24"/>
        </w:rPr>
        <w:t xml:space="preserve">trend </w:t>
      </w:r>
      <w:r>
        <w:rPr>
          <w:sz w:val="24"/>
          <w:szCs w:val="24"/>
        </w:rPr>
        <w:t xml:space="preserve">predicted for </w:t>
      </w:r>
      <w:r w:rsidRPr="00022B05">
        <w:rPr>
          <w:sz w:val="24"/>
          <w:szCs w:val="24"/>
        </w:rPr>
        <w:t xml:space="preserve">melt-mantle reaction </w:t>
      </w:r>
      <w:r>
        <w:rPr>
          <w:sz w:val="24"/>
          <w:szCs w:val="24"/>
        </w:rPr>
        <w:t>(Figure 15).</w:t>
      </w:r>
      <w:r w:rsidRPr="00D37BE9">
        <w:rPr>
          <w:sz w:val="24"/>
          <w:szCs w:val="24"/>
        </w:rPr>
        <w:t xml:space="preserve"> </w:t>
      </w:r>
      <w:r>
        <w:rPr>
          <w:sz w:val="24"/>
          <w:szCs w:val="24"/>
        </w:rPr>
        <w:t>These local trends have been proposed to characterize detachment-dominated ridge segments [</w:t>
      </w:r>
      <w:r w:rsidRPr="006D728A">
        <w:rPr>
          <w:i/>
          <w:sz w:val="24"/>
          <w:szCs w:val="24"/>
        </w:rPr>
        <w:t>Escartin et al.</w:t>
      </w:r>
      <w:r>
        <w:rPr>
          <w:sz w:val="24"/>
          <w:szCs w:val="24"/>
        </w:rPr>
        <w:t xml:space="preserve">, 2008]. They are best interpreted as due to </w:t>
      </w:r>
      <w:r w:rsidRPr="00D378F0">
        <w:rPr>
          <w:sz w:val="24"/>
          <w:szCs w:val="24"/>
        </w:rPr>
        <w:t>s</w:t>
      </w:r>
      <w:r w:rsidRPr="00D37BE9">
        <w:rPr>
          <w:sz w:val="24"/>
          <w:szCs w:val="24"/>
        </w:rPr>
        <w:t>ignificant pre-eruption crystallization of clinopyroxene</w:t>
      </w:r>
      <w:r>
        <w:rPr>
          <w:sz w:val="24"/>
          <w:szCs w:val="24"/>
        </w:rPr>
        <w:t xml:space="preserve">, which could result </w:t>
      </w:r>
      <w:r w:rsidRPr="00D37BE9">
        <w:rPr>
          <w:sz w:val="24"/>
          <w:szCs w:val="24"/>
        </w:rPr>
        <w:t>from a deeper onset of fractional crystallization</w:t>
      </w:r>
      <w:r w:rsidRPr="00F3064F">
        <w:rPr>
          <w:sz w:val="24"/>
          <w:szCs w:val="24"/>
        </w:rPr>
        <w:t xml:space="preserve"> </w:t>
      </w:r>
      <w:r w:rsidRPr="00D37BE9">
        <w:rPr>
          <w:sz w:val="24"/>
          <w:szCs w:val="24"/>
        </w:rPr>
        <w:t xml:space="preserve">[e.g. </w:t>
      </w:r>
      <w:r w:rsidRPr="00D37BE9">
        <w:rPr>
          <w:i/>
          <w:sz w:val="24"/>
          <w:szCs w:val="24"/>
        </w:rPr>
        <w:t>Michael and Cornell</w:t>
      </w:r>
      <w:r w:rsidRPr="00D37BE9">
        <w:rPr>
          <w:sz w:val="24"/>
          <w:szCs w:val="24"/>
        </w:rPr>
        <w:t xml:space="preserve">, 1998; </w:t>
      </w:r>
      <w:r w:rsidRPr="00D37BE9">
        <w:rPr>
          <w:i/>
          <w:sz w:val="24"/>
          <w:szCs w:val="24"/>
        </w:rPr>
        <w:t>Herzberg</w:t>
      </w:r>
      <w:r w:rsidRPr="00D37BE9">
        <w:rPr>
          <w:sz w:val="24"/>
          <w:szCs w:val="24"/>
        </w:rPr>
        <w:t>, 2004]</w:t>
      </w:r>
      <w:r>
        <w:rPr>
          <w:sz w:val="24"/>
          <w:szCs w:val="24"/>
        </w:rPr>
        <w:t>, or from extensive</w:t>
      </w:r>
      <w:r w:rsidRPr="00D37BE9">
        <w:rPr>
          <w:sz w:val="24"/>
          <w:szCs w:val="24"/>
        </w:rPr>
        <w:t xml:space="preserve"> interactions between MORB-type melts and olivine gabbros in the lower</w:t>
      </w:r>
      <w:r>
        <w:rPr>
          <w:sz w:val="24"/>
          <w:szCs w:val="24"/>
        </w:rPr>
        <w:t>, mushy</w:t>
      </w:r>
      <w:r w:rsidRPr="00D37BE9">
        <w:rPr>
          <w:sz w:val="24"/>
          <w:szCs w:val="24"/>
        </w:rPr>
        <w:t xml:space="preserve"> magmatic crust, at moderate pressure [</w:t>
      </w:r>
      <w:r w:rsidRPr="00D37BE9">
        <w:rPr>
          <w:i/>
          <w:sz w:val="24"/>
          <w:szCs w:val="24"/>
        </w:rPr>
        <w:t>Lissenberg and Dick</w:t>
      </w:r>
      <w:r w:rsidRPr="00D37BE9">
        <w:rPr>
          <w:sz w:val="24"/>
          <w:szCs w:val="24"/>
        </w:rPr>
        <w:t>, 2008].</w:t>
      </w:r>
      <w:r>
        <w:rPr>
          <w:sz w:val="24"/>
          <w:szCs w:val="24"/>
        </w:rPr>
        <w:t xml:space="preserve"> These trends are not found at the eastern SWIR, because basalts there are substantially lower in MgO and CaO, preventing the early crystallization of clinopyroxene, even at relatively high pressure (Figure 13). Whatever their cause (deep fractional crystallization or more shallow melt-gabbro mush reactions), these early clinopyroxene crystallization local trends obscure any effect melt-mantle reactions of the type documented in this paper could have had on the Mg, Ca and Al content of primitive MORBs. Although this would deserve further examination, we therefore conclude that while such melt-mantle reactions are known to occur at the MAR </w:t>
      </w:r>
      <w:r w:rsidR="006D728A">
        <w:rPr>
          <w:sz w:val="24"/>
          <w:szCs w:val="24"/>
        </w:rPr>
        <w:t>[</w:t>
      </w:r>
      <w:r w:rsidR="006D728A" w:rsidRPr="00022B05">
        <w:rPr>
          <w:i/>
          <w:sz w:val="24"/>
          <w:szCs w:val="24"/>
        </w:rPr>
        <w:t>Godard et al.</w:t>
      </w:r>
      <w:r w:rsidR="006D728A" w:rsidRPr="00022B05">
        <w:rPr>
          <w:sz w:val="24"/>
          <w:szCs w:val="24"/>
        </w:rPr>
        <w:t xml:space="preserve">, 2009; </w:t>
      </w:r>
      <w:r w:rsidR="006D728A" w:rsidRPr="00022B05">
        <w:rPr>
          <w:i/>
          <w:sz w:val="24"/>
          <w:szCs w:val="24"/>
        </w:rPr>
        <w:t>Drouin et al.</w:t>
      </w:r>
      <w:r w:rsidR="006D728A" w:rsidRPr="00022B05">
        <w:rPr>
          <w:sz w:val="24"/>
          <w:szCs w:val="24"/>
        </w:rPr>
        <w:t xml:space="preserve">, 2009; </w:t>
      </w:r>
      <w:r w:rsidR="006D728A" w:rsidRPr="00022B05">
        <w:rPr>
          <w:i/>
          <w:sz w:val="24"/>
          <w:szCs w:val="24"/>
        </w:rPr>
        <w:t>Renna and Tribuzio</w:t>
      </w:r>
      <w:r w:rsidR="006D728A" w:rsidRPr="00022B05">
        <w:rPr>
          <w:sz w:val="24"/>
          <w:szCs w:val="24"/>
        </w:rPr>
        <w:t xml:space="preserve">, 2011; </w:t>
      </w:r>
      <w:r w:rsidR="006D728A" w:rsidRPr="00022B05">
        <w:rPr>
          <w:i/>
          <w:sz w:val="24"/>
          <w:szCs w:val="24"/>
        </w:rPr>
        <w:t>Sanfilip</w:t>
      </w:r>
      <w:r w:rsidR="006D728A">
        <w:rPr>
          <w:i/>
          <w:sz w:val="24"/>
          <w:szCs w:val="24"/>
        </w:rPr>
        <w:t>p</w:t>
      </w:r>
      <w:r w:rsidR="006D728A" w:rsidRPr="00022B05">
        <w:rPr>
          <w:i/>
          <w:sz w:val="24"/>
          <w:szCs w:val="24"/>
        </w:rPr>
        <w:t>o et al.</w:t>
      </w:r>
      <w:r w:rsidR="006D728A" w:rsidRPr="00022B05">
        <w:rPr>
          <w:sz w:val="24"/>
          <w:szCs w:val="24"/>
        </w:rPr>
        <w:t>, 2014</w:t>
      </w:r>
      <w:r w:rsidR="006D728A">
        <w:rPr>
          <w:sz w:val="24"/>
          <w:szCs w:val="24"/>
        </w:rPr>
        <w:t>]</w:t>
      </w:r>
      <w:r>
        <w:rPr>
          <w:sz w:val="24"/>
          <w:szCs w:val="24"/>
        </w:rPr>
        <w:t>, their effect does not appear prominent on primitive MAR basalt compositions</w:t>
      </w:r>
      <w:r w:rsidR="002F3A3A">
        <w:rPr>
          <w:sz w:val="24"/>
          <w:szCs w:val="24"/>
        </w:rPr>
        <w:t>.</w:t>
      </w:r>
    </w:p>
    <w:p w14:paraId="5618E658" w14:textId="77777777" w:rsidR="00144CCA" w:rsidRDefault="00144CCA" w:rsidP="005F2154">
      <w:pPr>
        <w:jc w:val="both"/>
        <w:rPr>
          <w:sz w:val="24"/>
        </w:rPr>
      </w:pPr>
    </w:p>
    <w:p w14:paraId="30757327" w14:textId="081CCAC7" w:rsidR="00FA060C" w:rsidRDefault="001B0A23" w:rsidP="005F2154">
      <w:pPr>
        <w:jc w:val="both"/>
        <w:rPr>
          <w:sz w:val="24"/>
          <w:szCs w:val="24"/>
        </w:rPr>
      </w:pPr>
      <w:r>
        <w:rPr>
          <w:noProof/>
          <w:sz w:val="24"/>
          <w:szCs w:val="24"/>
          <w:lang w:val="en-GB" w:eastAsia="en-GB"/>
        </w:rPr>
        <w:lastRenderedPageBreak/>
        <w:drawing>
          <wp:inline distT="0" distB="0" distL="0" distR="0" wp14:anchorId="59629E19" wp14:editId="5AD7676F">
            <wp:extent cx="5935345" cy="6409055"/>
            <wp:effectExtent l="0" t="0" r="8255" b="0"/>
            <wp:docPr id="8" name="Image 8" descr="Sans titre:Users:MarinePaquet:Documents:PhD:Sujet Basaltes - Stage M2:Papiers:Majeurs &amp; Traces:Figures:Majeurs_MeltRockRatio_fig15_finalb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Users:MarinePaquet:Documents:PhD:Sujet Basaltes - Stage M2:Papiers:Majeurs &amp; Traces:Figures:Majeurs_MeltRockRatio_fig15_finalbis.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5345" cy="6409055"/>
                    </a:xfrm>
                    <a:prstGeom prst="rect">
                      <a:avLst/>
                    </a:prstGeom>
                    <a:noFill/>
                    <a:ln>
                      <a:noFill/>
                    </a:ln>
                  </pic:spPr>
                </pic:pic>
              </a:graphicData>
            </a:graphic>
          </wp:inline>
        </w:drawing>
      </w:r>
    </w:p>
    <w:p w14:paraId="260522D8" w14:textId="4DE77838" w:rsidR="00F37CCA" w:rsidRPr="00022B05" w:rsidRDefault="00DD1FA3" w:rsidP="00F37CCA">
      <w:pPr>
        <w:tabs>
          <w:tab w:val="left" w:pos="912"/>
        </w:tabs>
        <w:spacing w:after="120"/>
        <w:jc w:val="both"/>
        <w:rPr>
          <w:sz w:val="24"/>
          <w:szCs w:val="24"/>
        </w:rPr>
      </w:pPr>
      <w:proofErr w:type="gramStart"/>
      <w:r w:rsidRPr="00AC4D88">
        <w:rPr>
          <w:b/>
          <w:sz w:val="24"/>
        </w:rPr>
        <w:t xml:space="preserve">Figure </w:t>
      </w:r>
      <w:r>
        <w:rPr>
          <w:b/>
          <w:sz w:val="24"/>
        </w:rPr>
        <w:t>15</w:t>
      </w:r>
      <w:r w:rsidRPr="00DD1FA3">
        <w:rPr>
          <w:sz w:val="24"/>
          <w:szCs w:val="24"/>
        </w:rPr>
        <w:t>.</w:t>
      </w:r>
      <w:proofErr w:type="gramEnd"/>
      <w:r w:rsidRPr="00DD1FA3">
        <w:rPr>
          <w:sz w:val="24"/>
          <w:szCs w:val="24"/>
        </w:rPr>
        <w:t xml:space="preserve"> Mass balance model of the possible effect of melt-rock interactions in the mantle lithosphere on the major element composition of basalts in the Mid-Altantic Ridge. In this model, we use the modal abundances and major element composition of the mineral phases in the inferred products of melt-rock interaction (troctolite sample </w:t>
      </w:r>
      <w:r w:rsidR="00B20D71" w:rsidRPr="00022B05">
        <w:rPr>
          <w:sz w:val="24"/>
          <w:szCs w:val="24"/>
        </w:rPr>
        <w:t>IODP304/305-U1309D-63R2-28-30</w:t>
      </w:r>
      <w:r w:rsidRPr="00DD1FA3">
        <w:rPr>
          <w:sz w:val="24"/>
          <w:szCs w:val="24"/>
        </w:rPr>
        <w:t xml:space="preserve">, </w:t>
      </w:r>
      <w:r w:rsidRPr="00DD1FA3">
        <w:rPr>
          <w:i/>
          <w:sz w:val="24"/>
          <w:szCs w:val="24"/>
        </w:rPr>
        <w:t>Drouin et al.</w:t>
      </w:r>
      <w:r w:rsidRPr="00DD1FA3">
        <w:rPr>
          <w:sz w:val="24"/>
          <w:szCs w:val="24"/>
        </w:rPr>
        <w:t xml:space="preserve"> </w:t>
      </w:r>
      <w:r>
        <w:rPr>
          <w:sz w:val="24"/>
          <w:szCs w:val="24"/>
        </w:rPr>
        <w:t>[</w:t>
      </w:r>
      <w:r w:rsidRPr="00DD1FA3">
        <w:rPr>
          <w:sz w:val="24"/>
          <w:szCs w:val="24"/>
        </w:rPr>
        <w:t>2009</w:t>
      </w:r>
      <w:r>
        <w:rPr>
          <w:sz w:val="24"/>
          <w:szCs w:val="24"/>
        </w:rPr>
        <w:t>]</w:t>
      </w:r>
      <w:r w:rsidRPr="00DD1FA3">
        <w:rPr>
          <w:sz w:val="24"/>
          <w:szCs w:val="24"/>
        </w:rPr>
        <w:t>; and MAR basalt sample AII0127-1-008</w:t>
      </w:r>
      <w:r w:rsidR="00BB4D3E">
        <w:rPr>
          <w:sz w:val="24"/>
          <w:szCs w:val="24"/>
        </w:rPr>
        <w:t xml:space="preserve"> (white diamond)</w:t>
      </w:r>
      <w:r w:rsidRPr="00DD1FA3">
        <w:rPr>
          <w:sz w:val="24"/>
          <w:szCs w:val="24"/>
        </w:rPr>
        <w:t xml:space="preserve">, </w:t>
      </w:r>
      <w:r w:rsidRPr="00DD1FA3">
        <w:rPr>
          <w:i/>
          <w:sz w:val="24"/>
          <w:szCs w:val="24"/>
        </w:rPr>
        <w:t>Gale et al.</w:t>
      </w:r>
      <w:r w:rsidRPr="00DD1FA3">
        <w:rPr>
          <w:sz w:val="24"/>
          <w:szCs w:val="24"/>
        </w:rPr>
        <w:t xml:space="preserve"> </w:t>
      </w:r>
      <w:r>
        <w:rPr>
          <w:sz w:val="24"/>
          <w:szCs w:val="24"/>
        </w:rPr>
        <w:t>[</w:t>
      </w:r>
      <w:r w:rsidRPr="00DD1FA3">
        <w:rPr>
          <w:sz w:val="24"/>
          <w:szCs w:val="24"/>
        </w:rPr>
        <w:t>2013</w:t>
      </w:r>
      <w:r>
        <w:rPr>
          <w:sz w:val="24"/>
          <w:szCs w:val="24"/>
        </w:rPr>
        <w:t>]</w:t>
      </w:r>
      <w:r w:rsidRPr="00DD1FA3">
        <w:rPr>
          <w:sz w:val="24"/>
          <w:szCs w:val="24"/>
        </w:rPr>
        <w:t xml:space="preserve">), and in plagioclase-free residual lherzolite (inferred solid prior to reaction: sample </w:t>
      </w:r>
      <w:r w:rsidR="00C047CC" w:rsidRPr="00022B05">
        <w:rPr>
          <w:sz w:val="24"/>
          <w:szCs w:val="24"/>
        </w:rPr>
        <w:t>SDM-</w:t>
      </w:r>
      <w:r w:rsidRPr="00DD1FA3">
        <w:rPr>
          <w:sz w:val="24"/>
          <w:szCs w:val="24"/>
        </w:rPr>
        <w:t xml:space="preserve">D2-2-2, </w:t>
      </w:r>
      <w:r w:rsidRPr="00DD1FA3">
        <w:rPr>
          <w:i/>
          <w:sz w:val="24"/>
          <w:szCs w:val="24"/>
        </w:rPr>
        <w:t>Ghose et al</w:t>
      </w:r>
      <w:r>
        <w:rPr>
          <w:i/>
          <w:sz w:val="24"/>
          <w:szCs w:val="24"/>
        </w:rPr>
        <w:t>.</w:t>
      </w:r>
      <w:r w:rsidRPr="00DD1FA3">
        <w:rPr>
          <w:sz w:val="24"/>
          <w:szCs w:val="24"/>
        </w:rPr>
        <w:t xml:space="preserve"> </w:t>
      </w:r>
      <w:r>
        <w:rPr>
          <w:sz w:val="24"/>
          <w:szCs w:val="24"/>
        </w:rPr>
        <w:t>[</w:t>
      </w:r>
      <w:r w:rsidRPr="00DD1FA3">
        <w:rPr>
          <w:sz w:val="24"/>
          <w:szCs w:val="24"/>
        </w:rPr>
        <w:t>1996</w:t>
      </w:r>
      <w:r>
        <w:rPr>
          <w:sz w:val="24"/>
          <w:szCs w:val="24"/>
        </w:rPr>
        <w:t>]</w:t>
      </w:r>
      <w:r w:rsidRPr="00DD1FA3">
        <w:rPr>
          <w:sz w:val="24"/>
          <w:szCs w:val="24"/>
        </w:rPr>
        <w:t>), to reconstruct the initial composition of the reacting melt (</w:t>
      </w:r>
      <w:r w:rsidR="009268CA">
        <w:rPr>
          <w:sz w:val="24"/>
          <w:szCs w:val="24"/>
        </w:rPr>
        <w:t xml:space="preserve">black </w:t>
      </w:r>
      <w:r w:rsidRPr="00DD1FA3">
        <w:rPr>
          <w:sz w:val="24"/>
          <w:szCs w:val="24"/>
        </w:rPr>
        <w:t>diamonds</w:t>
      </w:r>
      <w:r w:rsidR="009268CA">
        <w:rPr>
          <w:sz w:val="24"/>
          <w:szCs w:val="24"/>
        </w:rPr>
        <w:t>: no change in solid mass</w:t>
      </w:r>
      <w:r w:rsidRPr="00DD1FA3">
        <w:rPr>
          <w:sz w:val="24"/>
          <w:szCs w:val="24"/>
        </w:rPr>
        <w:t xml:space="preserve">) for a range of melt-rock ratios (see text). </w:t>
      </w:r>
      <w:proofErr w:type="gramStart"/>
      <w:r w:rsidRPr="00DD1FA3">
        <w:rPr>
          <w:sz w:val="24"/>
          <w:szCs w:val="24"/>
        </w:rPr>
        <w:t>SiO</w:t>
      </w:r>
      <w:r w:rsidRPr="00DD1FA3">
        <w:rPr>
          <w:sz w:val="24"/>
          <w:szCs w:val="24"/>
          <w:vertAlign w:val="subscript"/>
        </w:rPr>
        <w:t>2</w:t>
      </w:r>
      <w:r w:rsidRPr="00DD1FA3">
        <w:rPr>
          <w:sz w:val="24"/>
          <w:szCs w:val="24"/>
        </w:rPr>
        <w:t xml:space="preserve"> </w:t>
      </w:r>
      <w:r w:rsidRPr="00DD1FA3">
        <w:rPr>
          <w:b/>
          <w:sz w:val="24"/>
          <w:szCs w:val="24"/>
        </w:rPr>
        <w:t>(a)</w:t>
      </w:r>
      <w:r w:rsidRPr="00DD1FA3">
        <w:rPr>
          <w:sz w:val="24"/>
          <w:szCs w:val="24"/>
        </w:rPr>
        <w:t>, TiO</w:t>
      </w:r>
      <w:r w:rsidRPr="00DD1FA3">
        <w:rPr>
          <w:sz w:val="24"/>
          <w:szCs w:val="24"/>
          <w:vertAlign w:val="subscript"/>
        </w:rPr>
        <w:t>2</w:t>
      </w:r>
      <w:r w:rsidRPr="00DD1FA3">
        <w:rPr>
          <w:sz w:val="24"/>
          <w:szCs w:val="24"/>
        </w:rPr>
        <w:t xml:space="preserve"> </w:t>
      </w:r>
      <w:r w:rsidRPr="00DD1FA3">
        <w:rPr>
          <w:b/>
          <w:sz w:val="24"/>
          <w:szCs w:val="24"/>
        </w:rPr>
        <w:t>(b)</w:t>
      </w:r>
      <w:r w:rsidRPr="00DD1FA3">
        <w:rPr>
          <w:sz w:val="24"/>
          <w:szCs w:val="24"/>
        </w:rPr>
        <w:t>, Na</w:t>
      </w:r>
      <w:r w:rsidRPr="00DD1FA3">
        <w:rPr>
          <w:sz w:val="24"/>
          <w:szCs w:val="24"/>
          <w:vertAlign w:val="subscript"/>
        </w:rPr>
        <w:t>2</w:t>
      </w:r>
      <w:r w:rsidRPr="00DD1FA3">
        <w:rPr>
          <w:sz w:val="24"/>
          <w:szCs w:val="24"/>
        </w:rPr>
        <w:t xml:space="preserve">O </w:t>
      </w:r>
      <w:r w:rsidRPr="00DD1FA3">
        <w:rPr>
          <w:b/>
          <w:sz w:val="24"/>
          <w:szCs w:val="24"/>
        </w:rPr>
        <w:t>(c)</w:t>
      </w:r>
      <w:r w:rsidRPr="00DD1FA3">
        <w:rPr>
          <w:sz w:val="24"/>
          <w:szCs w:val="24"/>
        </w:rPr>
        <w:t xml:space="preserve">, CaO </w:t>
      </w:r>
      <w:r w:rsidRPr="00DD1FA3">
        <w:rPr>
          <w:b/>
          <w:sz w:val="24"/>
          <w:szCs w:val="24"/>
        </w:rPr>
        <w:t>(d)</w:t>
      </w:r>
      <w:r w:rsidRPr="00DD1FA3">
        <w:rPr>
          <w:sz w:val="24"/>
          <w:szCs w:val="24"/>
        </w:rPr>
        <w:t>, Al</w:t>
      </w:r>
      <w:r w:rsidRPr="00DD1FA3">
        <w:rPr>
          <w:sz w:val="24"/>
          <w:szCs w:val="24"/>
          <w:vertAlign w:val="subscript"/>
        </w:rPr>
        <w:t>2</w:t>
      </w:r>
      <w:r w:rsidRPr="00DD1FA3">
        <w:rPr>
          <w:sz w:val="24"/>
          <w:szCs w:val="24"/>
        </w:rPr>
        <w:t>O</w:t>
      </w:r>
      <w:r w:rsidRPr="00DD1FA3">
        <w:rPr>
          <w:sz w:val="24"/>
          <w:szCs w:val="24"/>
          <w:vertAlign w:val="subscript"/>
        </w:rPr>
        <w:t>3</w:t>
      </w:r>
      <w:r w:rsidRPr="00DD1FA3">
        <w:rPr>
          <w:sz w:val="24"/>
          <w:szCs w:val="24"/>
        </w:rPr>
        <w:t xml:space="preserve"> </w:t>
      </w:r>
      <w:r w:rsidRPr="00DD1FA3">
        <w:rPr>
          <w:b/>
          <w:sz w:val="24"/>
          <w:szCs w:val="24"/>
        </w:rPr>
        <w:t>(e)</w:t>
      </w:r>
      <w:r w:rsidRPr="00DD1FA3">
        <w:rPr>
          <w:sz w:val="24"/>
          <w:szCs w:val="24"/>
        </w:rPr>
        <w:t xml:space="preserve"> and FeO </w:t>
      </w:r>
      <w:r w:rsidRPr="00DD1FA3">
        <w:rPr>
          <w:b/>
          <w:sz w:val="24"/>
          <w:szCs w:val="24"/>
        </w:rPr>
        <w:t>(f)</w:t>
      </w:r>
      <w:r w:rsidRPr="00DD1FA3">
        <w:rPr>
          <w:sz w:val="24"/>
          <w:szCs w:val="24"/>
        </w:rPr>
        <w:t xml:space="preserve"> contents in function of MgO content.</w:t>
      </w:r>
      <w:proofErr w:type="gramEnd"/>
      <w:r w:rsidRPr="00DD1FA3">
        <w:rPr>
          <w:sz w:val="24"/>
          <w:szCs w:val="24"/>
        </w:rPr>
        <w:t xml:space="preserve"> Dotted lines correspond to the liquid lines of descent calculated for crystallization pressures of 2, 4 and 8 kbar </w:t>
      </w:r>
      <w:r w:rsidRPr="00DD1FA3">
        <w:rPr>
          <w:sz w:val="24"/>
          <w:szCs w:val="24"/>
        </w:rPr>
        <w:lastRenderedPageBreak/>
        <w:t>with the Petrolog code (</w:t>
      </w:r>
      <w:r w:rsidR="006C2510">
        <w:rPr>
          <w:sz w:val="24"/>
          <w:szCs w:val="24"/>
        </w:rPr>
        <w:t>[</w:t>
      </w:r>
      <w:r w:rsidRPr="006C2510">
        <w:rPr>
          <w:i/>
          <w:sz w:val="24"/>
          <w:szCs w:val="24"/>
        </w:rPr>
        <w:t>Danyushevsky and Plechov</w:t>
      </w:r>
      <w:r w:rsidRPr="00DD1FA3">
        <w:rPr>
          <w:sz w:val="24"/>
          <w:szCs w:val="24"/>
        </w:rPr>
        <w:t>, 2011</w:t>
      </w:r>
      <w:r w:rsidR="006C2510">
        <w:rPr>
          <w:sz w:val="24"/>
          <w:szCs w:val="24"/>
        </w:rPr>
        <w:t>]</w:t>
      </w:r>
      <w:r w:rsidRPr="00DD1FA3">
        <w:rPr>
          <w:sz w:val="24"/>
          <w:szCs w:val="24"/>
        </w:rPr>
        <w:t>; parameters used for these calculations are similar to those used for Figure 13 and detailed in the Supplementary material</w:t>
      </w:r>
      <w:r w:rsidR="007E2D54">
        <w:rPr>
          <w:sz w:val="24"/>
          <w:szCs w:val="24"/>
        </w:rPr>
        <w:t xml:space="preserve"> Text S</w:t>
      </w:r>
      <w:r w:rsidR="00AA4C4D">
        <w:rPr>
          <w:sz w:val="24"/>
          <w:szCs w:val="24"/>
        </w:rPr>
        <w:t>3</w:t>
      </w:r>
      <w:r w:rsidRPr="00DD1FA3">
        <w:rPr>
          <w:sz w:val="24"/>
          <w:szCs w:val="24"/>
        </w:rPr>
        <w:t>) for a starting composition similar to basalt sample AII0127-1-008. The model trends are shown over a compilation of MAR basalts</w:t>
      </w:r>
      <w:r w:rsidR="003C037B">
        <w:rPr>
          <w:sz w:val="24"/>
          <w:szCs w:val="24"/>
        </w:rPr>
        <w:t xml:space="preserve"> (in grey)</w:t>
      </w:r>
      <w:r w:rsidRPr="00DD1FA3">
        <w:rPr>
          <w:sz w:val="24"/>
          <w:szCs w:val="24"/>
        </w:rPr>
        <w:t xml:space="preserve"> collected between 60°N and 55°S (PetDB, </w:t>
      </w:r>
      <w:r w:rsidRPr="006C2510">
        <w:rPr>
          <w:i/>
          <w:sz w:val="24"/>
          <w:szCs w:val="24"/>
        </w:rPr>
        <w:t>Lehnert et al.</w:t>
      </w:r>
      <w:r w:rsidRPr="00DD1FA3">
        <w:rPr>
          <w:sz w:val="24"/>
          <w:szCs w:val="24"/>
        </w:rPr>
        <w:t xml:space="preserve"> </w:t>
      </w:r>
      <w:r w:rsidR="006C2510">
        <w:rPr>
          <w:sz w:val="24"/>
          <w:szCs w:val="24"/>
        </w:rPr>
        <w:t>[</w:t>
      </w:r>
      <w:r w:rsidRPr="00DD1FA3">
        <w:rPr>
          <w:sz w:val="24"/>
          <w:szCs w:val="24"/>
        </w:rPr>
        <w:t>2000</w:t>
      </w:r>
      <w:r w:rsidR="006C2510">
        <w:rPr>
          <w:sz w:val="24"/>
          <w:szCs w:val="24"/>
        </w:rPr>
        <w:t>]</w:t>
      </w:r>
      <w:r w:rsidRPr="00DD1FA3">
        <w:rPr>
          <w:sz w:val="24"/>
          <w:szCs w:val="24"/>
        </w:rPr>
        <w:t>; details in Supplementary material</w:t>
      </w:r>
      <w:r w:rsidR="005376F3">
        <w:rPr>
          <w:sz w:val="24"/>
          <w:szCs w:val="24"/>
        </w:rPr>
        <w:t xml:space="preserve"> Text</w:t>
      </w:r>
      <w:r w:rsidR="004F6EFD">
        <w:rPr>
          <w:sz w:val="24"/>
          <w:szCs w:val="24"/>
        </w:rPr>
        <w:t xml:space="preserve"> </w:t>
      </w:r>
      <w:r w:rsidR="00AA4C4D">
        <w:rPr>
          <w:sz w:val="24"/>
          <w:szCs w:val="24"/>
        </w:rPr>
        <w:t>S2</w:t>
      </w:r>
      <w:r w:rsidRPr="00DD1FA3">
        <w:rPr>
          <w:sz w:val="24"/>
          <w:szCs w:val="24"/>
        </w:rPr>
        <w:t>).</w:t>
      </w:r>
      <w:r w:rsidR="003C037B">
        <w:rPr>
          <w:sz w:val="24"/>
          <w:szCs w:val="24"/>
        </w:rPr>
        <w:t xml:space="preserve"> </w:t>
      </w:r>
      <w:r w:rsidR="00F37CCA">
        <w:rPr>
          <w:sz w:val="24"/>
          <w:szCs w:val="24"/>
        </w:rPr>
        <w:t>Dark grey</w:t>
      </w:r>
      <w:r w:rsidR="00F37CCA" w:rsidRPr="0040545A">
        <w:rPr>
          <w:sz w:val="24"/>
          <w:szCs w:val="24"/>
        </w:rPr>
        <w:t xml:space="preserve"> </w:t>
      </w:r>
      <w:r w:rsidR="00F37CCA">
        <w:rPr>
          <w:sz w:val="24"/>
          <w:szCs w:val="24"/>
        </w:rPr>
        <w:t>crosses</w:t>
      </w:r>
      <w:r w:rsidR="00F37CCA" w:rsidRPr="0040545A">
        <w:rPr>
          <w:sz w:val="24"/>
          <w:szCs w:val="24"/>
        </w:rPr>
        <w:t xml:space="preserve"> correspond </w:t>
      </w:r>
      <w:r w:rsidR="00F37CCA">
        <w:rPr>
          <w:sz w:val="24"/>
          <w:szCs w:val="24"/>
        </w:rPr>
        <w:t xml:space="preserve">to samples </w:t>
      </w:r>
      <w:r w:rsidR="00F37CCA" w:rsidRPr="0040545A">
        <w:rPr>
          <w:sz w:val="24"/>
          <w:szCs w:val="24"/>
        </w:rPr>
        <w:t>with</w:t>
      </w:r>
      <w:r w:rsidR="00F37CCA">
        <w:rPr>
          <w:sz w:val="24"/>
          <w:szCs w:val="24"/>
        </w:rPr>
        <w:t xml:space="preserve"> pronounced Eu anomaly</w:t>
      </w:r>
      <w:r w:rsidR="00F37CCA" w:rsidRPr="0040545A">
        <w:rPr>
          <w:sz w:val="24"/>
          <w:szCs w:val="24"/>
        </w:rPr>
        <w:t xml:space="preserve">. </w:t>
      </w:r>
      <w:r w:rsidR="00F37CCA">
        <w:rPr>
          <w:sz w:val="24"/>
          <w:szCs w:val="24"/>
        </w:rPr>
        <w:t>Blue crosses</w:t>
      </w:r>
      <w:r w:rsidR="00F37CCA" w:rsidRPr="0040545A">
        <w:rPr>
          <w:sz w:val="24"/>
          <w:szCs w:val="24"/>
        </w:rPr>
        <w:t xml:space="preserve"> correspond to samples with </w:t>
      </w:r>
      <w:r w:rsidR="00F37CCA">
        <w:rPr>
          <w:sz w:val="24"/>
          <w:szCs w:val="24"/>
        </w:rPr>
        <w:t>no Eu anomaly. Light grey</w:t>
      </w:r>
      <w:r w:rsidR="00F37CCA" w:rsidRPr="0040545A">
        <w:rPr>
          <w:sz w:val="24"/>
          <w:szCs w:val="24"/>
        </w:rPr>
        <w:t xml:space="preserve"> dots correspond to samples</w:t>
      </w:r>
      <w:r w:rsidR="00F37CCA">
        <w:rPr>
          <w:sz w:val="24"/>
          <w:szCs w:val="24"/>
        </w:rPr>
        <w:t xml:space="preserve"> for which trace element data are not available.</w:t>
      </w:r>
    </w:p>
    <w:p w14:paraId="6B47221C" w14:textId="52126E43" w:rsidR="00DD1FA3" w:rsidRPr="00DD1FA3" w:rsidRDefault="00DD1FA3" w:rsidP="005F2154">
      <w:pPr>
        <w:jc w:val="both"/>
        <w:rPr>
          <w:sz w:val="24"/>
          <w:szCs w:val="24"/>
        </w:rPr>
      </w:pPr>
    </w:p>
    <w:p w14:paraId="22F48C00" w14:textId="77777777" w:rsidR="00DD1FA3" w:rsidRPr="00022B05" w:rsidRDefault="00DD1FA3" w:rsidP="005F2154">
      <w:pPr>
        <w:jc w:val="both"/>
        <w:rPr>
          <w:sz w:val="24"/>
          <w:szCs w:val="24"/>
        </w:rPr>
      </w:pPr>
    </w:p>
    <w:p w14:paraId="56E79006" w14:textId="456A41B1" w:rsidR="005F2154" w:rsidRPr="00022B05" w:rsidRDefault="005F2154" w:rsidP="00A934C8">
      <w:pPr>
        <w:jc w:val="both"/>
        <w:rPr>
          <w:sz w:val="24"/>
          <w:szCs w:val="24"/>
        </w:rPr>
      </w:pPr>
    </w:p>
    <w:p w14:paraId="69D87446" w14:textId="21B663BF" w:rsidR="002F3B11" w:rsidRPr="00022B05" w:rsidRDefault="008E3798" w:rsidP="00C81368">
      <w:pPr>
        <w:pStyle w:val="Heading-Main"/>
      </w:pPr>
      <w:r w:rsidRPr="00022B05">
        <w:t>6</w:t>
      </w:r>
      <w:r w:rsidR="002F3B11" w:rsidRPr="00022B05">
        <w:t xml:space="preserve"> Conclusions</w:t>
      </w:r>
    </w:p>
    <w:p w14:paraId="0CB26F37" w14:textId="11AF2C3D" w:rsidR="002F3A3A" w:rsidRPr="00022B05" w:rsidRDefault="00006355" w:rsidP="002F3A3A">
      <w:pPr>
        <w:jc w:val="both"/>
        <w:rPr>
          <w:bCs/>
          <w:sz w:val="24"/>
          <w:szCs w:val="24"/>
        </w:rPr>
      </w:pPr>
      <w:r w:rsidRPr="00022B05">
        <w:rPr>
          <w:bCs/>
          <w:sz w:val="24"/>
          <w:szCs w:val="24"/>
        </w:rPr>
        <w:tab/>
      </w:r>
      <w:r w:rsidR="002F3A3A">
        <w:rPr>
          <w:sz w:val="24"/>
          <w:szCs w:val="24"/>
        </w:rPr>
        <w:t>The eastern SWIR between 61 and 67°E has a very low melt supply and comprises several corridors of nearly amagmatic spreading that expose mantle-derived serpentinized peridotite [</w:t>
      </w:r>
      <w:r w:rsidR="002F3A3A" w:rsidRPr="008C00BA">
        <w:rPr>
          <w:i/>
          <w:sz w:val="24"/>
          <w:szCs w:val="24"/>
        </w:rPr>
        <w:t>Cannat et al.</w:t>
      </w:r>
      <w:r w:rsidR="002F3A3A">
        <w:rPr>
          <w:sz w:val="24"/>
          <w:szCs w:val="24"/>
        </w:rPr>
        <w:t xml:space="preserve">, 2003; 2006; </w:t>
      </w:r>
      <w:r w:rsidR="002F3A3A" w:rsidRPr="008C00BA">
        <w:rPr>
          <w:i/>
          <w:sz w:val="24"/>
          <w:szCs w:val="24"/>
        </w:rPr>
        <w:t>Sauter et al.</w:t>
      </w:r>
      <w:r w:rsidR="002F3A3A">
        <w:rPr>
          <w:sz w:val="24"/>
          <w:szCs w:val="24"/>
        </w:rPr>
        <w:t xml:space="preserve">, 2013]. </w:t>
      </w:r>
      <w:r w:rsidR="00430D4A">
        <w:rPr>
          <w:sz w:val="24"/>
          <w:szCs w:val="24"/>
        </w:rPr>
        <w:t>More volcanically active ridge portions separate these corridors</w:t>
      </w:r>
      <w:r w:rsidR="002F3A3A">
        <w:rPr>
          <w:sz w:val="24"/>
          <w:szCs w:val="24"/>
        </w:rPr>
        <w:t xml:space="preserve">. </w:t>
      </w:r>
      <w:r w:rsidR="002F3A3A" w:rsidRPr="00022B05">
        <w:rPr>
          <w:sz w:val="24"/>
          <w:szCs w:val="24"/>
        </w:rPr>
        <w:t>Basalts from th</w:t>
      </w:r>
      <w:r w:rsidR="002F3A3A">
        <w:rPr>
          <w:sz w:val="24"/>
          <w:szCs w:val="24"/>
        </w:rPr>
        <w:t>is melt-poor ridge</w:t>
      </w:r>
      <w:r w:rsidR="002F3A3A" w:rsidRPr="00022B05">
        <w:rPr>
          <w:sz w:val="24"/>
          <w:szCs w:val="24"/>
        </w:rPr>
        <w:t xml:space="preserve"> represent a global MORB end-member for major element compositions [</w:t>
      </w:r>
      <w:r w:rsidR="002F3A3A" w:rsidRPr="00022B05">
        <w:rPr>
          <w:i/>
          <w:sz w:val="24"/>
          <w:szCs w:val="24"/>
        </w:rPr>
        <w:t>Meyzen et al.</w:t>
      </w:r>
      <w:r w:rsidR="002F3A3A" w:rsidRPr="00022B05">
        <w:rPr>
          <w:sz w:val="24"/>
          <w:szCs w:val="24"/>
        </w:rPr>
        <w:t>, 2003], with higher Na</w:t>
      </w:r>
      <w:r w:rsidR="002F3A3A" w:rsidRPr="00022B05">
        <w:rPr>
          <w:sz w:val="24"/>
          <w:szCs w:val="24"/>
          <w:vertAlign w:val="subscript"/>
        </w:rPr>
        <w:t>2</w:t>
      </w:r>
      <w:r w:rsidR="002F3A3A" w:rsidRPr="00022B05">
        <w:rPr>
          <w:sz w:val="24"/>
          <w:szCs w:val="24"/>
        </w:rPr>
        <w:t>O and Al</w:t>
      </w:r>
      <w:r w:rsidR="002F3A3A" w:rsidRPr="00022B05">
        <w:rPr>
          <w:sz w:val="24"/>
          <w:szCs w:val="24"/>
          <w:vertAlign w:val="subscript"/>
        </w:rPr>
        <w:t>2</w:t>
      </w:r>
      <w:r w:rsidR="002F3A3A" w:rsidRPr="00022B05">
        <w:rPr>
          <w:sz w:val="24"/>
          <w:szCs w:val="24"/>
        </w:rPr>
        <w:t>O</w:t>
      </w:r>
      <w:r w:rsidR="002F3A3A" w:rsidRPr="00022B05">
        <w:rPr>
          <w:sz w:val="24"/>
          <w:szCs w:val="24"/>
          <w:vertAlign w:val="subscript"/>
        </w:rPr>
        <w:t>3</w:t>
      </w:r>
      <w:r w:rsidR="002F3A3A" w:rsidRPr="00022B05">
        <w:rPr>
          <w:sz w:val="24"/>
          <w:szCs w:val="24"/>
        </w:rPr>
        <w:t xml:space="preserve"> contents, and lower CaO and FeO contents at a given MgO. Within this </w:t>
      </w:r>
      <w:r w:rsidR="002F3A3A">
        <w:rPr>
          <w:sz w:val="24"/>
          <w:szCs w:val="24"/>
        </w:rPr>
        <w:t xml:space="preserve">end-member </w:t>
      </w:r>
      <w:r w:rsidR="002F3A3A" w:rsidRPr="00022B05">
        <w:rPr>
          <w:sz w:val="24"/>
          <w:szCs w:val="24"/>
        </w:rPr>
        <w:t xml:space="preserve">group, basalts from the </w:t>
      </w:r>
      <w:r w:rsidR="002F3A3A">
        <w:rPr>
          <w:sz w:val="24"/>
          <w:szCs w:val="24"/>
        </w:rPr>
        <w:t xml:space="preserve">nearly amagmatic corridors </w:t>
      </w:r>
      <w:r w:rsidR="002F3A3A" w:rsidRPr="00022B05">
        <w:rPr>
          <w:sz w:val="24"/>
          <w:szCs w:val="24"/>
        </w:rPr>
        <w:t xml:space="preserve">have significantly lower CaO </w:t>
      </w:r>
      <w:r w:rsidR="002F3A3A">
        <w:rPr>
          <w:sz w:val="24"/>
          <w:szCs w:val="24"/>
        </w:rPr>
        <w:t>and Al</w:t>
      </w:r>
      <w:r w:rsidR="002F3A3A" w:rsidRPr="008C00BA">
        <w:rPr>
          <w:sz w:val="24"/>
          <w:szCs w:val="24"/>
          <w:vertAlign w:val="subscript"/>
        </w:rPr>
        <w:t>2</w:t>
      </w:r>
      <w:r w:rsidR="002F3A3A">
        <w:rPr>
          <w:sz w:val="24"/>
          <w:szCs w:val="24"/>
        </w:rPr>
        <w:t>O</w:t>
      </w:r>
      <w:r w:rsidR="002F3A3A" w:rsidRPr="008C00BA">
        <w:rPr>
          <w:sz w:val="24"/>
          <w:szCs w:val="24"/>
          <w:vertAlign w:val="subscript"/>
        </w:rPr>
        <w:t>3</w:t>
      </w:r>
      <w:r w:rsidR="002F3A3A">
        <w:rPr>
          <w:sz w:val="24"/>
          <w:szCs w:val="24"/>
        </w:rPr>
        <w:t xml:space="preserve"> </w:t>
      </w:r>
      <w:r w:rsidR="002F3A3A" w:rsidRPr="00022B05">
        <w:rPr>
          <w:sz w:val="24"/>
          <w:szCs w:val="24"/>
        </w:rPr>
        <w:t>contents at a given MgO</w:t>
      </w:r>
      <w:r w:rsidR="002F3A3A">
        <w:rPr>
          <w:sz w:val="24"/>
          <w:szCs w:val="24"/>
        </w:rPr>
        <w:t xml:space="preserve"> than basalts from the volcanic areas. They are, however, similar in terms of </w:t>
      </w:r>
      <w:r w:rsidR="002F3A3A" w:rsidRPr="00022B05">
        <w:rPr>
          <w:sz w:val="24"/>
          <w:szCs w:val="24"/>
        </w:rPr>
        <w:t>trace elements and isotopic ratios.</w:t>
      </w:r>
    </w:p>
    <w:p w14:paraId="34614189" w14:textId="7983F73E" w:rsidR="002F3A3A" w:rsidRPr="00260C50" w:rsidRDefault="002F3A3A" w:rsidP="002F3A3A">
      <w:pPr>
        <w:jc w:val="both"/>
        <w:rPr>
          <w:bCs/>
          <w:sz w:val="24"/>
          <w:szCs w:val="24"/>
        </w:rPr>
      </w:pPr>
      <w:r w:rsidRPr="00022B05">
        <w:rPr>
          <w:bCs/>
          <w:sz w:val="24"/>
          <w:szCs w:val="24"/>
        </w:rPr>
        <w:tab/>
      </w:r>
      <w:r>
        <w:rPr>
          <w:bCs/>
          <w:sz w:val="24"/>
          <w:szCs w:val="24"/>
        </w:rPr>
        <w:t>Serpentinized mantle-derived peridotites represent 96% in volume of the material dredged in the nearly amagmatic corridors [</w:t>
      </w:r>
      <w:r w:rsidRPr="008C00BA">
        <w:rPr>
          <w:bCs/>
          <w:i/>
          <w:sz w:val="24"/>
          <w:szCs w:val="24"/>
        </w:rPr>
        <w:t>Sauter et al.</w:t>
      </w:r>
      <w:r>
        <w:rPr>
          <w:bCs/>
          <w:sz w:val="24"/>
          <w:szCs w:val="24"/>
        </w:rPr>
        <w:t>, 2013]. Yet in addition to rare basalts, these dredges have also recovered small amounts of plagioclase-bearing ultramafic rocks, and of olivine gabbro</w:t>
      </w:r>
      <w:r w:rsidR="00406F10">
        <w:rPr>
          <w:bCs/>
          <w:sz w:val="24"/>
          <w:szCs w:val="24"/>
        </w:rPr>
        <w:t>s</w:t>
      </w:r>
      <w:r>
        <w:rPr>
          <w:bCs/>
          <w:sz w:val="24"/>
          <w:szCs w:val="24"/>
        </w:rPr>
        <w:t xml:space="preserve">. These rocks present textural and chemical characteristics that are best interpreted as due to reactions between a peridotite or websterite host rock and basaltic melts in the deep axial lithosphere. These reactions involved dissolution of olivine and orthopyroxene, and crystallization of clinopyroxene and plagioclase. The trace element composition of clinopyroxene indicates that the reacting melt had the same trace element signature as the basalts erupted at the ridge. Because we observe the transition between the ultramafic host and the most plagioclase-rich lithologies within a single decimeter-sized sample, we infer that these reactions occurred in the walls of veins or narrow dikes that formed conduits for primitive MORB melts, allowing them </w:t>
      </w:r>
      <w:r w:rsidRPr="00022B05">
        <w:rPr>
          <w:sz w:val="24"/>
          <w:szCs w:val="24"/>
        </w:rPr>
        <w:t>to rise through the axial lithosphere and to the eruption sites.</w:t>
      </w:r>
    </w:p>
    <w:p w14:paraId="121BF339" w14:textId="178C7647" w:rsidR="002F3A3A" w:rsidRDefault="002F3A3A" w:rsidP="002F3A3A">
      <w:pPr>
        <w:jc w:val="both"/>
        <w:rPr>
          <w:sz w:val="24"/>
          <w:szCs w:val="24"/>
        </w:rPr>
      </w:pPr>
      <w:r>
        <w:rPr>
          <w:sz w:val="24"/>
          <w:szCs w:val="24"/>
        </w:rPr>
        <w:tab/>
        <w:t xml:space="preserve">In order to assess the possible effect of these reactions on the composition of the reacted melt, </w:t>
      </w:r>
      <w:r w:rsidRPr="00022B05">
        <w:rPr>
          <w:sz w:val="24"/>
          <w:szCs w:val="24"/>
        </w:rPr>
        <w:t xml:space="preserve">we develop a simple mass balance model in which we use the modal abundances and </w:t>
      </w:r>
      <w:r>
        <w:rPr>
          <w:sz w:val="24"/>
          <w:szCs w:val="24"/>
        </w:rPr>
        <w:t xml:space="preserve">the </w:t>
      </w:r>
      <w:r w:rsidRPr="00022B05">
        <w:rPr>
          <w:sz w:val="24"/>
          <w:szCs w:val="24"/>
        </w:rPr>
        <w:t xml:space="preserve">major </w:t>
      </w:r>
      <w:r>
        <w:rPr>
          <w:sz w:val="24"/>
          <w:szCs w:val="24"/>
        </w:rPr>
        <w:t xml:space="preserve">and trace </w:t>
      </w:r>
      <w:r w:rsidRPr="00022B05">
        <w:rPr>
          <w:sz w:val="24"/>
          <w:szCs w:val="24"/>
        </w:rPr>
        <w:t>element composition of the mineral phases in the inferred pro</w:t>
      </w:r>
      <w:r>
        <w:rPr>
          <w:sz w:val="24"/>
          <w:szCs w:val="24"/>
        </w:rPr>
        <w:t xml:space="preserve">ducts of melt-mantle interaction (the </w:t>
      </w:r>
      <w:r w:rsidRPr="00022B05">
        <w:rPr>
          <w:sz w:val="24"/>
          <w:szCs w:val="24"/>
        </w:rPr>
        <w:t xml:space="preserve">plagioclase-bearing ultramafic to gabbroic rocks and </w:t>
      </w:r>
      <w:r>
        <w:rPr>
          <w:sz w:val="24"/>
          <w:szCs w:val="24"/>
        </w:rPr>
        <w:t xml:space="preserve">the </w:t>
      </w:r>
      <w:r w:rsidRPr="00022B05">
        <w:rPr>
          <w:sz w:val="24"/>
          <w:szCs w:val="24"/>
        </w:rPr>
        <w:t>basalt</w:t>
      </w:r>
      <w:r>
        <w:rPr>
          <w:sz w:val="24"/>
          <w:szCs w:val="24"/>
        </w:rPr>
        <w:t xml:space="preserve"> erupted in nearly amagmatic corridors)</w:t>
      </w:r>
      <w:r w:rsidRPr="00022B05">
        <w:rPr>
          <w:sz w:val="24"/>
          <w:szCs w:val="24"/>
        </w:rPr>
        <w:t>, and in plagioclase-free residual lherzolites (inferred solid prior to reaction), to reconstruct the initial composition of the reacting melt.</w:t>
      </w:r>
      <w:r>
        <w:rPr>
          <w:sz w:val="24"/>
          <w:szCs w:val="24"/>
        </w:rPr>
        <w:t xml:space="preserve"> We find that for low (≤50) values of the ratio of erupted melt to reacted mantle, the initial composition of the reacting melt is significantly lower in </w:t>
      </w:r>
      <w:proofErr w:type="gramStart"/>
      <w:r>
        <w:rPr>
          <w:sz w:val="24"/>
          <w:szCs w:val="24"/>
        </w:rPr>
        <w:t>Mg,</w:t>
      </w:r>
      <w:proofErr w:type="gramEnd"/>
      <w:r>
        <w:rPr>
          <w:sz w:val="24"/>
          <w:szCs w:val="24"/>
        </w:rPr>
        <w:t xml:space="preserve"> and higher in Ca and Al, resembling the composition of the basalts dredged in the volcanic portions of </w:t>
      </w:r>
      <w:r w:rsidR="008C00BA">
        <w:rPr>
          <w:sz w:val="24"/>
          <w:szCs w:val="24"/>
        </w:rPr>
        <w:t>the</w:t>
      </w:r>
      <w:r>
        <w:rPr>
          <w:sz w:val="24"/>
          <w:szCs w:val="24"/>
        </w:rPr>
        <w:t xml:space="preserve"> study area. This, and their similarity in terms of trace element composition and isotopic ratio leads us to propose that the two groups of basalts derive from similar parental melts, with low MgO contents (</w:t>
      </w:r>
      <w:r w:rsidR="00034720">
        <w:rPr>
          <w:sz w:val="24"/>
          <w:szCs w:val="24"/>
        </w:rPr>
        <w:t>7.5</w:t>
      </w:r>
      <w:r w:rsidR="00FE44C1">
        <w:rPr>
          <w:sz w:val="24"/>
          <w:szCs w:val="24"/>
        </w:rPr>
        <w:t xml:space="preserve"> </w:t>
      </w:r>
      <w:r w:rsidR="00034720">
        <w:rPr>
          <w:sz w:val="24"/>
          <w:szCs w:val="24"/>
        </w:rPr>
        <w:t>–</w:t>
      </w:r>
      <w:r w:rsidR="00FE44C1">
        <w:rPr>
          <w:sz w:val="24"/>
          <w:szCs w:val="24"/>
        </w:rPr>
        <w:t xml:space="preserve"> </w:t>
      </w:r>
      <w:r w:rsidR="00034720">
        <w:rPr>
          <w:sz w:val="24"/>
          <w:szCs w:val="24"/>
        </w:rPr>
        <w:t>8.25</w:t>
      </w:r>
      <w:r w:rsidR="00FE44C1">
        <w:rPr>
          <w:sz w:val="24"/>
          <w:szCs w:val="24"/>
        </w:rPr>
        <w:t xml:space="preserve"> wt</w:t>
      </w:r>
      <w:r>
        <w:rPr>
          <w:sz w:val="24"/>
          <w:szCs w:val="24"/>
        </w:rPr>
        <w:t>%). We propose that</w:t>
      </w:r>
      <w:r w:rsidRPr="00022B05">
        <w:rPr>
          <w:sz w:val="24"/>
          <w:szCs w:val="24"/>
        </w:rPr>
        <w:t xml:space="preserve"> the ultramafic seafloor basalts are more affected by reactions between th</w:t>
      </w:r>
      <w:r>
        <w:rPr>
          <w:sz w:val="24"/>
          <w:szCs w:val="24"/>
        </w:rPr>
        <w:t>ese</w:t>
      </w:r>
      <w:r w:rsidRPr="00022B05">
        <w:rPr>
          <w:sz w:val="24"/>
          <w:szCs w:val="24"/>
        </w:rPr>
        <w:t xml:space="preserve"> parent melt</w:t>
      </w:r>
      <w:r>
        <w:rPr>
          <w:sz w:val="24"/>
          <w:szCs w:val="24"/>
        </w:rPr>
        <w:t>s</w:t>
      </w:r>
      <w:r w:rsidRPr="00022B05">
        <w:rPr>
          <w:sz w:val="24"/>
          <w:szCs w:val="24"/>
        </w:rPr>
        <w:t xml:space="preserve"> and the </w:t>
      </w:r>
      <w:r w:rsidRPr="00022B05">
        <w:rPr>
          <w:sz w:val="24"/>
          <w:szCs w:val="24"/>
        </w:rPr>
        <w:lastRenderedPageBreak/>
        <w:t xml:space="preserve">mantle rocks in the </w:t>
      </w:r>
      <w:r>
        <w:rPr>
          <w:sz w:val="24"/>
          <w:szCs w:val="24"/>
        </w:rPr>
        <w:t xml:space="preserve">deep </w:t>
      </w:r>
      <w:r w:rsidRPr="00022B05">
        <w:rPr>
          <w:sz w:val="24"/>
          <w:szCs w:val="24"/>
        </w:rPr>
        <w:t>lithosphere below the ridge</w:t>
      </w:r>
      <w:r>
        <w:rPr>
          <w:sz w:val="24"/>
          <w:szCs w:val="24"/>
        </w:rPr>
        <w:t xml:space="preserve"> because the ratio of erupted melt to reacted mantle is very low in the nearly amagmatic corridors</w:t>
      </w:r>
      <w:r w:rsidRPr="00022B05">
        <w:rPr>
          <w:sz w:val="24"/>
          <w:szCs w:val="24"/>
        </w:rPr>
        <w:t>.</w:t>
      </w:r>
      <w:r>
        <w:rPr>
          <w:sz w:val="24"/>
          <w:szCs w:val="24"/>
        </w:rPr>
        <w:t xml:space="preserve"> We also propose that the range of major element compositions inferred for the asthenospheric parental melts involved in these reactions could result from very low degrees of melting (4%) of a mantle that also contains about 10% of </w:t>
      </w:r>
      <w:r w:rsidRPr="00022B05">
        <w:rPr>
          <w:sz w:val="24"/>
          <w:szCs w:val="24"/>
        </w:rPr>
        <w:t>a</w:t>
      </w:r>
      <w:r>
        <w:rPr>
          <w:sz w:val="24"/>
          <w:szCs w:val="24"/>
        </w:rPr>
        <w:t xml:space="preserve"> more fusible pyroxenite component. </w:t>
      </w:r>
    </w:p>
    <w:p w14:paraId="554E8C00" w14:textId="314E0D1D" w:rsidR="002F3A3A" w:rsidRPr="00022B05" w:rsidRDefault="002F3A3A" w:rsidP="002F3A3A">
      <w:pPr>
        <w:jc w:val="both"/>
        <w:rPr>
          <w:sz w:val="24"/>
          <w:szCs w:val="24"/>
        </w:rPr>
      </w:pPr>
      <w:r>
        <w:rPr>
          <w:sz w:val="24"/>
          <w:szCs w:val="24"/>
        </w:rPr>
        <w:tab/>
        <w:t xml:space="preserve">Although this would deserve further study, we predict that melt-mantle reactions that have been documented at detachment-dominated portions of the more magmatically active MAR </w:t>
      </w:r>
      <w:r w:rsidRPr="00022B05">
        <w:rPr>
          <w:sz w:val="24"/>
          <w:szCs w:val="24"/>
        </w:rPr>
        <w:t>[</w:t>
      </w:r>
      <w:r w:rsidRPr="00022B05">
        <w:rPr>
          <w:i/>
          <w:sz w:val="24"/>
          <w:szCs w:val="24"/>
        </w:rPr>
        <w:t>Godard et al.</w:t>
      </w:r>
      <w:r w:rsidRPr="00022B05">
        <w:rPr>
          <w:sz w:val="24"/>
          <w:szCs w:val="24"/>
        </w:rPr>
        <w:t xml:space="preserve">, 2009; </w:t>
      </w:r>
      <w:r w:rsidRPr="00022B05">
        <w:rPr>
          <w:i/>
          <w:sz w:val="24"/>
          <w:szCs w:val="24"/>
        </w:rPr>
        <w:t>Drouin et al.</w:t>
      </w:r>
      <w:r w:rsidRPr="00022B05">
        <w:rPr>
          <w:sz w:val="24"/>
          <w:szCs w:val="24"/>
        </w:rPr>
        <w:t xml:space="preserve">, 2009; </w:t>
      </w:r>
      <w:r w:rsidRPr="00022B05">
        <w:rPr>
          <w:i/>
          <w:sz w:val="24"/>
          <w:szCs w:val="24"/>
        </w:rPr>
        <w:t>Renna and Tribuzio</w:t>
      </w:r>
      <w:r w:rsidRPr="00022B05">
        <w:rPr>
          <w:sz w:val="24"/>
          <w:szCs w:val="24"/>
        </w:rPr>
        <w:t xml:space="preserve">, 2011; </w:t>
      </w:r>
      <w:r w:rsidRPr="00022B05">
        <w:rPr>
          <w:i/>
          <w:sz w:val="24"/>
          <w:szCs w:val="24"/>
        </w:rPr>
        <w:t>Sanfili</w:t>
      </w:r>
      <w:r w:rsidR="006D728A">
        <w:rPr>
          <w:i/>
          <w:sz w:val="24"/>
          <w:szCs w:val="24"/>
        </w:rPr>
        <w:t>p</w:t>
      </w:r>
      <w:r w:rsidRPr="00022B05">
        <w:rPr>
          <w:i/>
          <w:sz w:val="24"/>
          <w:szCs w:val="24"/>
        </w:rPr>
        <w:t>po et al.</w:t>
      </w:r>
      <w:r w:rsidRPr="00022B05">
        <w:rPr>
          <w:sz w:val="24"/>
          <w:szCs w:val="24"/>
        </w:rPr>
        <w:t>, 2014]</w:t>
      </w:r>
      <w:r>
        <w:rPr>
          <w:sz w:val="24"/>
          <w:szCs w:val="24"/>
        </w:rPr>
        <w:t xml:space="preserve"> should have a lesser effect on the composition of the basalts erupted there. </w:t>
      </w:r>
    </w:p>
    <w:p w14:paraId="1AD6375C" w14:textId="1191FCA2" w:rsidR="00006355" w:rsidRPr="00022B05" w:rsidRDefault="00006355" w:rsidP="002F3A3A">
      <w:pPr>
        <w:jc w:val="both"/>
        <w:rPr>
          <w:sz w:val="24"/>
          <w:szCs w:val="24"/>
        </w:rPr>
      </w:pPr>
    </w:p>
    <w:p w14:paraId="31F7366C" w14:textId="77777777" w:rsidR="003C3D2D" w:rsidRPr="00022B05" w:rsidRDefault="003C3D2D" w:rsidP="00C81368">
      <w:pPr>
        <w:pStyle w:val="Heading-Main"/>
        <w:rPr>
          <w:rFonts w:eastAsia="Calibri"/>
          <w:b w:val="0"/>
          <w:bCs w:val="0"/>
          <w:color w:val="00B0F0"/>
          <w:kern w:val="0"/>
          <w:sz w:val="20"/>
          <w:szCs w:val="20"/>
        </w:rPr>
      </w:pPr>
    </w:p>
    <w:p w14:paraId="73F80CAB" w14:textId="2561C5A5" w:rsidR="00B120F3" w:rsidRPr="00022B05" w:rsidRDefault="00B120F3" w:rsidP="00C81368">
      <w:pPr>
        <w:pStyle w:val="Heading-Main"/>
      </w:pPr>
      <w:r w:rsidRPr="00022B05">
        <w:t>Acknowledgments and Data</w:t>
      </w:r>
    </w:p>
    <w:p w14:paraId="5987B1A6" w14:textId="4EDBD6A8" w:rsidR="00B120F3" w:rsidRPr="00022B05" w:rsidRDefault="00B120F3" w:rsidP="00B120F3">
      <w:pPr>
        <w:pStyle w:val="Text"/>
        <w:ind w:firstLine="0"/>
      </w:pPr>
      <w:r w:rsidRPr="00022B05">
        <w:rPr>
          <w:bCs/>
        </w:rPr>
        <w:t xml:space="preserve">The text ends with an acknowledgment </w:t>
      </w:r>
      <w:r w:rsidR="00321596" w:rsidRPr="00022B05">
        <w:rPr>
          <w:bCs/>
        </w:rPr>
        <w:t xml:space="preserve">section and </w:t>
      </w:r>
      <w:r w:rsidRPr="00022B05">
        <w:rPr>
          <w:bCs/>
        </w:rPr>
        <w:t>statement that includes:</w:t>
      </w:r>
    </w:p>
    <w:p w14:paraId="5279BC32" w14:textId="3FE35F0A" w:rsidR="00B120F3" w:rsidRPr="00022B05" w:rsidRDefault="00B120F3" w:rsidP="00B120F3">
      <w:pPr>
        <w:pStyle w:val="Text"/>
        <w:numPr>
          <w:ilvl w:val="0"/>
          <w:numId w:val="8"/>
        </w:numPr>
      </w:pPr>
      <w:r w:rsidRPr="00022B05">
        <w:t>All funding sources related to this work from all authors (funder and grant number)</w:t>
      </w:r>
    </w:p>
    <w:p w14:paraId="2335BC0F" w14:textId="77777777" w:rsidR="00B120F3" w:rsidRPr="00022B05" w:rsidRDefault="00B120F3" w:rsidP="00B120F3">
      <w:pPr>
        <w:pStyle w:val="Text"/>
        <w:numPr>
          <w:ilvl w:val="0"/>
          <w:numId w:val="8"/>
        </w:numPr>
      </w:pPr>
      <w:r w:rsidRPr="00022B05">
        <w:t>Any real or perceived financial conflicts of interests for any author</w:t>
      </w:r>
    </w:p>
    <w:p w14:paraId="5F7C4285" w14:textId="77777777" w:rsidR="00B120F3" w:rsidRPr="00022B05" w:rsidRDefault="00B120F3" w:rsidP="00B120F3">
      <w:pPr>
        <w:pStyle w:val="Text"/>
        <w:numPr>
          <w:ilvl w:val="0"/>
          <w:numId w:val="8"/>
        </w:numPr>
      </w:pPr>
      <w:r w:rsidRPr="00022B05">
        <w:t>Other affiliations for any author that may be perceived as having a conflict of interest with respect to the results of this paper.</w:t>
      </w:r>
    </w:p>
    <w:p w14:paraId="3D10D590" w14:textId="77777777" w:rsidR="00B120F3" w:rsidRPr="00022B05" w:rsidRDefault="00B120F3" w:rsidP="00B120F3">
      <w:pPr>
        <w:pStyle w:val="Text"/>
        <w:numPr>
          <w:ilvl w:val="0"/>
          <w:numId w:val="8"/>
        </w:numPr>
      </w:pPr>
      <w:r w:rsidRPr="00022B05">
        <w:t>A statement that indicates to the reader where the data supporting the conclusions can be obtained (for example, in the references, tables, supporting information, and other databases).</w:t>
      </w:r>
    </w:p>
    <w:p w14:paraId="6575C3C3" w14:textId="32E81053" w:rsidR="00B120F3" w:rsidRPr="00022B05" w:rsidRDefault="00B120F3" w:rsidP="00C81368">
      <w:pPr>
        <w:pStyle w:val="Text"/>
      </w:pPr>
      <w:r w:rsidRPr="00022B05">
        <w:t>It is also the appropriate place to thank colleagues and other contributors. AGU does not normally allow dedications.</w:t>
      </w:r>
    </w:p>
    <w:p w14:paraId="5A91F46B" w14:textId="1120D0B7" w:rsidR="008A6077" w:rsidRPr="00022B05" w:rsidRDefault="00B120F3" w:rsidP="00C81368">
      <w:pPr>
        <w:pStyle w:val="Heading-Main"/>
      </w:pPr>
      <w:r w:rsidRPr="00022B05">
        <w:t>References</w:t>
      </w:r>
    </w:p>
    <w:p w14:paraId="6A01640E" w14:textId="77777777" w:rsidR="000F4365" w:rsidRPr="00AC1297" w:rsidRDefault="000F4365" w:rsidP="00AC1297">
      <w:pPr>
        <w:widowControl w:val="0"/>
        <w:autoSpaceDE w:val="0"/>
        <w:autoSpaceDN w:val="0"/>
        <w:adjustRightInd w:val="0"/>
        <w:spacing w:after="120"/>
        <w:jc w:val="both"/>
        <w:rPr>
          <w:sz w:val="24"/>
          <w:szCs w:val="24"/>
        </w:rPr>
      </w:pPr>
      <w:r w:rsidRPr="00AC1297">
        <w:rPr>
          <w:sz w:val="24"/>
          <w:szCs w:val="24"/>
        </w:rPr>
        <w:t>Aharonov E, Whitehead JA, Kelemen PB, Spiegelman M (1995) Channeling instability of upwelling melt in the mantle. J Geophys Res Solid Earth 100(B10):20,433–20,450.</w:t>
      </w:r>
    </w:p>
    <w:p w14:paraId="12052FFF" w14:textId="77777777" w:rsidR="000F4365" w:rsidRPr="00AC1297" w:rsidRDefault="000F4365" w:rsidP="00AC1297">
      <w:pPr>
        <w:widowControl w:val="0"/>
        <w:autoSpaceDE w:val="0"/>
        <w:autoSpaceDN w:val="0"/>
        <w:adjustRightInd w:val="0"/>
        <w:spacing w:after="120"/>
        <w:jc w:val="both"/>
        <w:rPr>
          <w:sz w:val="24"/>
          <w:szCs w:val="24"/>
        </w:rPr>
      </w:pPr>
      <w:proofErr w:type="gramStart"/>
      <w:r w:rsidRPr="00AC1297">
        <w:rPr>
          <w:color w:val="1A1A1A"/>
          <w:sz w:val="24"/>
          <w:szCs w:val="24"/>
        </w:rPr>
        <w:t>Bottinga, Y., &amp; Allegre, C. J. (1973).</w:t>
      </w:r>
      <w:proofErr w:type="gramEnd"/>
      <w:r w:rsidRPr="00AC1297">
        <w:rPr>
          <w:color w:val="1A1A1A"/>
          <w:sz w:val="24"/>
          <w:szCs w:val="24"/>
        </w:rPr>
        <w:t xml:space="preserve"> </w:t>
      </w:r>
      <w:proofErr w:type="gramStart"/>
      <w:r w:rsidRPr="00AC1297">
        <w:rPr>
          <w:color w:val="1A1A1A"/>
          <w:sz w:val="24"/>
          <w:szCs w:val="24"/>
        </w:rPr>
        <w:t>Thermal aspects of sea-floor spreading and the nature of the oceanic crust.</w:t>
      </w:r>
      <w:proofErr w:type="gramEnd"/>
      <w:r w:rsidRPr="00AC1297">
        <w:rPr>
          <w:color w:val="1A1A1A"/>
          <w:sz w:val="24"/>
          <w:szCs w:val="24"/>
        </w:rPr>
        <w:t xml:space="preserve"> </w:t>
      </w:r>
      <w:r w:rsidRPr="00AC1297">
        <w:rPr>
          <w:i/>
          <w:iCs/>
          <w:color w:val="1A1A1A"/>
          <w:sz w:val="24"/>
          <w:szCs w:val="24"/>
        </w:rPr>
        <w:t>Tectonophysics</w:t>
      </w:r>
      <w:r w:rsidRPr="00AC1297">
        <w:rPr>
          <w:color w:val="1A1A1A"/>
          <w:sz w:val="24"/>
          <w:szCs w:val="24"/>
        </w:rPr>
        <w:t xml:space="preserve">, </w:t>
      </w:r>
      <w:r w:rsidRPr="00AC1297">
        <w:rPr>
          <w:i/>
          <w:iCs/>
          <w:color w:val="1A1A1A"/>
          <w:sz w:val="24"/>
          <w:szCs w:val="24"/>
        </w:rPr>
        <w:t>18</w:t>
      </w:r>
      <w:r w:rsidRPr="00AC1297">
        <w:rPr>
          <w:color w:val="1A1A1A"/>
          <w:sz w:val="24"/>
          <w:szCs w:val="24"/>
        </w:rPr>
        <w:t>(1), 1-17.</w:t>
      </w:r>
    </w:p>
    <w:p w14:paraId="0CA991A5" w14:textId="77777777" w:rsidR="000F4365" w:rsidRPr="00AC1297" w:rsidRDefault="000F4365" w:rsidP="00AC1297">
      <w:pPr>
        <w:widowControl w:val="0"/>
        <w:autoSpaceDE w:val="0"/>
        <w:autoSpaceDN w:val="0"/>
        <w:adjustRightInd w:val="0"/>
        <w:spacing w:after="120"/>
        <w:jc w:val="both"/>
        <w:rPr>
          <w:sz w:val="24"/>
          <w:szCs w:val="24"/>
        </w:rPr>
      </w:pPr>
      <w:r w:rsidRPr="00AC1297">
        <w:rPr>
          <w:color w:val="1A1A1A"/>
          <w:sz w:val="24"/>
          <w:szCs w:val="24"/>
        </w:rPr>
        <w:t xml:space="preserve">Bédard, J. H. (1994). </w:t>
      </w:r>
      <w:proofErr w:type="gramStart"/>
      <w:r w:rsidRPr="00AC1297">
        <w:rPr>
          <w:color w:val="1A1A1A"/>
          <w:sz w:val="24"/>
          <w:szCs w:val="24"/>
        </w:rPr>
        <w:t>A procedure for calculating the equilibrium distribution of trace elements among the minerals of cumulate rocks, and the concentration of trace elements in the coexisting liquids.</w:t>
      </w:r>
      <w:proofErr w:type="gramEnd"/>
      <w:r w:rsidRPr="00AC1297">
        <w:rPr>
          <w:color w:val="1A1A1A"/>
          <w:sz w:val="24"/>
          <w:szCs w:val="24"/>
        </w:rPr>
        <w:t xml:space="preserve"> </w:t>
      </w:r>
      <w:r w:rsidRPr="00AC1297">
        <w:rPr>
          <w:i/>
          <w:iCs/>
          <w:color w:val="1A1A1A"/>
          <w:sz w:val="24"/>
          <w:szCs w:val="24"/>
        </w:rPr>
        <w:t>Chemical Geology</w:t>
      </w:r>
      <w:r w:rsidRPr="00AC1297">
        <w:rPr>
          <w:color w:val="1A1A1A"/>
          <w:sz w:val="24"/>
          <w:szCs w:val="24"/>
        </w:rPr>
        <w:t xml:space="preserve">, </w:t>
      </w:r>
      <w:r w:rsidRPr="00AC1297">
        <w:rPr>
          <w:i/>
          <w:iCs/>
          <w:color w:val="1A1A1A"/>
          <w:sz w:val="24"/>
          <w:szCs w:val="24"/>
        </w:rPr>
        <w:t>118</w:t>
      </w:r>
      <w:r w:rsidRPr="00AC1297">
        <w:rPr>
          <w:color w:val="1A1A1A"/>
          <w:sz w:val="24"/>
          <w:szCs w:val="24"/>
        </w:rPr>
        <w:t>(1), 143-153.</w:t>
      </w:r>
    </w:p>
    <w:p w14:paraId="2FFCF055" w14:textId="77777777" w:rsidR="000F4365" w:rsidRPr="001F338C" w:rsidRDefault="000F4365" w:rsidP="00AC1297">
      <w:pPr>
        <w:widowControl w:val="0"/>
        <w:autoSpaceDE w:val="0"/>
        <w:autoSpaceDN w:val="0"/>
        <w:adjustRightInd w:val="0"/>
        <w:spacing w:after="120"/>
        <w:jc w:val="both"/>
        <w:rPr>
          <w:sz w:val="24"/>
          <w:szCs w:val="24"/>
          <w:lang w:val="it-IT"/>
          <w:rPrChange w:id="91" w:author="Daniele" w:date="2016-04-03T18:31:00Z">
            <w:rPr>
              <w:sz w:val="24"/>
              <w:szCs w:val="24"/>
            </w:rPr>
          </w:rPrChange>
        </w:rPr>
      </w:pPr>
      <w:proofErr w:type="gramStart"/>
      <w:r w:rsidRPr="00AC1297">
        <w:rPr>
          <w:color w:val="1A1A1A"/>
          <w:sz w:val="24"/>
          <w:szCs w:val="24"/>
        </w:rPr>
        <w:t>Bloomer, S. H., Meyer, P. S., Dick, H. J. B., Ozawa, K., &amp; Natland, J. H. (1991).</w:t>
      </w:r>
      <w:proofErr w:type="gramEnd"/>
      <w:r w:rsidRPr="00AC1297">
        <w:rPr>
          <w:color w:val="1A1A1A"/>
          <w:sz w:val="24"/>
          <w:szCs w:val="24"/>
        </w:rPr>
        <w:t xml:space="preserve"> Textural and mineralogic variations in gabbroic rocks from </w:t>
      </w:r>
      <w:proofErr w:type="gramStart"/>
      <w:r w:rsidRPr="00AC1297">
        <w:rPr>
          <w:color w:val="1A1A1A"/>
          <w:sz w:val="24"/>
          <w:szCs w:val="24"/>
        </w:rPr>
        <w:t>Hole</w:t>
      </w:r>
      <w:proofErr w:type="gramEnd"/>
      <w:r w:rsidRPr="00AC1297">
        <w:rPr>
          <w:color w:val="1A1A1A"/>
          <w:sz w:val="24"/>
          <w:szCs w:val="24"/>
        </w:rPr>
        <w:t xml:space="preserve"> 735B. </w:t>
      </w:r>
      <w:r w:rsidRPr="001F338C">
        <w:rPr>
          <w:color w:val="1A1A1A"/>
          <w:sz w:val="24"/>
          <w:szCs w:val="24"/>
          <w:lang w:val="it-IT"/>
          <w:rPrChange w:id="92" w:author="Daniele" w:date="2016-04-03T18:31:00Z">
            <w:rPr>
              <w:color w:val="1A1A1A"/>
              <w:sz w:val="24"/>
              <w:szCs w:val="24"/>
            </w:rPr>
          </w:rPrChange>
        </w:rPr>
        <w:t xml:space="preserve">In </w:t>
      </w:r>
      <w:r w:rsidRPr="001F338C">
        <w:rPr>
          <w:i/>
          <w:iCs/>
          <w:color w:val="1A1A1A"/>
          <w:sz w:val="24"/>
          <w:szCs w:val="24"/>
          <w:lang w:val="it-IT"/>
          <w:rPrChange w:id="93" w:author="Daniele" w:date="2016-04-03T18:31:00Z">
            <w:rPr>
              <w:i/>
              <w:iCs/>
              <w:color w:val="1A1A1A"/>
              <w:sz w:val="24"/>
              <w:szCs w:val="24"/>
            </w:rPr>
          </w:rPrChange>
        </w:rPr>
        <w:t>Von Herzen, RP, Robinson, PT, et al., Proc. ODP, Sci. Results</w:t>
      </w:r>
      <w:r w:rsidRPr="001F338C">
        <w:rPr>
          <w:color w:val="1A1A1A"/>
          <w:sz w:val="24"/>
          <w:szCs w:val="24"/>
          <w:lang w:val="it-IT"/>
          <w:rPrChange w:id="94" w:author="Daniele" w:date="2016-04-03T18:31:00Z">
            <w:rPr>
              <w:color w:val="1A1A1A"/>
              <w:sz w:val="24"/>
              <w:szCs w:val="24"/>
            </w:rPr>
          </w:rPrChange>
        </w:rPr>
        <w:t xml:space="preserve"> (Vol. 118, pp. 21-39).</w:t>
      </w:r>
    </w:p>
    <w:p w14:paraId="286339CE" w14:textId="77777777" w:rsidR="000F4365" w:rsidRPr="00AC1297" w:rsidRDefault="000F4365" w:rsidP="00AC1297">
      <w:pPr>
        <w:widowControl w:val="0"/>
        <w:autoSpaceDE w:val="0"/>
        <w:autoSpaceDN w:val="0"/>
        <w:adjustRightInd w:val="0"/>
        <w:spacing w:after="120"/>
        <w:jc w:val="both"/>
        <w:rPr>
          <w:sz w:val="24"/>
          <w:szCs w:val="24"/>
        </w:rPr>
      </w:pPr>
      <w:r w:rsidRPr="001F338C">
        <w:rPr>
          <w:color w:val="1A1A1A"/>
          <w:sz w:val="24"/>
          <w:szCs w:val="24"/>
          <w:lang w:val="it-IT"/>
          <w:rPrChange w:id="95" w:author="Daniele" w:date="2016-04-03T18:31:00Z">
            <w:rPr>
              <w:color w:val="1A1A1A"/>
              <w:sz w:val="24"/>
              <w:szCs w:val="24"/>
            </w:rPr>
          </w:rPrChange>
        </w:rPr>
        <w:t xml:space="preserve">Borghini, G., &amp; Rampone, E. </w:t>
      </w:r>
      <w:proofErr w:type="gramStart"/>
      <w:r w:rsidRPr="001F338C">
        <w:rPr>
          <w:color w:val="1A1A1A"/>
          <w:sz w:val="24"/>
          <w:szCs w:val="24"/>
          <w:lang w:val="it-IT"/>
          <w:rPrChange w:id="96" w:author="Daniele" w:date="2016-04-03T18:31:00Z">
            <w:rPr>
              <w:color w:val="1A1A1A"/>
              <w:sz w:val="24"/>
              <w:szCs w:val="24"/>
            </w:rPr>
          </w:rPrChange>
        </w:rPr>
        <w:t>(2007</w:t>
      </w:r>
      <w:proofErr w:type="gramEnd"/>
      <w:r w:rsidRPr="001F338C">
        <w:rPr>
          <w:color w:val="1A1A1A"/>
          <w:sz w:val="24"/>
          <w:szCs w:val="24"/>
          <w:lang w:val="it-IT"/>
          <w:rPrChange w:id="97" w:author="Daniele" w:date="2016-04-03T18:31:00Z">
            <w:rPr>
              <w:color w:val="1A1A1A"/>
              <w:sz w:val="24"/>
              <w:szCs w:val="24"/>
            </w:rPr>
          </w:rPrChange>
        </w:rPr>
        <w:t xml:space="preserve">). </w:t>
      </w:r>
      <w:proofErr w:type="gramStart"/>
      <w:r w:rsidRPr="00AC1297">
        <w:rPr>
          <w:color w:val="1A1A1A"/>
          <w:sz w:val="24"/>
          <w:szCs w:val="24"/>
        </w:rPr>
        <w:t>Postcumulus processes in oceanic-type olivine-rich cumulates</w:t>
      </w:r>
      <w:proofErr w:type="gramEnd"/>
      <w:r w:rsidRPr="00AC1297">
        <w:rPr>
          <w:color w:val="1A1A1A"/>
          <w:sz w:val="24"/>
          <w:szCs w:val="24"/>
        </w:rPr>
        <w:t xml:space="preserve">: the role of trapped melt crystallization versus melt/rock interaction.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154</w:t>
      </w:r>
      <w:r w:rsidRPr="00AC1297">
        <w:rPr>
          <w:color w:val="1A1A1A"/>
          <w:sz w:val="24"/>
          <w:szCs w:val="24"/>
        </w:rPr>
        <w:t>(6), 619-633.</w:t>
      </w:r>
    </w:p>
    <w:p w14:paraId="2FB26AF6" w14:textId="77777777" w:rsidR="000F4365" w:rsidRPr="00AC1297" w:rsidRDefault="000F4365" w:rsidP="00AC1297">
      <w:pPr>
        <w:widowControl w:val="0"/>
        <w:autoSpaceDE w:val="0"/>
        <w:autoSpaceDN w:val="0"/>
        <w:adjustRightInd w:val="0"/>
        <w:spacing w:after="120"/>
        <w:jc w:val="both"/>
        <w:rPr>
          <w:sz w:val="24"/>
          <w:szCs w:val="24"/>
        </w:rPr>
      </w:pPr>
      <w:proofErr w:type="gramStart"/>
      <w:r w:rsidRPr="00AC1297">
        <w:rPr>
          <w:color w:val="1A1A1A"/>
          <w:sz w:val="24"/>
          <w:szCs w:val="24"/>
        </w:rPr>
        <w:t>Borghini, G., Rampone, E., Crispini, L., De Ferrari, R., &amp; Godard, M. (2007).</w:t>
      </w:r>
      <w:proofErr w:type="gramEnd"/>
      <w:r w:rsidRPr="00AC1297">
        <w:rPr>
          <w:color w:val="1A1A1A"/>
          <w:sz w:val="24"/>
          <w:szCs w:val="24"/>
        </w:rPr>
        <w:t xml:space="preserve"> Origin and emplacement of ultramafic–mafic intrusions in the Erro-Tobbio mantle peridotite (Ligurian Alps, Italy). </w:t>
      </w:r>
      <w:r w:rsidRPr="00AC1297">
        <w:rPr>
          <w:i/>
          <w:iCs/>
          <w:color w:val="1A1A1A"/>
          <w:sz w:val="24"/>
          <w:szCs w:val="24"/>
        </w:rPr>
        <w:t>Lithos</w:t>
      </w:r>
      <w:r w:rsidRPr="00AC1297">
        <w:rPr>
          <w:color w:val="1A1A1A"/>
          <w:sz w:val="24"/>
          <w:szCs w:val="24"/>
        </w:rPr>
        <w:t xml:space="preserve">, </w:t>
      </w:r>
      <w:r w:rsidRPr="00AC1297">
        <w:rPr>
          <w:i/>
          <w:iCs/>
          <w:color w:val="1A1A1A"/>
          <w:sz w:val="24"/>
          <w:szCs w:val="24"/>
        </w:rPr>
        <w:t>94</w:t>
      </w:r>
      <w:r w:rsidRPr="00AC1297">
        <w:rPr>
          <w:color w:val="1A1A1A"/>
          <w:sz w:val="24"/>
          <w:szCs w:val="24"/>
        </w:rPr>
        <w:t>(1), 210-229.</w:t>
      </w:r>
    </w:p>
    <w:p w14:paraId="3E5480ED" w14:textId="77777777" w:rsidR="000F4365" w:rsidRPr="00AC1297" w:rsidRDefault="000F4365" w:rsidP="00AC1297">
      <w:pPr>
        <w:widowControl w:val="0"/>
        <w:autoSpaceDE w:val="0"/>
        <w:autoSpaceDN w:val="0"/>
        <w:adjustRightInd w:val="0"/>
        <w:spacing w:after="120"/>
        <w:jc w:val="both"/>
        <w:rPr>
          <w:sz w:val="24"/>
          <w:szCs w:val="24"/>
        </w:rPr>
      </w:pPr>
      <w:proofErr w:type="gramStart"/>
      <w:r w:rsidRPr="00AC1297">
        <w:rPr>
          <w:color w:val="1A1A1A"/>
          <w:sz w:val="24"/>
          <w:szCs w:val="24"/>
        </w:rPr>
        <w:lastRenderedPageBreak/>
        <w:t>Borghini, G., Fumagalli, P., &amp; Rampone, E. (2010).</w:t>
      </w:r>
      <w:proofErr w:type="gramEnd"/>
      <w:r w:rsidRPr="00AC1297">
        <w:rPr>
          <w:color w:val="1A1A1A"/>
          <w:sz w:val="24"/>
          <w:szCs w:val="24"/>
        </w:rPr>
        <w:t xml:space="preserve"> The stability of plagioclase in the upper mantle: subsolidus experiments on fertile and depleted lherzolite.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51</w:t>
      </w:r>
      <w:r w:rsidRPr="00AC1297">
        <w:rPr>
          <w:color w:val="1A1A1A"/>
          <w:sz w:val="24"/>
          <w:szCs w:val="24"/>
        </w:rPr>
        <w:t>(1-2), 229-254.</w:t>
      </w:r>
    </w:p>
    <w:p w14:paraId="55EFF80D" w14:textId="77777777" w:rsidR="000F4365" w:rsidRPr="00AC1297" w:rsidRDefault="000F4365" w:rsidP="00AC1297">
      <w:pPr>
        <w:widowControl w:val="0"/>
        <w:autoSpaceDE w:val="0"/>
        <w:autoSpaceDN w:val="0"/>
        <w:adjustRightInd w:val="0"/>
        <w:spacing w:after="120"/>
        <w:jc w:val="both"/>
        <w:rPr>
          <w:sz w:val="24"/>
          <w:szCs w:val="24"/>
        </w:rPr>
      </w:pPr>
      <w:proofErr w:type="gramStart"/>
      <w:r w:rsidRPr="00AC1297">
        <w:rPr>
          <w:color w:val="1A1A1A"/>
          <w:sz w:val="24"/>
          <w:szCs w:val="24"/>
        </w:rPr>
        <w:t>Borghini, G., Fumagalli, P., &amp; Rampone, E. (2011).</w:t>
      </w:r>
      <w:proofErr w:type="gramEnd"/>
      <w:r w:rsidRPr="00AC1297">
        <w:rPr>
          <w:color w:val="1A1A1A"/>
          <w:sz w:val="24"/>
          <w:szCs w:val="24"/>
        </w:rPr>
        <w:t xml:space="preserve"> The geobarometric significance of plagioclase in mantle peridotites: A link between nature and experiments. </w:t>
      </w:r>
      <w:r w:rsidRPr="00AC1297">
        <w:rPr>
          <w:i/>
          <w:iCs/>
          <w:color w:val="1A1A1A"/>
          <w:sz w:val="24"/>
          <w:szCs w:val="24"/>
        </w:rPr>
        <w:t>Lithos</w:t>
      </w:r>
      <w:r w:rsidRPr="00AC1297">
        <w:rPr>
          <w:color w:val="1A1A1A"/>
          <w:sz w:val="24"/>
          <w:szCs w:val="24"/>
        </w:rPr>
        <w:t xml:space="preserve">, </w:t>
      </w:r>
      <w:r w:rsidRPr="00AC1297">
        <w:rPr>
          <w:i/>
          <w:iCs/>
          <w:color w:val="1A1A1A"/>
          <w:sz w:val="24"/>
          <w:szCs w:val="24"/>
        </w:rPr>
        <w:t>126</w:t>
      </w:r>
      <w:r w:rsidRPr="00AC1297">
        <w:rPr>
          <w:color w:val="1A1A1A"/>
          <w:sz w:val="24"/>
          <w:szCs w:val="24"/>
        </w:rPr>
        <w:t>(1), 42-53.</w:t>
      </w:r>
    </w:p>
    <w:p w14:paraId="69DF5132" w14:textId="77777777" w:rsidR="000F4365" w:rsidRPr="001F338C" w:rsidRDefault="000F4365" w:rsidP="00AC1297">
      <w:pPr>
        <w:widowControl w:val="0"/>
        <w:autoSpaceDE w:val="0"/>
        <w:autoSpaceDN w:val="0"/>
        <w:adjustRightInd w:val="0"/>
        <w:spacing w:after="120"/>
        <w:jc w:val="both"/>
        <w:rPr>
          <w:sz w:val="24"/>
          <w:szCs w:val="24"/>
          <w:lang w:val="it-IT"/>
          <w:rPrChange w:id="98" w:author="Daniele" w:date="2016-04-03T18:31:00Z">
            <w:rPr>
              <w:sz w:val="24"/>
              <w:szCs w:val="24"/>
            </w:rPr>
          </w:rPrChange>
        </w:rPr>
      </w:pPr>
      <w:proofErr w:type="gramStart"/>
      <w:r w:rsidRPr="00AC1297">
        <w:rPr>
          <w:color w:val="1A1A1A"/>
          <w:sz w:val="24"/>
          <w:szCs w:val="24"/>
        </w:rPr>
        <w:t>Brunelli, D., Paganelli, E., &amp; Seyler, M. (2014).</w:t>
      </w:r>
      <w:proofErr w:type="gramEnd"/>
      <w:r w:rsidRPr="00AC1297">
        <w:rPr>
          <w:color w:val="1A1A1A"/>
          <w:sz w:val="24"/>
          <w:szCs w:val="24"/>
        </w:rPr>
        <w:t xml:space="preserve"> Percolation of enriched melts during incremental open-system melting in the spinel field: A REE approach to abyssal peridotites from the Southwest Indian Ridge. </w:t>
      </w:r>
      <w:r w:rsidRPr="001F338C">
        <w:rPr>
          <w:i/>
          <w:iCs/>
          <w:color w:val="1A1A1A"/>
          <w:sz w:val="24"/>
          <w:szCs w:val="24"/>
          <w:lang w:val="it-IT"/>
          <w:rPrChange w:id="99" w:author="Daniele" w:date="2016-04-03T18:31:00Z">
            <w:rPr>
              <w:i/>
              <w:iCs/>
              <w:color w:val="1A1A1A"/>
              <w:sz w:val="24"/>
              <w:szCs w:val="24"/>
            </w:rPr>
          </w:rPrChange>
        </w:rPr>
        <w:t>Geochimica et Cosmochimica Acta</w:t>
      </w:r>
      <w:r w:rsidRPr="001F338C">
        <w:rPr>
          <w:color w:val="1A1A1A"/>
          <w:sz w:val="24"/>
          <w:szCs w:val="24"/>
          <w:lang w:val="it-IT"/>
          <w:rPrChange w:id="100" w:author="Daniele" w:date="2016-04-03T18:31:00Z">
            <w:rPr>
              <w:color w:val="1A1A1A"/>
              <w:sz w:val="24"/>
              <w:szCs w:val="24"/>
            </w:rPr>
          </w:rPrChange>
        </w:rPr>
        <w:t xml:space="preserve">, </w:t>
      </w:r>
      <w:r w:rsidRPr="001F338C">
        <w:rPr>
          <w:i/>
          <w:iCs/>
          <w:color w:val="1A1A1A"/>
          <w:sz w:val="24"/>
          <w:szCs w:val="24"/>
          <w:lang w:val="it-IT"/>
          <w:rPrChange w:id="101" w:author="Daniele" w:date="2016-04-03T18:31:00Z">
            <w:rPr>
              <w:i/>
              <w:iCs/>
              <w:color w:val="1A1A1A"/>
              <w:sz w:val="24"/>
              <w:szCs w:val="24"/>
            </w:rPr>
          </w:rPrChange>
        </w:rPr>
        <w:t>127</w:t>
      </w:r>
      <w:r w:rsidRPr="001F338C">
        <w:rPr>
          <w:color w:val="1A1A1A"/>
          <w:sz w:val="24"/>
          <w:szCs w:val="24"/>
          <w:lang w:val="it-IT"/>
          <w:rPrChange w:id="102" w:author="Daniele" w:date="2016-04-03T18:31:00Z">
            <w:rPr>
              <w:color w:val="1A1A1A"/>
              <w:sz w:val="24"/>
              <w:szCs w:val="24"/>
            </w:rPr>
          </w:rPrChange>
        </w:rPr>
        <w:t>, 190-203.</w:t>
      </w:r>
    </w:p>
    <w:p w14:paraId="64ABA435" w14:textId="77777777" w:rsidR="000F4365" w:rsidRPr="00AC1297" w:rsidRDefault="000F4365" w:rsidP="00AC1297">
      <w:pPr>
        <w:widowControl w:val="0"/>
        <w:autoSpaceDE w:val="0"/>
        <w:autoSpaceDN w:val="0"/>
        <w:adjustRightInd w:val="0"/>
        <w:spacing w:after="120"/>
        <w:jc w:val="both"/>
        <w:rPr>
          <w:sz w:val="24"/>
          <w:szCs w:val="24"/>
        </w:rPr>
      </w:pPr>
      <w:proofErr w:type="gramStart"/>
      <w:r w:rsidRPr="001F338C">
        <w:rPr>
          <w:sz w:val="24"/>
          <w:szCs w:val="24"/>
          <w:lang w:val="it-IT"/>
          <w:rPrChange w:id="103" w:author="Daniele" w:date="2016-04-03T18:31:00Z">
            <w:rPr>
              <w:sz w:val="24"/>
              <w:szCs w:val="24"/>
            </w:rPr>
          </w:rPrChange>
        </w:rPr>
        <w:t>Brunelli, D., Cannat, M., Paquet, M., Sforna, M., Seyler, M. (2015, December)</w:t>
      </w:r>
      <w:proofErr w:type="gramEnd"/>
      <w:r w:rsidRPr="001F338C">
        <w:rPr>
          <w:sz w:val="24"/>
          <w:szCs w:val="24"/>
          <w:lang w:val="it-IT"/>
          <w:rPrChange w:id="104" w:author="Daniele" w:date="2016-04-03T18:31:00Z">
            <w:rPr>
              <w:sz w:val="24"/>
              <w:szCs w:val="24"/>
            </w:rPr>
          </w:rPrChange>
        </w:rPr>
        <w:t xml:space="preserve">. </w:t>
      </w:r>
      <w:r w:rsidRPr="00AC1297">
        <w:rPr>
          <w:sz w:val="24"/>
          <w:szCs w:val="24"/>
        </w:rPr>
        <w:t xml:space="preserve">Sodium Inverse Relationships </w:t>
      </w:r>
      <w:proofErr w:type="gramStart"/>
      <w:r w:rsidRPr="00AC1297">
        <w:rPr>
          <w:sz w:val="24"/>
          <w:szCs w:val="24"/>
        </w:rPr>
        <w:t>During</w:t>
      </w:r>
      <w:proofErr w:type="gramEnd"/>
      <w:r w:rsidRPr="00AC1297">
        <w:rPr>
          <w:sz w:val="24"/>
          <w:szCs w:val="24"/>
        </w:rPr>
        <w:t xml:space="preserve"> Melting in Ultraslow Spreading Regions: Insights from SWIR-Smoothseafloor Peridotites. </w:t>
      </w:r>
      <w:proofErr w:type="gramStart"/>
      <w:r w:rsidRPr="00AC1297">
        <w:rPr>
          <w:i/>
          <w:sz w:val="24"/>
          <w:szCs w:val="24"/>
        </w:rPr>
        <w:t>In AGU Fall Meeting Abstracts</w:t>
      </w:r>
      <w:r w:rsidRPr="00AC1297">
        <w:rPr>
          <w:sz w:val="24"/>
          <w:szCs w:val="24"/>
        </w:rPr>
        <w:t>.</w:t>
      </w:r>
      <w:proofErr w:type="gramEnd"/>
    </w:p>
    <w:p w14:paraId="1504D962" w14:textId="27C783BC" w:rsidR="000F4365" w:rsidRDefault="000F4365" w:rsidP="00AC1297">
      <w:pPr>
        <w:widowControl w:val="0"/>
        <w:autoSpaceDE w:val="0"/>
        <w:autoSpaceDN w:val="0"/>
        <w:adjustRightInd w:val="0"/>
        <w:spacing w:after="120"/>
        <w:jc w:val="both"/>
        <w:rPr>
          <w:color w:val="1A1A1A"/>
          <w:sz w:val="24"/>
          <w:szCs w:val="24"/>
        </w:rPr>
      </w:pPr>
      <w:proofErr w:type="gramStart"/>
      <w:r w:rsidRPr="00AC1297">
        <w:rPr>
          <w:color w:val="1A1A1A"/>
          <w:sz w:val="24"/>
          <w:szCs w:val="24"/>
        </w:rPr>
        <w:t>Cannat, M., Bideau, D., &amp; Hébert, R. (1990).</w:t>
      </w:r>
      <w:proofErr w:type="gramEnd"/>
      <w:r w:rsidRPr="00AC1297">
        <w:rPr>
          <w:color w:val="1A1A1A"/>
          <w:sz w:val="24"/>
          <w:szCs w:val="24"/>
        </w:rPr>
        <w:t xml:space="preserve"> Plastic deformation and magmatic impregnation in serpentinized ultramafic rocks from the Garrett transform fault (East Pacific Rise).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101</w:t>
      </w:r>
      <w:r w:rsidRPr="00AC1297">
        <w:rPr>
          <w:color w:val="1A1A1A"/>
          <w:sz w:val="24"/>
          <w:szCs w:val="24"/>
        </w:rPr>
        <w:t>(2), 216-232.</w:t>
      </w:r>
    </w:p>
    <w:p w14:paraId="5E6F608C" w14:textId="4AB0213C" w:rsidR="008F535D" w:rsidRPr="001F338C" w:rsidRDefault="00832A61" w:rsidP="00AC1297">
      <w:pPr>
        <w:widowControl w:val="0"/>
        <w:autoSpaceDE w:val="0"/>
        <w:autoSpaceDN w:val="0"/>
        <w:adjustRightInd w:val="0"/>
        <w:spacing w:after="120"/>
        <w:jc w:val="both"/>
        <w:rPr>
          <w:rFonts w:eastAsiaTheme="minorHAnsi"/>
          <w:color w:val="1A1A1A"/>
          <w:sz w:val="24"/>
          <w:szCs w:val="26"/>
          <w:lang w:val="en-GB"/>
          <w:rPrChange w:id="105" w:author="Daniele" w:date="2016-04-03T18:31:00Z">
            <w:rPr>
              <w:rFonts w:eastAsiaTheme="minorHAnsi"/>
              <w:color w:val="1A1A1A"/>
              <w:sz w:val="24"/>
              <w:szCs w:val="26"/>
              <w:lang w:val="fr-FR"/>
            </w:rPr>
          </w:rPrChange>
        </w:rPr>
      </w:pPr>
      <w:proofErr w:type="gramStart"/>
      <w:r w:rsidRPr="001F338C">
        <w:rPr>
          <w:rFonts w:eastAsiaTheme="minorHAnsi"/>
          <w:color w:val="1A1A1A"/>
          <w:sz w:val="24"/>
          <w:szCs w:val="26"/>
          <w:lang w:val="en-GB"/>
          <w:rPrChange w:id="106" w:author="Daniele" w:date="2016-04-03T18:31:00Z">
            <w:rPr>
              <w:rFonts w:eastAsiaTheme="minorHAnsi"/>
              <w:color w:val="1A1A1A"/>
              <w:sz w:val="24"/>
              <w:szCs w:val="26"/>
              <w:lang w:val="fr-FR"/>
            </w:rPr>
          </w:rPrChange>
        </w:rPr>
        <w:t>Cannat, M. (1993).</w:t>
      </w:r>
      <w:proofErr w:type="gramEnd"/>
      <w:r w:rsidRPr="001F338C">
        <w:rPr>
          <w:rFonts w:eastAsiaTheme="minorHAnsi"/>
          <w:color w:val="1A1A1A"/>
          <w:sz w:val="24"/>
          <w:szCs w:val="26"/>
          <w:lang w:val="en-GB"/>
          <w:rPrChange w:id="107" w:author="Daniele" w:date="2016-04-03T18:31:00Z">
            <w:rPr>
              <w:rFonts w:eastAsiaTheme="minorHAnsi"/>
              <w:color w:val="1A1A1A"/>
              <w:sz w:val="24"/>
              <w:szCs w:val="26"/>
              <w:lang w:val="fr-FR"/>
            </w:rPr>
          </w:rPrChange>
        </w:rPr>
        <w:t xml:space="preserve"> </w:t>
      </w:r>
      <w:proofErr w:type="gramStart"/>
      <w:r w:rsidRPr="001F338C">
        <w:rPr>
          <w:rFonts w:eastAsiaTheme="minorHAnsi"/>
          <w:color w:val="1A1A1A"/>
          <w:sz w:val="24"/>
          <w:szCs w:val="26"/>
          <w:lang w:val="en-GB"/>
          <w:rPrChange w:id="108" w:author="Daniele" w:date="2016-04-03T18:31:00Z">
            <w:rPr>
              <w:rFonts w:eastAsiaTheme="minorHAnsi"/>
              <w:color w:val="1A1A1A"/>
              <w:sz w:val="24"/>
              <w:szCs w:val="26"/>
              <w:lang w:val="fr-FR"/>
            </w:rPr>
          </w:rPrChange>
        </w:rPr>
        <w:t>Emplacement of mantle rocks in the seafloor at mid</w:t>
      </w:r>
      <w:r w:rsidRPr="001F338C">
        <w:rPr>
          <w:rFonts w:ascii="Noteworthy Light" w:eastAsiaTheme="minorHAnsi" w:hAnsi="Noteworthy Light" w:cs="Noteworthy Light"/>
          <w:color w:val="1A1A1A"/>
          <w:sz w:val="24"/>
          <w:szCs w:val="26"/>
          <w:lang w:val="en-GB"/>
          <w:rPrChange w:id="109" w:author="Daniele" w:date="2016-04-03T18:31:00Z">
            <w:rPr>
              <w:rFonts w:ascii="Noteworthy Light" w:eastAsiaTheme="minorHAnsi" w:hAnsi="Noteworthy Light" w:cs="Noteworthy Light"/>
              <w:color w:val="1A1A1A"/>
              <w:sz w:val="24"/>
              <w:szCs w:val="26"/>
              <w:lang w:val="fr-FR"/>
            </w:rPr>
          </w:rPrChange>
        </w:rPr>
        <w:t>‐</w:t>
      </w:r>
      <w:r w:rsidRPr="001F338C">
        <w:rPr>
          <w:rFonts w:eastAsiaTheme="minorHAnsi"/>
          <w:color w:val="1A1A1A"/>
          <w:sz w:val="24"/>
          <w:szCs w:val="26"/>
          <w:lang w:val="en-GB"/>
          <w:rPrChange w:id="110" w:author="Daniele" w:date="2016-04-03T18:31:00Z">
            <w:rPr>
              <w:rFonts w:eastAsiaTheme="minorHAnsi"/>
              <w:color w:val="1A1A1A"/>
              <w:sz w:val="24"/>
              <w:szCs w:val="26"/>
              <w:lang w:val="fr-FR"/>
            </w:rPr>
          </w:rPrChange>
        </w:rPr>
        <w:t>ocean ridges.</w:t>
      </w:r>
      <w:proofErr w:type="gramEnd"/>
      <w:r w:rsidRPr="001F338C">
        <w:rPr>
          <w:rFonts w:eastAsiaTheme="minorHAnsi"/>
          <w:color w:val="1A1A1A"/>
          <w:sz w:val="24"/>
          <w:szCs w:val="26"/>
          <w:lang w:val="en-GB"/>
          <w:rPrChange w:id="111" w:author="Daniele" w:date="2016-04-03T18:31:00Z">
            <w:rPr>
              <w:rFonts w:eastAsiaTheme="minorHAnsi"/>
              <w:color w:val="1A1A1A"/>
              <w:sz w:val="24"/>
              <w:szCs w:val="26"/>
              <w:lang w:val="fr-FR"/>
            </w:rPr>
          </w:rPrChange>
        </w:rPr>
        <w:t xml:space="preserve"> </w:t>
      </w:r>
      <w:r w:rsidRPr="001F338C">
        <w:rPr>
          <w:rFonts w:eastAsiaTheme="minorHAnsi"/>
          <w:i/>
          <w:iCs/>
          <w:color w:val="1A1A1A"/>
          <w:sz w:val="24"/>
          <w:szCs w:val="26"/>
          <w:lang w:val="en-GB"/>
          <w:rPrChange w:id="112" w:author="Daniele" w:date="2016-04-03T18:31:00Z">
            <w:rPr>
              <w:rFonts w:eastAsiaTheme="minorHAnsi"/>
              <w:i/>
              <w:iCs/>
              <w:color w:val="1A1A1A"/>
              <w:sz w:val="24"/>
              <w:szCs w:val="26"/>
              <w:lang w:val="fr-FR"/>
            </w:rPr>
          </w:rPrChange>
        </w:rPr>
        <w:t>Journal of Geophysical Research: Solid Earth</w:t>
      </w:r>
      <w:r w:rsidRPr="001F338C">
        <w:rPr>
          <w:rFonts w:eastAsiaTheme="minorHAnsi"/>
          <w:color w:val="1A1A1A"/>
          <w:sz w:val="24"/>
          <w:szCs w:val="26"/>
          <w:lang w:val="en-GB"/>
          <w:rPrChange w:id="113" w:author="Daniele" w:date="2016-04-03T18:31:00Z">
            <w:rPr>
              <w:rFonts w:eastAsiaTheme="minorHAnsi"/>
              <w:color w:val="1A1A1A"/>
              <w:sz w:val="24"/>
              <w:szCs w:val="26"/>
              <w:lang w:val="fr-FR"/>
            </w:rPr>
          </w:rPrChange>
        </w:rPr>
        <w:t xml:space="preserve">, </w:t>
      </w:r>
      <w:r w:rsidRPr="001F338C">
        <w:rPr>
          <w:rFonts w:eastAsiaTheme="minorHAnsi"/>
          <w:i/>
          <w:iCs/>
          <w:color w:val="1A1A1A"/>
          <w:sz w:val="24"/>
          <w:szCs w:val="26"/>
          <w:lang w:val="en-GB"/>
          <w:rPrChange w:id="114" w:author="Daniele" w:date="2016-04-03T18:31:00Z">
            <w:rPr>
              <w:rFonts w:eastAsiaTheme="minorHAnsi"/>
              <w:i/>
              <w:iCs/>
              <w:color w:val="1A1A1A"/>
              <w:sz w:val="24"/>
              <w:szCs w:val="26"/>
              <w:lang w:val="fr-FR"/>
            </w:rPr>
          </w:rPrChange>
        </w:rPr>
        <w:t>98</w:t>
      </w:r>
      <w:r w:rsidRPr="001F338C">
        <w:rPr>
          <w:rFonts w:eastAsiaTheme="minorHAnsi"/>
          <w:color w:val="1A1A1A"/>
          <w:sz w:val="24"/>
          <w:szCs w:val="26"/>
          <w:lang w:val="en-GB"/>
          <w:rPrChange w:id="115" w:author="Daniele" w:date="2016-04-03T18:31:00Z">
            <w:rPr>
              <w:rFonts w:eastAsiaTheme="minorHAnsi"/>
              <w:color w:val="1A1A1A"/>
              <w:sz w:val="24"/>
              <w:szCs w:val="26"/>
              <w:lang w:val="fr-FR"/>
            </w:rPr>
          </w:rPrChange>
        </w:rPr>
        <w:t>(B3), 4163-4172.</w:t>
      </w:r>
    </w:p>
    <w:p w14:paraId="14377E5F" w14:textId="2C158E27" w:rsidR="000F4365" w:rsidRPr="00AC1297" w:rsidRDefault="000F4365" w:rsidP="00AC1297">
      <w:pPr>
        <w:spacing w:after="120"/>
        <w:jc w:val="both"/>
        <w:rPr>
          <w:color w:val="1A1A1A"/>
          <w:sz w:val="24"/>
          <w:szCs w:val="24"/>
        </w:rPr>
      </w:pPr>
      <w:proofErr w:type="gramStart"/>
      <w:r w:rsidRPr="00AC1297">
        <w:rPr>
          <w:color w:val="1A1A1A"/>
          <w:sz w:val="24"/>
          <w:szCs w:val="24"/>
        </w:rPr>
        <w:t>Cannat, M., &amp; Casey, J. F. (1995).</w:t>
      </w:r>
      <w:proofErr w:type="gramEnd"/>
      <w:r w:rsidRPr="00AC1297">
        <w:rPr>
          <w:color w:val="1A1A1A"/>
          <w:sz w:val="24"/>
          <w:szCs w:val="24"/>
        </w:rPr>
        <w:t xml:space="preserve"> An ultramafic lift at the Mid-Atlantic Ridge: successive stages of magmatism in serpentinized peridotites from the 15 N </w:t>
      </w:r>
      <w:proofErr w:type="gramStart"/>
      <w:r w:rsidRPr="00AC1297">
        <w:rPr>
          <w:color w:val="1A1A1A"/>
          <w:sz w:val="24"/>
          <w:szCs w:val="24"/>
        </w:rPr>
        <w:t>region</w:t>
      </w:r>
      <w:proofErr w:type="gramEnd"/>
      <w:r w:rsidRPr="00AC1297">
        <w:rPr>
          <w:color w:val="1A1A1A"/>
          <w:sz w:val="24"/>
          <w:szCs w:val="24"/>
        </w:rPr>
        <w:t xml:space="preserve">. In </w:t>
      </w:r>
      <w:r w:rsidRPr="00AC1297">
        <w:rPr>
          <w:i/>
          <w:iCs/>
          <w:color w:val="1A1A1A"/>
          <w:sz w:val="24"/>
          <w:szCs w:val="24"/>
        </w:rPr>
        <w:t>Mantle and lower crust exposed in oceanic ridges and in ophiolites</w:t>
      </w:r>
      <w:r w:rsidRPr="00AC1297">
        <w:rPr>
          <w:color w:val="1A1A1A"/>
          <w:sz w:val="24"/>
          <w:szCs w:val="24"/>
        </w:rPr>
        <w:t xml:space="preserve"> (pp. 5-34). </w:t>
      </w:r>
      <w:proofErr w:type="gramStart"/>
      <w:r w:rsidRPr="00AC1297">
        <w:rPr>
          <w:color w:val="1A1A1A"/>
          <w:sz w:val="24"/>
          <w:szCs w:val="24"/>
        </w:rPr>
        <w:t>Springer Netherlands.</w:t>
      </w:r>
      <w:proofErr w:type="gramEnd"/>
    </w:p>
    <w:p w14:paraId="4C8F0246" w14:textId="51FB3340" w:rsidR="000F4365" w:rsidRPr="00AC1297" w:rsidRDefault="000F4365" w:rsidP="00AC1297">
      <w:pPr>
        <w:spacing w:after="120"/>
        <w:jc w:val="both"/>
        <w:rPr>
          <w:color w:val="1A1A1A"/>
          <w:sz w:val="24"/>
          <w:szCs w:val="24"/>
        </w:rPr>
      </w:pPr>
      <w:r w:rsidRPr="00AC1297">
        <w:rPr>
          <w:color w:val="1A1A1A"/>
          <w:sz w:val="24"/>
          <w:szCs w:val="24"/>
        </w:rPr>
        <w:t xml:space="preserve">Cannat, M., Mevel, C., Maia, M., Deplus, C., Durand, C., Gente, P., Agrinier, P., Belarouchi, A., Dubuisson, G. Humler, E., Reynolds, J. (1995). </w:t>
      </w:r>
      <w:proofErr w:type="gramStart"/>
      <w:r w:rsidRPr="00AC1297">
        <w:rPr>
          <w:color w:val="1A1A1A"/>
          <w:sz w:val="24"/>
          <w:szCs w:val="24"/>
        </w:rPr>
        <w:t>Thin crust, ultramafic exposures, and rugged faulting patterns at the Mid-Atlantic Ridge (22–24 N).</w:t>
      </w:r>
      <w:proofErr w:type="gramEnd"/>
      <w:r w:rsidRPr="00AC1297">
        <w:rPr>
          <w:color w:val="1A1A1A"/>
          <w:sz w:val="24"/>
          <w:szCs w:val="24"/>
        </w:rPr>
        <w:t xml:space="preserve"> </w:t>
      </w:r>
      <w:r w:rsidRPr="00AC1297">
        <w:rPr>
          <w:i/>
          <w:iCs/>
          <w:color w:val="1A1A1A"/>
          <w:sz w:val="24"/>
          <w:szCs w:val="24"/>
        </w:rPr>
        <w:t>Geology</w:t>
      </w:r>
      <w:r w:rsidRPr="00AC1297">
        <w:rPr>
          <w:color w:val="1A1A1A"/>
          <w:sz w:val="24"/>
          <w:szCs w:val="24"/>
        </w:rPr>
        <w:t xml:space="preserve">, </w:t>
      </w:r>
      <w:r w:rsidRPr="00AC1297">
        <w:rPr>
          <w:i/>
          <w:iCs/>
          <w:color w:val="1A1A1A"/>
          <w:sz w:val="24"/>
          <w:szCs w:val="24"/>
        </w:rPr>
        <w:t>23</w:t>
      </w:r>
      <w:r w:rsidRPr="00AC1297">
        <w:rPr>
          <w:color w:val="1A1A1A"/>
          <w:sz w:val="24"/>
          <w:szCs w:val="24"/>
        </w:rPr>
        <w:t>(1), 49-52.</w:t>
      </w:r>
    </w:p>
    <w:p w14:paraId="169AA89F" w14:textId="2CEA0A39" w:rsidR="000F4365" w:rsidRPr="00AC1297" w:rsidRDefault="000F4365" w:rsidP="00AC1297">
      <w:pPr>
        <w:spacing w:after="120"/>
        <w:jc w:val="both"/>
        <w:rPr>
          <w:sz w:val="24"/>
          <w:szCs w:val="24"/>
        </w:rPr>
      </w:pPr>
      <w:proofErr w:type="gramStart"/>
      <w:r w:rsidRPr="00AC1297">
        <w:rPr>
          <w:sz w:val="24"/>
          <w:szCs w:val="24"/>
        </w:rPr>
        <w:t>Cannat, M., Ceuleneer, G., &amp; Fletcher, J. (1997a).</w:t>
      </w:r>
      <w:proofErr w:type="gramEnd"/>
      <w:r w:rsidRPr="00AC1297">
        <w:rPr>
          <w:sz w:val="24"/>
          <w:szCs w:val="24"/>
        </w:rPr>
        <w:t xml:space="preserve"> 5. Localization of ductile strain and the magmatic evolution of gabbroic rocks drilled at the Mid-Atlantic Ridge (23°N). </w:t>
      </w:r>
      <w:proofErr w:type="gramStart"/>
      <w:r w:rsidRPr="00AC1297">
        <w:rPr>
          <w:i/>
          <w:iCs/>
          <w:sz w:val="24"/>
          <w:szCs w:val="24"/>
        </w:rPr>
        <w:t>Proceedings of the Ocean Drilling Program, Scientific Results</w:t>
      </w:r>
      <w:r w:rsidRPr="00AC1297">
        <w:rPr>
          <w:sz w:val="24"/>
          <w:szCs w:val="24"/>
        </w:rPr>
        <w:t xml:space="preserve">, </w:t>
      </w:r>
      <w:r w:rsidRPr="00AC1297">
        <w:rPr>
          <w:i/>
          <w:iCs/>
          <w:sz w:val="24"/>
          <w:szCs w:val="24"/>
        </w:rPr>
        <w:t>153</w:t>
      </w:r>
      <w:r w:rsidRPr="00AC1297">
        <w:rPr>
          <w:sz w:val="24"/>
          <w:szCs w:val="24"/>
        </w:rPr>
        <w:t>, 77–98.</w:t>
      </w:r>
      <w:proofErr w:type="gramEnd"/>
    </w:p>
    <w:p w14:paraId="2CB7BC58" w14:textId="2996FCBB" w:rsidR="000F4365" w:rsidRPr="00AC1297" w:rsidRDefault="000F4365" w:rsidP="00AC1297">
      <w:pPr>
        <w:spacing w:after="120"/>
        <w:jc w:val="both"/>
        <w:rPr>
          <w:sz w:val="24"/>
          <w:szCs w:val="24"/>
        </w:rPr>
      </w:pPr>
      <w:proofErr w:type="gramStart"/>
      <w:r w:rsidRPr="00AC1297">
        <w:rPr>
          <w:sz w:val="24"/>
          <w:szCs w:val="24"/>
        </w:rPr>
        <w:t>Cannat, M., Chatin, F., Whitechurch, H., &amp; Ceuleneer, G. (1997b).</w:t>
      </w:r>
      <w:proofErr w:type="gramEnd"/>
      <w:r w:rsidRPr="00AC1297">
        <w:rPr>
          <w:sz w:val="24"/>
          <w:szCs w:val="24"/>
        </w:rPr>
        <w:t xml:space="preserve"> 11. Gabbroic rocks trapped in the upper mantle at the Mid-Atlantic Ridge. </w:t>
      </w:r>
      <w:proofErr w:type="gramStart"/>
      <w:r w:rsidRPr="00AC1297">
        <w:rPr>
          <w:i/>
          <w:iCs/>
          <w:sz w:val="24"/>
          <w:szCs w:val="24"/>
        </w:rPr>
        <w:t>Proceedings of the Ocean Drilling Program, Scientific Results</w:t>
      </w:r>
      <w:r w:rsidRPr="00AC1297">
        <w:rPr>
          <w:sz w:val="24"/>
          <w:szCs w:val="24"/>
        </w:rPr>
        <w:t xml:space="preserve">, </w:t>
      </w:r>
      <w:r w:rsidRPr="00AC1297">
        <w:rPr>
          <w:i/>
          <w:iCs/>
          <w:sz w:val="24"/>
          <w:szCs w:val="24"/>
        </w:rPr>
        <w:t>153</w:t>
      </w:r>
      <w:r w:rsidRPr="00AC1297">
        <w:rPr>
          <w:sz w:val="24"/>
          <w:szCs w:val="24"/>
        </w:rPr>
        <w:t>, 243–264.</w:t>
      </w:r>
      <w:proofErr w:type="gramEnd"/>
    </w:p>
    <w:p w14:paraId="5739758B" w14:textId="206A6B7A" w:rsidR="000F4365" w:rsidRPr="00AC1297" w:rsidRDefault="000F4365" w:rsidP="00AC1297">
      <w:pPr>
        <w:spacing w:after="120"/>
        <w:jc w:val="both"/>
        <w:rPr>
          <w:sz w:val="24"/>
          <w:szCs w:val="24"/>
        </w:rPr>
      </w:pPr>
      <w:r w:rsidRPr="00AC1297">
        <w:rPr>
          <w:sz w:val="24"/>
          <w:szCs w:val="24"/>
        </w:rPr>
        <w:t xml:space="preserve">Cannat, M., Rommevaux-Jestin, C., Sauter, D., Deplus, C., &amp; Mendel, V. (1999). </w:t>
      </w:r>
      <w:proofErr w:type="gramStart"/>
      <w:r w:rsidRPr="00AC1297">
        <w:rPr>
          <w:sz w:val="24"/>
          <w:szCs w:val="24"/>
        </w:rPr>
        <w:t>Formation of the axial relief at the very slow spreading Southwest Indian Ridge (49° to 69°E).</w:t>
      </w:r>
      <w:proofErr w:type="gramEnd"/>
      <w:r w:rsidRPr="00AC1297">
        <w:rPr>
          <w:sz w:val="24"/>
          <w:szCs w:val="24"/>
        </w:rPr>
        <w:t xml:space="preserve"> </w:t>
      </w:r>
      <w:r w:rsidRPr="00AC1297">
        <w:rPr>
          <w:i/>
          <w:iCs/>
          <w:sz w:val="24"/>
          <w:szCs w:val="24"/>
        </w:rPr>
        <w:t>Journal of Geophysical Research</w:t>
      </w:r>
      <w:r w:rsidRPr="00AC1297">
        <w:rPr>
          <w:sz w:val="24"/>
          <w:szCs w:val="24"/>
        </w:rPr>
        <w:t xml:space="preserve">, </w:t>
      </w:r>
      <w:r w:rsidRPr="00AC1297">
        <w:rPr>
          <w:i/>
          <w:iCs/>
          <w:sz w:val="24"/>
          <w:szCs w:val="24"/>
        </w:rPr>
        <w:t>104</w:t>
      </w:r>
      <w:r w:rsidRPr="00AC1297">
        <w:rPr>
          <w:sz w:val="24"/>
          <w:szCs w:val="24"/>
        </w:rPr>
        <w:t>(B10), 22,825–22,843.</w:t>
      </w:r>
    </w:p>
    <w:p w14:paraId="28F8444B" w14:textId="2DA9DD1F" w:rsidR="000F4365" w:rsidRPr="00AC1297" w:rsidRDefault="000F4365" w:rsidP="00AC1297">
      <w:pPr>
        <w:spacing w:after="120"/>
        <w:jc w:val="both"/>
        <w:rPr>
          <w:sz w:val="24"/>
          <w:szCs w:val="24"/>
        </w:rPr>
      </w:pPr>
      <w:proofErr w:type="gramStart"/>
      <w:r w:rsidRPr="00AC1297">
        <w:rPr>
          <w:sz w:val="24"/>
          <w:szCs w:val="24"/>
        </w:rPr>
        <w:t>Cannat, M. (2003).</w:t>
      </w:r>
      <w:proofErr w:type="gramEnd"/>
      <w:r w:rsidRPr="00AC1297">
        <w:rPr>
          <w:sz w:val="24"/>
          <w:szCs w:val="24"/>
        </w:rPr>
        <w:t xml:space="preserve"> Melt supply variations to a magma-poor ultra-slow spreading ridge (Southwest Indian Ridge 61° to 69°E). </w:t>
      </w:r>
      <w:proofErr w:type="gramStart"/>
      <w:r w:rsidRPr="00AC1297">
        <w:rPr>
          <w:i/>
          <w:iCs/>
          <w:sz w:val="24"/>
          <w:szCs w:val="24"/>
        </w:rPr>
        <w:t>Geochemistry Geophysics Geosystems</w:t>
      </w:r>
      <w:r w:rsidRPr="00AC1297">
        <w:rPr>
          <w:sz w:val="24"/>
          <w:szCs w:val="24"/>
        </w:rPr>
        <w:t xml:space="preserve">, </w:t>
      </w:r>
      <w:r w:rsidRPr="00AC1297">
        <w:rPr>
          <w:i/>
          <w:iCs/>
          <w:sz w:val="24"/>
          <w:szCs w:val="24"/>
        </w:rPr>
        <w:t>4</w:t>
      </w:r>
      <w:r w:rsidRPr="00AC1297">
        <w:rPr>
          <w:sz w:val="24"/>
          <w:szCs w:val="24"/>
        </w:rPr>
        <w:t>(8), 9104.</w:t>
      </w:r>
      <w:proofErr w:type="gramEnd"/>
      <w:r w:rsidRPr="00AC1297">
        <w:rPr>
          <w:sz w:val="24"/>
          <w:szCs w:val="24"/>
        </w:rPr>
        <w:t xml:space="preserve"> http://doi.org/10.1029/2002GC000480</w:t>
      </w:r>
    </w:p>
    <w:p w14:paraId="373F1DF5" w14:textId="6894B1C5" w:rsidR="000F4365" w:rsidRPr="001F338C" w:rsidRDefault="000F4365" w:rsidP="00AC1297">
      <w:pPr>
        <w:spacing w:after="120"/>
        <w:jc w:val="both"/>
        <w:rPr>
          <w:sz w:val="24"/>
          <w:szCs w:val="24"/>
          <w:lang w:val="fr-FR"/>
          <w:rPrChange w:id="116" w:author="Daniele" w:date="2016-04-03T18:31:00Z">
            <w:rPr>
              <w:sz w:val="24"/>
              <w:szCs w:val="24"/>
            </w:rPr>
          </w:rPrChange>
        </w:rPr>
      </w:pPr>
      <w:proofErr w:type="gramStart"/>
      <w:r w:rsidRPr="00AC1297">
        <w:rPr>
          <w:sz w:val="24"/>
          <w:szCs w:val="24"/>
        </w:rPr>
        <w:t>Cannat, M., Sauter, D., Mendel, V., Ruellan, E., Okino, K., Escartin, J., et al. (2006).</w:t>
      </w:r>
      <w:proofErr w:type="gramEnd"/>
      <w:r w:rsidRPr="00AC1297">
        <w:rPr>
          <w:sz w:val="24"/>
          <w:szCs w:val="24"/>
        </w:rPr>
        <w:t xml:space="preserve"> </w:t>
      </w:r>
      <w:proofErr w:type="gramStart"/>
      <w:r w:rsidRPr="00AC1297">
        <w:rPr>
          <w:sz w:val="24"/>
          <w:szCs w:val="24"/>
        </w:rPr>
        <w:t>Modes of seafloor generation at a melt-poor ultraslow-spreading ridge.</w:t>
      </w:r>
      <w:proofErr w:type="gramEnd"/>
      <w:r w:rsidRPr="00AC1297">
        <w:rPr>
          <w:sz w:val="24"/>
          <w:szCs w:val="24"/>
        </w:rPr>
        <w:t xml:space="preserve"> </w:t>
      </w:r>
      <w:r w:rsidRPr="001F338C">
        <w:rPr>
          <w:i/>
          <w:iCs/>
          <w:sz w:val="24"/>
          <w:szCs w:val="24"/>
          <w:lang w:val="fr-FR"/>
          <w:rPrChange w:id="117" w:author="Daniele" w:date="2016-04-03T18:31:00Z">
            <w:rPr>
              <w:i/>
              <w:iCs/>
              <w:sz w:val="24"/>
              <w:szCs w:val="24"/>
            </w:rPr>
          </w:rPrChange>
        </w:rPr>
        <w:t>Geology</w:t>
      </w:r>
      <w:r w:rsidRPr="001F338C">
        <w:rPr>
          <w:sz w:val="24"/>
          <w:szCs w:val="24"/>
          <w:lang w:val="fr-FR"/>
          <w:rPrChange w:id="118" w:author="Daniele" w:date="2016-04-03T18:31:00Z">
            <w:rPr>
              <w:sz w:val="24"/>
              <w:szCs w:val="24"/>
            </w:rPr>
          </w:rPrChange>
        </w:rPr>
        <w:t xml:space="preserve">, </w:t>
      </w:r>
      <w:r w:rsidRPr="001F338C">
        <w:rPr>
          <w:i/>
          <w:iCs/>
          <w:sz w:val="24"/>
          <w:szCs w:val="24"/>
          <w:lang w:val="fr-FR"/>
          <w:rPrChange w:id="119" w:author="Daniele" w:date="2016-04-03T18:31:00Z">
            <w:rPr>
              <w:i/>
              <w:iCs/>
              <w:sz w:val="24"/>
              <w:szCs w:val="24"/>
            </w:rPr>
          </w:rPrChange>
        </w:rPr>
        <w:t>34</w:t>
      </w:r>
      <w:r w:rsidRPr="001F338C">
        <w:rPr>
          <w:sz w:val="24"/>
          <w:szCs w:val="24"/>
          <w:lang w:val="fr-FR"/>
          <w:rPrChange w:id="120" w:author="Daniele" w:date="2016-04-03T18:31:00Z">
            <w:rPr>
              <w:sz w:val="24"/>
              <w:szCs w:val="24"/>
            </w:rPr>
          </w:rPrChange>
        </w:rPr>
        <w:t xml:space="preserve">(7), 605–608. </w:t>
      </w:r>
      <w:r w:rsidR="001F338C">
        <w:fldChar w:fldCharType="begin"/>
      </w:r>
      <w:r w:rsidR="001F338C" w:rsidRPr="001F338C">
        <w:rPr>
          <w:lang w:val="fr-FR"/>
          <w:rPrChange w:id="121" w:author="Daniele" w:date="2016-04-03T18:31:00Z">
            <w:rPr/>
          </w:rPrChange>
        </w:rPr>
        <w:instrText xml:space="preserve"> HYPERLINK "http://doi.org/10.1130/G22486.1" </w:instrText>
      </w:r>
      <w:r w:rsidR="001F338C">
        <w:fldChar w:fldCharType="separate"/>
      </w:r>
      <w:r w:rsidRPr="001F338C">
        <w:rPr>
          <w:rStyle w:val="Hyperlink"/>
          <w:sz w:val="24"/>
          <w:szCs w:val="24"/>
          <w:lang w:val="fr-FR"/>
          <w:rPrChange w:id="122" w:author="Daniele" w:date="2016-04-03T18:31:00Z">
            <w:rPr>
              <w:rStyle w:val="Hyperlink"/>
              <w:sz w:val="24"/>
              <w:szCs w:val="24"/>
            </w:rPr>
          </w:rPrChange>
        </w:rPr>
        <w:t>http://doi.org/10.1130/G22486.1</w:t>
      </w:r>
      <w:r w:rsidR="001F338C">
        <w:rPr>
          <w:rStyle w:val="Hyperlink"/>
          <w:sz w:val="24"/>
          <w:szCs w:val="24"/>
        </w:rPr>
        <w:fldChar w:fldCharType="end"/>
      </w:r>
    </w:p>
    <w:p w14:paraId="73E14100" w14:textId="37F44D55" w:rsidR="000F4365" w:rsidRDefault="000F4365" w:rsidP="00AC1297">
      <w:pPr>
        <w:spacing w:after="120"/>
        <w:jc w:val="both"/>
        <w:rPr>
          <w:sz w:val="24"/>
          <w:szCs w:val="24"/>
        </w:rPr>
      </w:pPr>
      <w:r w:rsidRPr="001F338C">
        <w:rPr>
          <w:sz w:val="24"/>
          <w:szCs w:val="24"/>
          <w:lang w:val="fr-FR"/>
          <w:rPrChange w:id="123" w:author="Daniele" w:date="2016-04-03T18:31:00Z">
            <w:rPr>
              <w:sz w:val="24"/>
              <w:szCs w:val="24"/>
            </w:rPr>
          </w:rPrChange>
        </w:rPr>
        <w:t xml:space="preserve">Cannat, M., Sauter, D., Bezos, A., Meyzen, C., Humler, E., &amp; Le Rigoleur, M. (2008). </w:t>
      </w:r>
      <w:r w:rsidRPr="00AC1297">
        <w:rPr>
          <w:sz w:val="24"/>
          <w:szCs w:val="24"/>
        </w:rPr>
        <w:t xml:space="preserve">Spreading rate, spreading obliquity, and melt supply at the ultraslow spreading Southwest Indian Ridge. </w:t>
      </w:r>
      <w:proofErr w:type="gramStart"/>
      <w:r w:rsidRPr="00AC1297">
        <w:rPr>
          <w:i/>
          <w:iCs/>
          <w:sz w:val="24"/>
          <w:szCs w:val="24"/>
        </w:rPr>
        <w:t>Geochemistry Geophysics Geosystems</w:t>
      </w:r>
      <w:r w:rsidRPr="00AC1297">
        <w:rPr>
          <w:sz w:val="24"/>
          <w:szCs w:val="24"/>
        </w:rPr>
        <w:t xml:space="preserve">, </w:t>
      </w:r>
      <w:r w:rsidRPr="00AC1297">
        <w:rPr>
          <w:i/>
          <w:iCs/>
          <w:sz w:val="24"/>
          <w:szCs w:val="24"/>
        </w:rPr>
        <w:t>9</w:t>
      </w:r>
      <w:r w:rsidRPr="00AC1297">
        <w:rPr>
          <w:sz w:val="24"/>
          <w:szCs w:val="24"/>
        </w:rPr>
        <w:t>(4), Q04002.</w:t>
      </w:r>
      <w:proofErr w:type="gramEnd"/>
      <w:r w:rsidRPr="00AC1297">
        <w:rPr>
          <w:sz w:val="24"/>
          <w:szCs w:val="24"/>
        </w:rPr>
        <w:t xml:space="preserve"> </w:t>
      </w:r>
      <w:hyperlink r:id="rId29" w:history="1">
        <w:r w:rsidR="00B86EDC" w:rsidRPr="004D4762">
          <w:rPr>
            <w:rStyle w:val="Hyperlink"/>
            <w:sz w:val="24"/>
            <w:szCs w:val="24"/>
          </w:rPr>
          <w:t>http://doi.org/10.1029/2007GC001676</w:t>
        </w:r>
      </w:hyperlink>
    </w:p>
    <w:p w14:paraId="05936CB0" w14:textId="3247848E" w:rsidR="00B86EDC" w:rsidRPr="00B86EDC" w:rsidRDefault="00B86EDC" w:rsidP="00AC1297">
      <w:pPr>
        <w:spacing w:after="120"/>
        <w:jc w:val="both"/>
        <w:rPr>
          <w:sz w:val="22"/>
          <w:szCs w:val="24"/>
        </w:rPr>
      </w:pPr>
      <w:proofErr w:type="gramStart"/>
      <w:r w:rsidRPr="001F338C">
        <w:rPr>
          <w:rFonts w:eastAsiaTheme="minorHAnsi"/>
          <w:color w:val="1A1A1A"/>
          <w:sz w:val="24"/>
          <w:szCs w:val="26"/>
          <w:lang w:val="en-GB"/>
          <w:rPrChange w:id="124" w:author="Daniele" w:date="2016-04-03T18:31:00Z">
            <w:rPr>
              <w:rFonts w:eastAsiaTheme="minorHAnsi"/>
              <w:color w:val="1A1A1A"/>
              <w:sz w:val="24"/>
              <w:szCs w:val="26"/>
              <w:lang w:val="fr-FR"/>
            </w:rPr>
          </w:rPrChange>
        </w:rPr>
        <w:lastRenderedPageBreak/>
        <w:t>Carbotte, S. M., Smith, D. K., Cannat, M., &amp; Klein, E. M. (2015).</w:t>
      </w:r>
      <w:proofErr w:type="gramEnd"/>
      <w:r w:rsidRPr="001F338C">
        <w:rPr>
          <w:rFonts w:eastAsiaTheme="minorHAnsi"/>
          <w:color w:val="1A1A1A"/>
          <w:sz w:val="24"/>
          <w:szCs w:val="26"/>
          <w:lang w:val="en-GB"/>
          <w:rPrChange w:id="125" w:author="Daniele" w:date="2016-04-03T18:31:00Z">
            <w:rPr>
              <w:rFonts w:eastAsiaTheme="minorHAnsi"/>
              <w:color w:val="1A1A1A"/>
              <w:sz w:val="24"/>
              <w:szCs w:val="26"/>
              <w:lang w:val="fr-FR"/>
            </w:rPr>
          </w:rPrChange>
        </w:rPr>
        <w:t xml:space="preserve"> Tectonic and magmatic segmentation of the Global Ocean Ridge System: a synthesis of observations. </w:t>
      </w:r>
      <w:proofErr w:type="gramStart"/>
      <w:r w:rsidRPr="001F338C">
        <w:rPr>
          <w:rFonts w:eastAsiaTheme="minorHAnsi"/>
          <w:i/>
          <w:iCs/>
          <w:color w:val="1A1A1A"/>
          <w:sz w:val="24"/>
          <w:szCs w:val="26"/>
          <w:lang w:val="en-GB"/>
          <w:rPrChange w:id="126" w:author="Daniele" w:date="2016-04-03T18:31:00Z">
            <w:rPr>
              <w:rFonts w:eastAsiaTheme="minorHAnsi"/>
              <w:i/>
              <w:iCs/>
              <w:color w:val="1A1A1A"/>
              <w:sz w:val="24"/>
              <w:szCs w:val="26"/>
              <w:lang w:val="fr-FR"/>
            </w:rPr>
          </w:rPrChange>
        </w:rPr>
        <w:t>Geological Society, London, Special Publications</w:t>
      </w:r>
      <w:r w:rsidRPr="001F338C">
        <w:rPr>
          <w:rFonts w:eastAsiaTheme="minorHAnsi"/>
          <w:color w:val="1A1A1A"/>
          <w:sz w:val="24"/>
          <w:szCs w:val="26"/>
          <w:lang w:val="en-GB"/>
          <w:rPrChange w:id="127" w:author="Daniele" w:date="2016-04-03T18:31:00Z">
            <w:rPr>
              <w:rFonts w:eastAsiaTheme="minorHAnsi"/>
              <w:color w:val="1A1A1A"/>
              <w:sz w:val="24"/>
              <w:szCs w:val="26"/>
              <w:lang w:val="fr-FR"/>
            </w:rPr>
          </w:rPrChange>
        </w:rPr>
        <w:t xml:space="preserve">, </w:t>
      </w:r>
      <w:r w:rsidRPr="001F338C">
        <w:rPr>
          <w:rFonts w:eastAsiaTheme="minorHAnsi"/>
          <w:i/>
          <w:iCs/>
          <w:color w:val="1A1A1A"/>
          <w:sz w:val="24"/>
          <w:szCs w:val="26"/>
          <w:lang w:val="en-GB"/>
          <w:rPrChange w:id="128" w:author="Daniele" w:date="2016-04-03T18:31:00Z">
            <w:rPr>
              <w:rFonts w:eastAsiaTheme="minorHAnsi"/>
              <w:i/>
              <w:iCs/>
              <w:color w:val="1A1A1A"/>
              <w:sz w:val="24"/>
              <w:szCs w:val="26"/>
              <w:lang w:val="fr-FR"/>
            </w:rPr>
          </w:rPrChange>
        </w:rPr>
        <w:t>420</w:t>
      </w:r>
      <w:r w:rsidRPr="001F338C">
        <w:rPr>
          <w:rFonts w:eastAsiaTheme="minorHAnsi"/>
          <w:color w:val="1A1A1A"/>
          <w:sz w:val="24"/>
          <w:szCs w:val="26"/>
          <w:lang w:val="en-GB"/>
          <w:rPrChange w:id="129" w:author="Daniele" w:date="2016-04-03T18:31:00Z">
            <w:rPr>
              <w:rFonts w:eastAsiaTheme="minorHAnsi"/>
              <w:color w:val="1A1A1A"/>
              <w:sz w:val="24"/>
              <w:szCs w:val="26"/>
              <w:lang w:val="fr-FR"/>
            </w:rPr>
          </w:rPrChange>
        </w:rPr>
        <w:t>, SP420-5.</w:t>
      </w:r>
      <w:proofErr w:type="gramEnd"/>
    </w:p>
    <w:p w14:paraId="22118362" w14:textId="39CF97DF" w:rsidR="000F4365" w:rsidRPr="00AC1297" w:rsidRDefault="000F4365" w:rsidP="00AC1297">
      <w:pPr>
        <w:spacing w:after="120"/>
        <w:jc w:val="both"/>
        <w:outlineLvl w:val="0"/>
        <w:rPr>
          <w:sz w:val="24"/>
          <w:szCs w:val="24"/>
        </w:rPr>
      </w:pPr>
      <w:proofErr w:type="gramStart"/>
      <w:r w:rsidRPr="00AC1297">
        <w:rPr>
          <w:color w:val="1A1A1A"/>
          <w:sz w:val="24"/>
          <w:szCs w:val="24"/>
        </w:rPr>
        <w:t>Carmichael, I. S., Turner, F. J., &amp; Verhoogen, J. (1974).</w:t>
      </w:r>
      <w:proofErr w:type="gramEnd"/>
      <w:r w:rsidRPr="00AC1297">
        <w:rPr>
          <w:color w:val="1A1A1A"/>
          <w:sz w:val="24"/>
          <w:szCs w:val="24"/>
        </w:rPr>
        <w:t xml:space="preserve"> </w:t>
      </w:r>
      <w:proofErr w:type="gramStart"/>
      <w:r w:rsidRPr="00AC1297">
        <w:rPr>
          <w:i/>
          <w:iCs/>
          <w:color w:val="1A1A1A"/>
          <w:sz w:val="24"/>
          <w:szCs w:val="24"/>
        </w:rPr>
        <w:t>Igneous petrology</w:t>
      </w:r>
      <w:r w:rsidRPr="00AC1297">
        <w:rPr>
          <w:color w:val="1A1A1A"/>
          <w:sz w:val="24"/>
          <w:szCs w:val="24"/>
        </w:rPr>
        <w:t>.</w:t>
      </w:r>
      <w:proofErr w:type="gramEnd"/>
      <w:r w:rsidRPr="00AC1297">
        <w:rPr>
          <w:color w:val="1A1A1A"/>
          <w:sz w:val="24"/>
          <w:szCs w:val="24"/>
        </w:rPr>
        <w:t xml:space="preserve"> </w:t>
      </w:r>
      <w:proofErr w:type="gramStart"/>
      <w:r w:rsidRPr="00AC1297">
        <w:rPr>
          <w:color w:val="1A1A1A"/>
          <w:sz w:val="24"/>
          <w:szCs w:val="24"/>
        </w:rPr>
        <w:t>McGraw-Hill.</w:t>
      </w:r>
      <w:proofErr w:type="gramEnd"/>
    </w:p>
    <w:p w14:paraId="14EA1BB9" w14:textId="04A7B598" w:rsidR="000F4365" w:rsidRPr="00AC1297" w:rsidRDefault="000F4365" w:rsidP="00AC1297">
      <w:pPr>
        <w:widowControl w:val="0"/>
        <w:autoSpaceDE w:val="0"/>
        <w:autoSpaceDN w:val="0"/>
        <w:adjustRightInd w:val="0"/>
        <w:spacing w:after="120"/>
        <w:jc w:val="both"/>
        <w:rPr>
          <w:sz w:val="24"/>
          <w:szCs w:val="24"/>
        </w:rPr>
      </w:pPr>
      <w:r w:rsidRPr="00AC1297">
        <w:rPr>
          <w:sz w:val="24"/>
          <w:szCs w:val="24"/>
        </w:rPr>
        <w:t xml:space="preserve">Catanzaro, E.J., Murphy, T.J., Shields, W.R., Garner, E.L., 1968. </w:t>
      </w:r>
      <w:proofErr w:type="gramStart"/>
      <w:r w:rsidRPr="00AC1297">
        <w:rPr>
          <w:sz w:val="24"/>
          <w:szCs w:val="24"/>
        </w:rPr>
        <w:t>Absolute isotopic abundance ratios of common, equal-atom, and radiogenic lead isotopic standards.</w:t>
      </w:r>
      <w:proofErr w:type="gramEnd"/>
      <w:r w:rsidRPr="00AC1297">
        <w:rPr>
          <w:sz w:val="24"/>
          <w:szCs w:val="24"/>
        </w:rPr>
        <w:t xml:space="preserve"> Journal of Research of the National Bureau</w:t>
      </w:r>
      <w:r w:rsidR="00127D27">
        <w:rPr>
          <w:sz w:val="24"/>
          <w:szCs w:val="24"/>
        </w:rPr>
        <w:t xml:space="preserve"> of Standards 72A (3), 261–267.</w:t>
      </w:r>
    </w:p>
    <w:p w14:paraId="6196637C" w14:textId="6C0217AE" w:rsidR="000F4365" w:rsidRDefault="000F4365" w:rsidP="00AC1297">
      <w:pPr>
        <w:spacing w:after="120"/>
        <w:jc w:val="both"/>
        <w:rPr>
          <w:rStyle w:val="Hyperlink"/>
          <w:sz w:val="24"/>
          <w:szCs w:val="24"/>
        </w:rPr>
      </w:pPr>
      <w:proofErr w:type="gramStart"/>
      <w:r w:rsidRPr="00AC1297">
        <w:rPr>
          <w:sz w:val="24"/>
          <w:szCs w:val="24"/>
        </w:rPr>
        <w:t>Danyushevsky, L. V., &amp; Plechov, P. (2011).</w:t>
      </w:r>
      <w:proofErr w:type="gramEnd"/>
      <w:r w:rsidRPr="00AC1297">
        <w:rPr>
          <w:sz w:val="24"/>
          <w:szCs w:val="24"/>
        </w:rPr>
        <w:t xml:space="preserve"> Petrolog3: Integrated software for modeling crystallization processes. </w:t>
      </w:r>
      <w:proofErr w:type="gramStart"/>
      <w:r w:rsidRPr="00AC1297">
        <w:rPr>
          <w:i/>
          <w:iCs/>
          <w:sz w:val="24"/>
          <w:szCs w:val="24"/>
        </w:rPr>
        <w:t>Geochemistry Geophysics Geosystems</w:t>
      </w:r>
      <w:r w:rsidRPr="00AC1297">
        <w:rPr>
          <w:sz w:val="24"/>
          <w:szCs w:val="24"/>
        </w:rPr>
        <w:t xml:space="preserve">, </w:t>
      </w:r>
      <w:r w:rsidRPr="00AC1297">
        <w:rPr>
          <w:i/>
          <w:iCs/>
          <w:sz w:val="24"/>
          <w:szCs w:val="24"/>
        </w:rPr>
        <w:t>12</w:t>
      </w:r>
      <w:r w:rsidRPr="00AC1297">
        <w:rPr>
          <w:sz w:val="24"/>
          <w:szCs w:val="24"/>
        </w:rPr>
        <w:t>(7), Q07021.</w:t>
      </w:r>
      <w:proofErr w:type="gramEnd"/>
      <w:r w:rsidRPr="00AC1297">
        <w:rPr>
          <w:sz w:val="24"/>
          <w:szCs w:val="24"/>
        </w:rPr>
        <w:t xml:space="preserve"> </w:t>
      </w:r>
      <w:hyperlink r:id="rId30" w:history="1">
        <w:r w:rsidRPr="00AC1297">
          <w:rPr>
            <w:rStyle w:val="Hyperlink"/>
            <w:sz w:val="24"/>
            <w:szCs w:val="24"/>
          </w:rPr>
          <w:t>http://doi.org/10.1029/2011GC003516</w:t>
        </w:r>
      </w:hyperlink>
    </w:p>
    <w:p w14:paraId="48815CF8" w14:textId="33FBCA96" w:rsidR="00E65E95" w:rsidRPr="001F338C" w:rsidRDefault="00E65E95" w:rsidP="00E65E95">
      <w:pPr>
        <w:widowControl w:val="0"/>
        <w:autoSpaceDE w:val="0"/>
        <w:autoSpaceDN w:val="0"/>
        <w:adjustRightInd w:val="0"/>
        <w:spacing w:after="240" w:line="200" w:lineRule="atLeast"/>
        <w:jc w:val="both"/>
        <w:rPr>
          <w:rFonts w:eastAsiaTheme="minorHAnsi"/>
          <w:sz w:val="40"/>
          <w:szCs w:val="24"/>
          <w:lang w:val="en-GB"/>
          <w:rPrChange w:id="130" w:author="Daniele" w:date="2016-04-03T18:31:00Z">
            <w:rPr>
              <w:rFonts w:eastAsiaTheme="minorHAnsi"/>
              <w:sz w:val="40"/>
              <w:szCs w:val="24"/>
              <w:lang w:val="fr-FR"/>
            </w:rPr>
          </w:rPrChange>
        </w:rPr>
      </w:pPr>
      <w:proofErr w:type="gramStart"/>
      <w:r w:rsidRPr="001F338C">
        <w:rPr>
          <w:rFonts w:eastAsiaTheme="minorHAnsi"/>
          <w:color w:val="1A1718"/>
          <w:sz w:val="24"/>
          <w:szCs w:val="16"/>
          <w:lang w:val="en-GB"/>
          <w:rPrChange w:id="131" w:author="Daniele" w:date="2016-04-03T18:31:00Z">
            <w:rPr>
              <w:rFonts w:eastAsiaTheme="minorHAnsi"/>
              <w:color w:val="1A1718"/>
              <w:sz w:val="24"/>
              <w:szCs w:val="16"/>
              <w:lang w:val="fr-FR"/>
            </w:rPr>
          </w:rPrChange>
        </w:rPr>
        <w:t>deMartin</w:t>
      </w:r>
      <w:proofErr w:type="gramEnd"/>
      <w:r w:rsidRPr="001F338C">
        <w:rPr>
          <w:rFonts w:eastAsiaTheme="minorHAnsi"/>
          <w:color w:val="1A1718"/>
          <w:sz w:val="24"/>
          <w:szCs w:val="16"/>
          <w:lang w:val="en-GB"/>
          <w:rPrChange w:id="132" w:author="Daniele" w:date="2016-04-03T18:31:00Z">
            <w:rPr>
              <w:rFonts w:eastAsiaTheme="minorHAnsi"/>
              <w:color w:val="1A1718"/>
              <w:sz w:val="24"/>
              <w:szCs w:val="16"/>
              <w:lang w:val="fr-FR"/>
            </w:rPr>
          </w:rPrChange>
        </w:rPr>
        <w:t>, B.J., Sohn, R.A., Canales, J.P., Humphris, S., 2007. Kinematics and geometry of active detachment faulting beneath the Trans-Atlantic Geotraverse (TAG) hydrothermal field on the Mid-Atlantic Ridge</w:t>
      </w:r>
      <w:proofErr w:type="gramStart"/>
      <w:r w:rsidRPr="001F338C">
        <w:rPr>
          <w:rFonts w:eastAsiaTheme="minorHAnsi"/>
          <w:color w:val="1A1718"/>
          <w:sz w:val="24"/>
          <w:szCs w:val="16"/>
          <w:lang w:val="en-GB"/>
          <w:rPrChange w:id="133" w:author="Daniele" w:date="2016-04-03T18:31:00Z">
            <w:rPr>
              <w:rFonts w:eastAsiaTheme="minorHAnsi"/>
              <w:color w:val="1A1718"/>
              <w:sz w:val="24"/>
              <w:szCs w:val="16"/>
              <w:lang w:val="fr-FR"/>
            </w:rPr>
          </w:rPrChange>
        </w:rPr>
        <w:t>:.</w:t>
      </w:r>
      <w:proofErr w:type="gramEnd"/>
      <w:r w:rsidRPr="001F338C">
        <w:rPr>
          <w:rFonts w:eastAsiaTheme="minorHAnsi"/>
          <w:color w:val="1A1718"/>
          <w:sz w:val="24"/>
          <w:szCs w:val="16"/>
          <w:lang w:val="en-GB"/>
          <w:rPrChange w:id="134" w:author="Daniele" w:date="2016-04-03T18:31:00Z">
            <w:rPr>
              <w:rFonts w:eastAsiaTheme="minorHAnsi"/>
              <w:color w:val="1A1718"/>
              <w:sz w:val="24"/>
              <w:szCs w:val="16"/>
              <w:lang w:val="fr-FR"/>
            </w:rPr>
          </w:rPrChange>
        </w:rPr>
        <w:t xml:space="preserve"> Geology 35, 711–714. </w:t>
      </w:r>
    </w:p>
    <w:p w14:paraId="6173692E" w14:textId="77777777" w:rsidR="000F4365" w:rsidRPr="00AC1297" w:rsidRDefault="000F4365" w:rsidP="00AC1297">
      <w:pPr>
        <w:widowControl w:val="0"/>
        <w:autoSpaceDE w:val="0"/>
        <w:autoSpaceDN w:val="0"/>
        <w:adjustRightInd w:val="0"/>
        <w:spacing w:after="120"/>
        <w:jc w:val="both"/>
        <w:rPr>
          <w:sz w:val="24"/>
          <w:szCs w:val="24"/>
        </w:rPr>
      </w:pPr>
      <w:proofErr w:type="gramStart"/>
      <w:r w:rsidRPr="00AC1297">
        <w:rPr>
          <w:sz w:val="24"/>
          <w:szCs w:val="24"/>
        </w:rPr>
        <w:t>Dick H. J. B. (1977) Evidence of partial melting in the Josephine Peridotite.</w:t>
      </w:r>
      <w:proofErr w:type="gramEnd"/>
      <w:r w:rsidRPr="00AC1297">
        <w:rPr>
          <w:sz w:val="24"/>
          <w:szCs w:val="24"/>
        </w:rPr>
        <w:t xml:space="preserve"> </w:t>
      </w:r>
      <w:proofErr w:type="gramStart"/>
      <w:r w:rsidRPr="00AC1297">
        <w:rPr>
          <w:sz w:val="24"/>
          <w:szCs w:val="24"/>
        </w:rPr>
        <w:t>In Magma Genesis (ed. H. J. B. Dick).</w:t>
      </w:r>
      <w:proofErr w:type="gramEnd"/>
      <w:r w:rsidRPr="00AC1297">
        <w:rPr>
          <w:sz w:val="24"/>
          <w:szCs w:val="24"/>
        </w:rPr>
        <w:t xml:space="preserve"> Oregon Department of Geology and Mineral Industries, Portland, OR, pp. 59–62.</w:t>
      </w:r>
    </w:p>
    <w:p w14:paraId="143E59F5" w14:textId="27536DF7" w:rsidR="000F4365" w:rsidRPr="00AC1297" w:rsidRDefault="000F4365" w:rsidP="00AC1297">
      <w:pPr>
        <w:spacing w:after="120"/>
        <w:jc w:val="both"/>
        <w:rPr>
          <w:i/>
          <w:sz w:val="24"/>
          <w:szCs w:val="24"/>
        </w:rPr>
      </w:pPr>
      <w:proofErr w:type="gramStart"/>
      <w:r w:rsidRPr="00AC1297">
        <w:rPr>
          <w:sz w:val="24"/>
          <w:szCs w:val="24"/>
        </w:rPr>
        <w:t>Dick, H. J. B., Fisher, R., &amp; Bryan, W. (1984).</w:t>
      </w:r>
      <w:proofErr w:type="gramEnd"/>
      <w:r w:rsidRPr="00AC1297">
        <w:rPr>
          <w:sz w:val="24"/>
          <w:szCs w:val="24"/>
        </w:rPr>
        <w:t xml:space="preserve"> </w:t>
      </w:r>
      <w:proofErr w:type="gramStart"/>
      <w:r w:rsidRPr="00AC1297">
        <w:rPr>
          <w:sz w:val="24"/>
          <w:szCs w:val="24"/>
        </w:rPr>
        <w:t>Mineralogic variability of the uppermost mantle along mid-ocean ridges.</w:t>
      </w:r>
      <w:proofErr w:type="gramEnd"/>
      <w:r w:rsidRPr="00AC1297">
        <w:rPr>
          <w:sz w:val="24"/>
          <w:szCs w:val="24"/>
        </w:rPr>
        <w:t xml:space="preserve"> </w:t>
      </w:r>
      <w:r w:rsidRPr="00AC1297">
        <w:rPr>
          <w:i/>
          <w:iCs/>
          <w:sz w:val="24"/>
          <w:szCs w:val="24"/>
        </w:rPr>
        <w:t>Earth and Planetary Science Letters</w:t>
      </w:r>
      <w:r w:rsidRPr="00AC1297">
        <w:rPr>
          <w:sz w:val="24"/>
          <w:szCs w:val="24"/>
        </w:rPr>
        <w:t xml:space="preserve">, </w:t>
      </w:r>
      <w:r w:rsidRPr="00AC1297">
        <w:rPr>
          <w:i/>
          <w:iCs/>
          <w:sz w:val="24"/>
          <w:szCs w:val="24"/>
        </w:rPr>
        <w:t>69</w:t>
      </w:r>
      <w:r w:rsidRPr="00AC1297">
        <w:rPr>
          <w:sz w:val="24"/>
          <w:szCs w:val="24"/>
        </w:rPr>
        <w:t>(1), 88–106.</w:t>
      </w:r>
    </w:p>
    <w:p w14:paraId="28E17C0B" w14:textId="46AE6B08" w:rsidR="000F4365" w:rsidRDefault="000F4365" w:rsidP="00AC1297">
      <w:pPr>
        <w:spacing w:after="120"/>
        <w:jc w:val="both"/>
        <w:rPr>
          <w:color w:val="1A1A1A"/>
          <w:sz w:val="24"/>
          <w:szCs w:val="24"/>
        </w:rPr>
      </w:pPr>
      <w:r w:rsidRPr="00AC1297">
        <w:rPr>
          <w:color w:val="1A1A1A"/>
          <w:sz w:val="24"/>
          <w:szCs w:val="24"/>
        </w:rPr>
        <w:t xml:space="preserve">Dick, H. J., Ozawa, K., Meyer, P. S., Niu, Y., Robinson, P. T., Constantin, M., Hebert, R., Maeda, J., Natland, J.H., Hirth, J.G. &amp; Mackie, S. M. (2002). 10. Primary silicate mineral chemistry of a 1.5-km section of very slow spreading lower ocean crust: ODP hole 735B, Southwest Indian ridge. </w:t>
      </w:r>
      <w:proofErr w:type="gramStart"/>
      <w:r w:rsidRPr="00AC1297">
        <w:rPr>
          <w:i/>
          <w:iCs/>
          <w:color w:val="1A1A1A"/>
          <w:sz w:val="24"/>
          <w:szCs w:val="24"/>
        </w:rPr>
        <w:t>Proceedings of the Ocean Drilling Program, Scientific Results’’, J. Natland, H. Dick, D. Miller, RP Von Herzen, eds. Online</w:t>
      </w:r>
      <w:r w:rsidRPr="00AC1297">
        <w:rPr>
          <w:color w:val="1A1A1A"/>
          <w:sz w:val="24"/>
          <w:szCs w:val="24"/>
        </w:rPr>
        <w:t>, 1-61.</w:t>
      </w:r>
      <w:proofErr w:type="gramEnd"/>
    </w:p>
    <w:p w14:paraId="31FBCAEF" w14:textId="6177E29C" w:rsidR="00832A61" w:rsidRPr="001F338C" w:rsidRDefault="00832A61" w:rsidP="00AC1297">
      <w:pPr>
        <w:spacing w:after="120"/>
        <w:jc w:val="both"/>
        <w:rPr>
          <w:rFonts w:eastAsiaTheme="minorHAnsi"/>
          <w:color w:val="1A1A1A"/>
          <w:sz w:val="24"/>
          <w:szCs w:val="26"/>
          <w:lang w:val="en-GB"/>
          <w:rPrChange w:id="135" w:author="Daniele" w:date="2016-04-03T18:31:00Z">
            <w:rPr>
              <w:rFonts w:eastAsiaTheme="minorHAnsi"/>
              <w:color w:val="1A1A1A"/>
              <w:sz w:val="24"/>
              <w:szCs w:val="26"/>
              <w:lang w:val="fr-FR"/>
            </w:rPr>
          </w:rPrChange>
        </w:rPr>
      </w:pPr>
      <w:proofErr w:type="gramStart"/>
      <w:r w:rsidRPr="001F338C">
        <w:rPr>
          <w:rFonts w:eastAsiaTheme="minorHAnsi"/>
          <w:color w:val="1A1A1A"/>
          <w:sz w:val="24"/>
          <w:szCs w:val="26"/>
          <w:lang w:val="en-GB"/>
          <w:rPrChange w:id="136" w:author="Daniele" w:date="2016-04-03T18:31:00Z">
            <w:rPr>
              <w:rFonts w:eastAsiaTheme="minorHAnsi"/>
              <w:color w:val="1A1A1A"/>
              <w:sz w:val="24"/>
              <w:szCs w:val="26"/>
              <w:lang w:val="fr-FR"/>
            </w:rPr>
          </w:rPrChange>
        </w:rPr>
        <w:t>Dick, H. J., Tivey, M. A., &amp; Tucholke, B. E. (2008).</w:t>
      </w:r>
      <w:proofErr w:type="gramEnd"/>
      <w:r w:rsidRPr="001F338C">
        <w:rPr>
          <w:rFonts w:eastAsiaTheme="minorHAnsi"/>
          <w:color w:val="1A1A1A"/>
          <w:sz w:val="24"/>
          <w:szCs w:val="26"/>
          <w:lang w:val="en-GB"/>
          <w:rPrChange w:id="137" w:author="Daniele" w:date="2016-04-03T18:31:00Z">
            <w:rPr>
              <w:rFonts w:eastAsiaTheme="minorHAnsi"/>
              <w:color w:val="1A1A1A"/>
              <w:sz w:val="24"/>
              <w:szCs w:val="26"/>
              <w:lang w:val="fr-FR"/>
            </w:rPr>
          </w:rPrChange>
        </w:rPr>
        <w:t xml:space="preserve"> Plutonic foundation of a slow</w:t>
      </w:r>
      <w:r w:rsidRPr="001F338C">
        <w:rPr>
          <w:rFonts w:ascii="Noteworthy Light" w:eastAsiaTheme="minorHAnsi" w:hAnsi="Noteworthy Light" w:cs="Noteworthy Light"/>
          <w:color w:val="1A1A1A"/>
          <w:sz w:val="24"/>
          <w:szCs w:val="26"/>
          <w:lang w:val="en-GB"/>
          <w:rPrChange w:id="138" w:author="Daniele" w:date="2016-04-03T18:31:00Z">
            <w:rPr>
              <w:rFonts w:ascii="Noteworthy Light" w:eastAsiaTheme="minorHAnsi" w:hAnsi="Noteworthy Light" w:cs="Noteworthy Light"/>
              <w:color w:val="1A1A1A"/>
              <w:sz w:val="24"/>
              <w:szCs w:val="26"/>
              <w:lang w:val="fr-FR"/>
            </w:rPr>
          </w:rPrChange>
        </w:rPr>
        <w:t>‐</w:t>
      </w:r>
      <w:r w:rsidRPr="001F338C">
        <w:rPr>
          <w:rFonts w:eastAsiaTheme="minorHAnsi"/>
          <w:color w:val="1A1A1A"/>
          <w:sz w:val="24"/>
          <w:szCs w:val="26"/>
          <w:lang w:val="en-GB"/>
          <w:rPrChange w:id="139" w:author="Daniele" w:date="2016-04-03T18:31:00Z">
            <w:rPr>
              <w:rFonts w:eastAsiaTheme="minorHAnsi"/>
              <w:color w:val="1A1A1A"/>
              <w:sz w:val="24"/>
              <w:szCs w:val="26"/>
              <w:lang w:val="fr-FR"/>
            </w:rPr>
          </w:rPrChange>
        </w:rPr>
        <w:t xml:space="preserve">spreading ridge segment: Oceanic core complex at Kane Megamullion, 23°30′ N, 45°20′ W. </w:t>
      </w:r>
      <w:r w:rsidRPr="001F338C">
        <w:rPr>
          <w:rFonts w:eastAsiaTheme="minorHAnsi"/>
          <w:i/>
          <w:iCs/>
          <w:color w:val="1A1A1A"/>
          <w:sz w:val="24"/>
          <w:szCs w:val="26"/>
          <w:lang w:val="en-GB"/>
          <w:rPrChange w:id="140" w:author="Daniele" w:date="2016-04-03T18:31:00Z">
            <w:rPr>
              <w:rFonts w:eastAsiaTheme="minorHAnsi"/>
              <w:i/>
              <w:iCs/>
              <w:color w:val="1A1A1A"/>
              <w:sz w:val="24"/>
              <w:szCs w:val="26"/>
              <w:lang w:val="fr-FR"/>
            </w:rPr>
          </w:rPrChange>
        </w:rPr>
        <w:t>Geochemistry, Geophysics, Geosystems</w:t>
      </w:r>
      <w:r w:rsidRPr="001F338C">
        <w:rPr>
          <w:rFonts w:eastAsiaTheme="minorHAnsi"/>
          <w:color w:val="1A1A1A"/>
          <w:sz w:val="24"/>
          <w:szCs w:val="26"/>
          <w:lang w:val="en-GB"/>
          <w:rPrChange w:id="141" w:author="Daniele" w:date="2016-04-03T18:31:00Z">
            <w:rPr>
              <w:rFonts w:eastAsiaTheme="minorHAnsi"/>
              <w:color w:val="1A1A1A"/>
              <w:sz w:val="24"/>
              <w:szCs w:val="26"/>
              <w:lang w:val="fr-FR"/>
            </w:rPr>
          </w:rPrChange>
        </w:rPr>
        <w:t xml:space="preserve">, </w:t>
      </w:r>
      <w:r w:rsidRPr="001F338C">
        <w:rPr>
          <w:rFonts w:eastAsiaTheme="minorHAnsi"/>
          <w:i/>
          <w:iCs/>
          <w:color w:val="1A1A1A"/>
          <w:sz w:val="24"/>
          <w:szCs w:val="26"/>
          <w:lang w:val="en-GB"/>
          <w:rPrChange w:id="142" w:author="Daniele" w:date="2016-04-03T18:31:00Z">
            <w:rPr>
              <w:rFonts w:eastAsiaTheme="minorHAnsi"/>
              <w:i/>
              <w:iCs/>
              <w:color w:val="1A1A1A"/>
              <w:sz w:val="24"/>
              <w:szCs w:val="26"/>
              <w:lang w:val="fr-FR"/>
            </w:rPr>
          </w:rPrChange>
        </w:rPr>
        <w:t>9</w:t>
      </w:r>
      <w:r w:rsidRPr="001F338C">
        <w:rPr>
          <w:rFonts w:eastAsiaTheme="minorHAnsi"/>
          <w:color w:val="1A1A1A"/>
          <w:sz w:val="24"/>
          <w:szCs w:val="26"/>
          <w:lang w:val="en-GB"/>
          <w:rPrChange w:id="143" w:author="Daniele" w:date="2016-04-03T18:31:00Z">
            <w:rPr>
              <w:rFonts w:eastAsiaTheme="minorHAnsi"/>
              <w:color w:val="1A1A1A"/>
              <w:sz w:val="24"/>
              <w:szCs w:val="26"/>
              <w:lang w:val="fr-FR"/>
            </w:rPr>
          </w:rPrChange>
        </w:rPr>
        <w:t>(5).</w:t>
      </w:r>
    </w:p>
    <w:p w14:paraId="280A4EA5" w14:textId="23A50805" w:rsidR="000F4365" w:rsidRPr="00AC1297" w:rsidRDefault="000F4365" w:rsidP="00AC1297">
      <w:pPr>
        <w:spacing w:after="120"/>
        <w:jc w:val="both"/>
        <w:rPr>
          <w:i/>
          <w:sz w:val="24"/>
          <w:szCs w:val="24"/>
        </w:rPr>
      </w:pPr>
      <w:proofErr w:type="gramStart"/>
      <w:r w:rsidRPr="00AC1297">
        <w:rPr>
          <w:sz w:val="24"/>
          <w:szCs w:val="24"/>
        </w:rPr>
        <w:t>Dick, H. J. B., Lissenberg, C. J., &amp; Warren, J. M. (2010).</w:t>
      </w:r>
      <w:proofErr w:type="gramEnd"/>
      <w:r w:rsidRPr="00AC1297">
        <w:rPr>
          <w:sz w:val="24"/>
          <w:szCs w:val="24"/>
        </w:rPr>
        <w:t xml:space="preserve"> Mantle Melting, Melt Transport, and Delivery Beneath a Slow-Spreading Ridge: The Paleo-MAR from 23 15'N to 23 45'N. </w:t>
      </w:r>
      <w:r w:rsidRPr="00AC1297">
        <w:rPr>
          <w:i/>
          <w:iCs/>
          <w:sz w:val="24"/>
          <w:szCs w:val="24"/>
        </w:rPr>
        <w:t>Journal of Petrology</w:t>
      </w:r>
      <w:r w:rsidRPr="00AC1297">
        <w:rPr>
          <w:sz w:val="24"/>
          <w:szCs w:val="24"/>
        </w:rPr>
        <w:t xml:space="preserve">, </w:t>
      </w:r>
      <w:r w:rsidRPr="00AC1297">
        <w:rPr>
          <w:i/>
          <w:iCs/>
          <w:sz w:val="24"/>
          <w:szCs w:val="24"/>
        </w:rPr>
        <w:t>51</w:t>
      </w:r>
      <w:r w:rsidRPr="00AC1297">
        <w:rPr>
          <w:sz w:val="24"/>
          <w:szCs w:val="24"/>
        </w:rPr>
        <w:t>(1-2), 425–467. http://doi.org/10.1093/petrology/egp088</w:t>
      </w:r>
    </w:p>
    <w:p w14:paraId="47BE016F" w14:textId="1CEBBC59" w:rsidR="000F4365" w:rsidRDefault="000F4365" w:rsidP="00AC1297">
      <w:pPr>
        <w:spacing w:after="120"/>
        <w:jc w:val="both"/>
        <w:rPr>
          <w:color w:val="1A1A1A"/>
          <w:sz w:val="24"/>
          <w:szCs w:val="24"/>
        </w:rPr>
      </w:pPr>
      <w:proofErr w:type="gramStart"/>
      <w:r w:rsidRPr="00AC1297">
        <w:rPr>
          <w:color w:val="1A1A1A"/>
          <w:sz w:val="24"/>
          <w:szCs w:val="24"/>
        </w:rPr>
        <w:t>Drouin, M., Godard, M., Ildefonse, B., Bruguier, O., &amp; Garrido, C. J. (2009).</w:t>
      </w:r>
      <w:proofErr w:type="gramEnd"/>
      <w:r w:rsidRPr="00AC1297">
        <w:rPr>
          <w:color w:val="1A1A1A"/>
          <w:sz w:val="24"/>
          <w:szCs w:val="24"/>
        </w:rPr>
        <w:t xml:space="preserve"> </w:t>
      </w:r>
      <w:proofErr w:type="gramStart"/>
      <w:r w:rsidRPr="00AC1297">
        <w:rPr>
          <w:color w:val="1A1A1A"/>
          <w:sz w:val="24"/>
          <w:szCs w:val="24"/>
        </w:rPr>
        <w:t>Geochemical and petrographic evidence for magmatic impregnation in the oceanic lithosphere at Atlantis Massif, Mid-Atlantic Ridge (IODP Hole U1309D, 30 N).</w:t>
      </w:r>
      <w:proofErr w:type="gramEnd"/>
      <w:r w:rsidRPr="00AC1297">
        <w:rPr>
          <w:color w:val="1A1A1A"/>
          <w:sz w:val="24"/>
          <w:szCs w:val="24"/>
        </w:rPr>
        <w:t xml:space="preserve"> </w:t>
      </w:r>
      <w:r w:rsidRPr="00AC1297">
        <w:rPr>
          <w:i/>
          <w:iCs/>
          <w:color w:val="1A1A1A"/>
          <w:sz w:val="24"/>
          <w:szCs w:val="24"/>
        </w:rPr>
        <w:t>Chemical Geology</w:t>
      </w:r>
      <w:r w:rsidRPr="00AC1297">
        <w:rPr>
          <w:color w:val="1A1A1A"/>
          <w:sz w:val="24"/>
          <w:szCs w:val="24"/>
        </w:rPr>
        <w:t xml:space="preserve">, </w:t>
      </w:r>
      <w:r w:rsidRPr="00AC1297">
        <w:rPr>
          <w:i/>
          <w:iCs/>
          <w:color w:val="1A1A1A"/>
          <w:sz w:val="24"/>
          <w:szCs w:val="24"/>
        </w:rPr>
        <w:t>264</w:t>
      </w:r>
      <w:r w:rsidRPr="00AC1297">
        <w:rPr>
          <w:color w:val="1A1A1A"/>
          <w:sz w:val="24"/>
          <w:szCs w:val="24"/>
        </w:rPr>
        <w:t>(1), 71-88.</w:t>
      </w:r>
    </w:p>
    <w:p w14:paraId="75C61776" w14:textId="641101F1" w:rsidR="0034485E" w:rsidRPr="0034485E" w:rsidRDefault="0034485E" w:rsidP="00AC1297">
      <w:pPr>
        <w:spacing w:after="120"/>
        <w:jc w:val="both"/>
        <w:rPr>
          <w:i/>
          <w:sz w:val="22"/>
          <w:szCs w:val="24"/>
        </w:rPr>
      </w:pPr>
      <w:r w:rsidRPr="001F338C">
        <w:rPr>
          <w:rFonts w:eastAsiaTheme="minorHAnsi"/>
          <w:color w:val="1A1A1A"/>
          <w:sz w:val="24"/>
          <w:szCs w:val="26"/>
          <w:lang w:val="en-GB"/>
          <w:rPrChange w:id="144" w:author="Daniele" w:date="2016-04-03T18:31:00Z">
            <w:rPr>
              <w:rFonts w:eastAsiaTheme="minorHAnsi"/>
              <w:color w:val="1A1A1A"/>
              <w:sz w:val="24"/>
              <w:szCs w:val="26"/>
              <w:lang w:val="fr-FR"/>
            </w:rPr>
          </w:rPrChange>
        </w:rPr>
        <w:t xml:space="preserve">Escartin, J., Smith, D. K., Cann, J., Schouten, H., Langmuir, C. H., &amp; Escrig, S. (2008). Central role of detachment faults in accretion of slow-spreading oceanic lithosphere. </w:t>
      </w:r>
      <w:r w:rsidRPr="001F338C">
        <w:rPr>
          <w:rFonts w:eastAsiaTheme="minorHAnsi"/>
          <w:i/>
          <w:iCs/>
          <w:color w:val="1A1A1A"/>
          <w:sz w:val="24"/>
          <w:szCs w:val="26"/>
          <w:lang w:val="en-GB"/>
          <w:rPrChange w:id="145" w:author="Daniele" w:date="2016-04-03T18:31:00Z">
            <w:rPr>
              <w:rFonts w:eastAsiaTheme="minorHAnsi"/>
              <w:i/>
              <w:iCs/>
              <w:color w:val="1A1A1A"/>
              <w:sz w:val="24"/>
              <w:szCs w:val="26"/>
              <w:lang w:val="fr-FR"/>
            </w:rPr>
          </w:rPrChange>
        </w:rPr>
        <w:t>Nature</w:t>
      </w:r>
      <w:r w:rsidRPr="001F338C">
        <w:rPr>
          <w:rFonts w:eastAsiaTheme="minorHAnsi"/>
          <w:color w:val="1A1A1A"/>
          <w:sz w:val="24"/>
          <w:szCs w:val="26"/>
          <w:lang w:val="en-GB"/>
          <w:rPrChange w:id="146" w:author="Daniele" w:date="2016-04-03T18:31:00Z">
            <w:rPr>
              <w:rFonts w:eastAsiaTheme="minorHAnsi"/>
              <w:color w:val="1A1A1A"/>
              <w:sz w:val="24"/>
              <w:szCs w:val="26"/>
              <w:lang w:val="fr-FR"/>
            </w:rPr>
          </w:rPrChange>
        </w:rPr>
        <w:t xml:space="preserve">, </w:t>
      </w:r>
      <w:r w:rsidRPr="001F338C">
        <w:rPr>
          <w:rFonts w:eastAsiaTheme="minorHAnsi"/>
          <w:i/>
          <w:iCs/>
          <w:color w:val="1A1A1A"/>
          <w:sz w:val="24"/>
          <w:szCs w:val="26"/>
          <w:lang w:val="en-GB"/>
          <w:rPrChange w:id="147" w:author="Daniele" w:date="2016-04-03T18:31:00Z">
            <w:rPr>
              <w:rFonts w:eastAsiaTheme="minorHAnsi"/>
              <w:i/>
              <w:iCs/>
              <w:color w:val="1A1A1A"/>
              <w:sz w:val="24"/>
              <w:szCs w:val="26"/>
              <w:lang w:val="fr-FR"/>
            </w:rPr>
          </w:rPrChange>
        </w:rPr>
        <w:t>455</w:t>
      </w:r>
      <w:r w:rsidRPr="001F338C">
        <w:rPr>
          <w:rFonts w:eastAsiaTheme="minorHAnsi"/>
          <w:color w:val="1A1A1A"/>
          <w:sz w:val="24"/>
          <w:szCs w:val="26"/>
          <w:lang w:val="en-GB"/>
          <w:rPrChange w:id="148" w:author="Daniele" w:date="2016-04-03T18:31:00Z">
            <w:rPr>
              <w:rFonts w:eastAsiaTheme="minorHAnsi"/>
              <w:color w:val="1A1A1A"/>
              <w:sz w:val="24"/>
              <w:szCs w:val="26"/>
              <w:lang w:val="fr-FR"/>
            </w:rPr>
          </w:rPrChange>
        </w:rPr>
        <w:t>(7214), 790-794.</w:t>
      </w:r>
    </w:p>
    <w:p w14:paraId="2F45301F" w14:textId="1AA55D3A" w:rsidR="000F4365" w:rsidRPr="00AC1297" w:rsidRDefault="000F4365" w:rsidP="00AC1297">
      <w:pPr>
        <w:spacing w:after="120"/>
        <w:jc w:val="both"/>
        <w:rPr>
          <w:i/>
          <w:sz w:val="24"/>
          <w:szCs w:val="24"/>
        </w:rPr>
      </w:pPr>
      <w:proofErr w:type="gramStart"/>
      <w:r w:rsidRPr="00AC1297">
        <w:rPr>
          <w:color w:val="1A1A1A"/>
          <w:sz w:val="24"/>
          <w:szCs w:val="24"/>
        </w:rPr>
        <w:t>Fialko, Y. A., &amp; Rubin, A. M. (1998).</w:t>
      </w:r>
      <w:proofErr w:type="gramEnd"/>
      <w:r w:rsidRPr="00AC1297">
        <w:rPr>
          <w:color w:val="1A1A1A"/>
          <w:sz w:val="24"/>
          <w:szCs w:val="24"/>
        </w:rPr>
        <w:t xml:space="preserve"> Thermodynamics of lateral dike propagation: Implications for crustal accretion at slow spreading mid</w:t>
      </w:r>
      <w:r w:rsidRPr="00AC1297">
        <w:rPr>
          <w:rFonts w:ascii="Noteworthy Light" w:hAnsi="Noteworthy Light" w:cs="Noteworthy Light"/>
          <w:color w:val="1A1A1A"/>
          <w:sz w:val="24"/>
          <w:szCs w:val="24"/>
        </w:rPr>
        <w:t>‐</w:t>
      </w:r>
      <w:r w:rsidRPr="00AC1297">
        <w:rPr>
          <w:color w:val="1A1A1A"/>
          <w:sz w:val="24"/>
          <w:szCs w:val="24"/>
        </w:rPr>
        <w:t xml:space="preserve">ocean ridges.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103</w:t>
      </w:r>
      <w:r w:rsidRPr="00AC1297">
        <w:rPr>
          <w:color w:val="1A1A1A"/>
          <w:sz w:val="24"/>
          <w:szCs w:val="24"/>
        </w:rPr>
        <w:t>(B2), 2501-2514.</w:t>
      </w:r>
    </w:p>
    <w:p w14:paraId="0811AC43" w14:textId="54F64B11" w:rsidR="000F4365" w:rsidRPr="00AC1297" w:rsidRDefault="000F4365" w:rsidP="00AC1297">
      <w:pPr>
        <w:spacing w:after="120"/>
        <w:jc w:val="both"/>
        <w:rPr>
          <w:sz w:val="24"/>
          <w:szCs w:val="24"/>
        </w:rPr>
      </w:pPr>
      <w:proofErr w:type="gramStart"/>
      <w:r w:rsidRPr="00AC1297">
        <w:rPr>
          <w:color w:val="1A1A1A"/>
          <w:sz w:val="24"/>
          <w:szCs w:val="24"/>
        </w:rPr>
        <w:lastRenderedPageBreak/>
        <w:t>Gale, A., Laubier, M., Escrig, S., &amp; Langmuir, C. H. (2013).</w:t>
      </w:r>
      <w:proofErr w:type="gramEnd"/>
      <w:r w:rsidRPr="00AC1297">
        <w:rPr>
          <w:color w:val="1A1A1A"/>
          <w:sz w:val="24"/>
          <w:szCs w:val="24"/>
        </w:rPr>
        <w:t xml:space="preserve"> Constraints on melting processes and plume-ridge interaction from comprehensive study of the FAMOUS and North Famous segments, Mid-Atlantic Ridge.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365</w:t>
      </w:r>
      <w:r w:rsidRPr="00AC1297">
        <w:rPr>
          <w:color w:val="1A1A1A"/>
          <w:sz w:val="24"/>
          <w:szCs w:val="24"/>
        </w:rPr>
        <w:t>, 209-220.</w:t>
      </w:r>
    </w:p>
    <w:p w14:paraId="0A588195" w14:textId="07AAB295" w:rsidR="000F4365" w:rsidRPr="00AC1297" w:rsidRDefault="000F4365" w:rsidP="00AC1297">
      <w:pPr>
        <w:spacing w:after="120"/>
        <w:jc w:val="both"/>
        <w:rPr>
          <w:i/>
          <w:sz w:val="24"/>
          <w:szCs w:val="24"/>
        </w:rPr>
      </w:pPr>
      <w:proofErr w:type="gramStart"/>
      <w:r w:rsidRPr="00AC1297">
        <w:rPr>
          <w:color w:val="1A1A1A"/>
          <w:sz w:val="24"/>
          <w:szCs w:val="24"/>
        </w:rPr>
        <w:t>Gale, A., Langmuir, C. H., &amp; Dalton, C. A. (2014).</w:t>
      </w:r>
      <w:proofErr w:type="gramEnd"/>
      <w:r w:rsidRPr="00AC1297">
        <w:rPr>
          <w:color w:val="1A1A1A"/>
          <w:sz w:val="24"/>
          <w:szCs w:val="24"/>
        </w:rPr>
        <w:t xml:space="preserve"> </w:t>
      </w:r>
      <w:proofErr w:type="gramStart"/>
      <w:r w:rsidRPr="00AC1297">
        <w:rPr>
          <w:color w:val="1A1A1A"/>
          <w:sz w:val="24"/>
          <w:szCs w:val="24"/>
        </w:rPr>
        <w:t>The global systematics of ocean ridge basalts and their origin.</w:t>
      </w:r>
      <w:proofErr w:type="gramEnd"/>
      <w:r w:rsidRPr="00AC1297">
        <w:rPr>
          <w:color w:val="1A1A1A"/>
          <w:sz w:val="24"/>
          <w:szCs w:val="24"/>
        </w:rPr>
        <w:t xml:space="preserve">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55</w:t>
      </w:r>
      <w:r w:rsidRPr="00AC1297">
        <w:rPr>
          <w:color w:val="1A1A1A"/>
          <w:sz w:val="24"/>
          <w:szCs w:val="24"/>
        </w:rPr>
        <w:t>(6), 1051-1082.</w:t>
      </w:r>
    </w:p>
    <w:p w14:paraId="5EDE68C6" w14:textId="3A91A4B8" w:rsidR="000F4365" w:rsidRPr="00AC1297" w:rsidRDefault="000F4365" w:rsidP="00AC1297">
      <w:pPr>
        <w:spacing w:after="120"/>
        <w:jc w:val="both"/>
        <w:rPr>
          <w:i/>
          <w:sz w:val="24"/>
          <w:szCs w:val="24"/>
        </w:rPr>
      </w:pPr>
      <w:proofErr w:type="gramStart"/>
      <w:r w:rsidRPr="00AC1297">
        <w:rPr>
          <w:color w:val="1A1A1A"/>
          <w:sz w:val="24"/>
          <w:szCs w:val="24"/>
        </w:rPr>
        <w:t>Ghose, I., Cannat, M., &amp; Seyler, M. (1996).</w:t>
      </w:r>
      <w:proofErr w:type="gramEnd"/>
      <w:r w:rsidRPr="00AC1297">
        <w:rPr>
          <w:color w:val="1A1A1A"/>
          <w:sz w:val="24"/>
          <w:szCs w:val="24"/>
        </w:rPr>
        <w:t xml:space="preserve"> Transform fault effect on mantle melting in the MARK area (Mid-Atlantic Ridge south of the Kane transform). </w:t>
      </w:r>
      <w:r w:rsidRPr="00AC1297">
        <w:rPr>
          <w:i/>
          <w:iCs/>
          <w:color w:val="1A1A1A"/>
          <w:sz w:val="24"/>
          <w:szCs w:val="24"/>
        </w:rPr>
        <w:t>Geology</w:t>
      </w:r>
      <w:r w:rsidRPr="00AC1297">
        <w:rPr>
          <w:color w:val="1A1A1A"/>
          <w:sz w:val="24"/>
          <w:szCs w:val="24"/>
        </w:rPr>
        <w:t xml:space="preserve">, </w:t>
      </w:r>
      <w:r w:rsidRPr="00AC1297">
        <w:rPr>
          <w:i/>
          <w:iCs/>
          <w:color w:val="1A1A1A"/>
          <w:sz w:val="24"/>
          <w:szCs w:val="24"/>
        </w:rPr>
        <w:t>24</w:t>
      </w:r>
      <w:r w:rsidRPr="00AC1297">
        <w:rPr>
          <w:color w:val="1A1A1A"/>
          <w:sz w:val="24"/>
          <w:szCs w:val="24"/>
        </w:rPr>
        <w:t>(12), 1139-1142.</w:t>
      </w:r>
    </w:p>
    <w:p w14:paraId="1271884E" w14:textId="3D41E8C1" w:rsidR="000F4365" w:rsidRPr="00AC1297" w:rsidRDefault="000F4365" w:rsidP="00AC1297">
      <w:pPr>
        <w:spacing w:after="120"/>
        <w:jc w:val="both"/>
        <w:rPr>
          <w:i/>
          <w:sz w:val="24"/>
          <w:szCs w:val="24"/>
        </w:rPr>
      </w:pPr>
      <w:r w:rsidRPr="00AC1297">
        <w:rPr>
          <w:color w:val="1A1A1A"/>
          <w:sz w:val="24"/>
          <w:szCs w:val="24"/>
        </w:rPr>
        <w:t>Godard, M., Awaji, S., Hansen, H., Hellebrand, E., Brunelli, D., Johnson, K</w:t>
      </w:r>
      <w:proofErr w:type="gramStart"/>
      <w:r w:rsidRPr="00AC1297">
        <w:rPr>
          <w:color w:val="1A1A1A"/>
          <w:sz w:val="24"/>
          <w:szCs w:val="24"/>
        </w:rPr>
        <w:t>., ...</w:t>
      </w:r>
      <w:proofErr w:type="gramEnd"/>
      <w:r w:rsidRPr="00AC1297">
        <w:rPr>
          <w:color w:val="1A1A1A"/>
          <w:sz w:val="24"/>
          <w:szCs w:val="24"/>
        </w:rPr>
        <w:t xml:space="preserve"> &amp; Kato, Y. (2009). Geochemistry of a long in-situ section of intrusive slow-spread oceanic lithosphere: Results from IODP Site U1309 (Atlantis Massif, 30°N Mid-Atlantic-Ridge).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279</w:t>
      </w:r>
      <w:r w:rsidRPr="00AC1297">
        <w:rPr>
          <w:color w:val="1A1A1A"/>
          <w:sz w:val="24"/>
          <w:szCs w:val="24"/>
        </w:rPr>
        <w:t>(1), 110-122.</w:t>
      </w:r>
    </w:p>
    <w:p w14:paraId="5A19F022" w14:textId="248B0629" w:rsidR="000F4365" w:rsidRPr="00AC1297" w:rsidRDefault="000F4365" w:rsidP="00AC1297">
      <w:pPr>
        <w:spacing w:after="120"/>
        <w:jc w:val="both"/>
        <w:rPr>
          <w:color w:val="1A1A1A"/>
          <w:sz w:val="24"/>
          <w:szCs w:val="24"/>
        </w:rPr>
      </w:pPr>
      <w:proofErr w:type="gramStart"/>
      <w:r w:rsidRPr="00AC1297">
        <w:rPr>
          <w:color w:val="1A1A1A"/>
          <w:sz w:val="24"/>
          <w:szCs w:val="24"/>
        </w:rPr>
        <w:t>Grove, T. L., Kinzler, R. J., &amp; Bryan, W. B. (1993).</w:t>
      </w:r>
      <w:proofErr w:type="gramEnd"/>
      <w:r w:rsidRPr="00AC1297">
        <w:rPr>
          <w:color w:val="1A1A1A"/>
          <w:sz w:val="24"/>
          <w:szCs w:val="24"/>
        </w:rPr>
        <w:t xml:space="preserve"> </w:t>
      </w:r>
      <w:proofErr w:type="gramStart"/>
      <w:r w:rsidRPr="00AC1297">
        <w:rPr>
          <w:color w:val="1A1A1A"/>
          <w:sz w:val="24"/>
          <w:szCs w:val="24"/>
        </w:rPr>
        <w:t>Fractionation of mid</w:t>
      </w:r>
      <w:r w:rsidRPr="00AC1297">
        <w:rPr>
          <w:rFonts w:ascii="Noteworthy Light" w:hAnsi="Noteworthy Light" w:cs="Noteworthy Light"/>
          <w:color w:val="1A1A1A"/>
          <w:sz w:val="24"/>
          <w:szCs w:val="24"/>
        </w:rPr>
        <w:t>‐</w:t>
      </w:r>
      <w:r w:rsidRPr="00AC1297">
        <w:rPr>
          <w:color w:val="1A1A1A"/>
          <w:sz w:val="24"/>
          <w:szCs w:val="24"/>
        </w:rPr>
        <w:t>ocean ridge basalt (MORB).</w:t>
      </w:r>
      <w:proofErr w:type="gramEnd"/>
      <w:r w:rsidRPr="00AC1297">
        <w:rPr>
          <w:color w:val="1A1A1A"/>
          <w:sz w:val="24"/>
          <w:szCs w:val="24"/>
        </w:rPr>
        <w:t xml:space="preserve"> </w:t>
      </w:r>
      <w:proofErr w:type="gramStart"/>
      <w:r w:rsidRPr="00AC1297">
        <w:rPr>
          <w:sz w:val="24"/>
          <w:szCs w:val="24"/>
        </w:rPr>
        <w:t>in</w:t>
      </w:r>
      <w:proofErr w:type="gramEnd"/>
      <w:r w:rsidRPr="00AC1297">
        <w:rPr>
          <w:sz w:val="24"/>
          <w:szCs w:val="24"/>
        </w:rPr>
        <w:t xml:space="preserve">: J.P Morgan, D.K. Blackman, J.M. Sinton (Eds.), Mantle Flow and Melt Generation at Mid-ocean Ridges, Geophys. </w:t>
      </w:r>
      <w:proofErr w:type="gramStart"/>
      <w:r w:rsidRPr="00AC1297">
        <w:rPr>
          <w:sz w:val="24"/>
          <w:szCs w:val="24"/>
        </w:rPr>
        <w:t>Monogr.</w:t>
      </w:r>
      <w:proofErr w:type="gramEnd"/>
      <w:r w:rsidRPr="00AC1297">
        <w:rPr>
          <w:sz w:val="24"/>
          <w:szCs w:val="24"/>
        </w:rPr>
        <w:t xml:space="preserve"> Ser., vol. 71, AGU, Washington, DC, pp. </w:t>
      </w:r>
      <w:r w:rsidRPr="00AC1297">
        <w:rPr>
          <w:color w:val="1A1A1A"/>
          <w:sz w:val="24"/>
          <w:szCs w:val="24"/>
        </w:rPr>
        <w:t>281-310</w:t>
      </w:r>
      <w:r w:rsidRPr="00AC1297">
        <w:rPr>
          <w:sz w:val="24"/>
          <w:szCs w:val="24"/>
        </w:rPr>
        <w:t>.</w:t>
      </w:r>
    </w:p>
    <w:p w14:paraId="11208BCF" w14:textId="047828C4" w:rsidR="000F4365" w:rsidRPr="00AC1297" w:rsidRDefault="000F4365" w:rsidP="00AC1297">
      <w:pPr>
        <w:spacing w:after="120"/>
        <w:jc w:val="both"/>
        <w:rPr>
          <w:i/>
          <w:sz w:val="24"/>
          <w:szCs w:val="24"/>
        </w:rPr>
      </w:pPr>
      <w:proofErr w:type="gramStart"/>
      <w:r w:rsidRPr="00AC1297">
        <w:rPr>
          <w:color w:val="1A1A1A"/>
          <w:sz w:val="24"/>
          <w:szCs w:val="24"/>
        </w:rPr>
        <w:t>Gudmundsson, O., Brandsdottir, B., Menke, W., &amp; Sigvaldason, G. E. (1994).</w:t>
      </w:r>
      <w:proofErr w:type="gramEnd"/>
      <w:r w:rsidRPr="00AC1297">
        <w:rPr>
          <w:color w:val="1A1A1A"/>
          <w:sz w:val="24"/>
          <w:szCs w:val="24"/>
        </w:rPr>
        <w:t xml:space="preserve"> </w:t>
      </w:r>
      <w:proofErr w:type="gramStart"/>
      <w:r w:rsidRPr="00AC1297">
        <w:rPr>
          <w:color w:val="1A1A1A"/>
          <w:sz w:val="24"/>
          <w:szCs w:val="24"/>
        </w:rPr>
        <w:t>The crustal magma chamber of the Katla volcano in south Iceland revealed by 2-D seismic undershooting.</w:t>
      </w:r>
      <w:proofErr w:type="gramEnd"/>
      <w:r w:rsidRPr="00AC1297">
        <w:rPr>
          <w:color w:val="1A1A1A"/>
          <w:sz w:val="24"/>
          <w:szCs w:val="24"/>
        </w:rPr>
        <w:t xml:space="preserve"> </w:t>
      </w:r>
      <w:r w:rsidRPr="00AC1297">
        <w:rPr>
          <w:i/>
          <w:iCs/>
          <w:color w:val="1A1A1A"/>
          <w:sz w:val="24"/>
          <w:szCs w:val="24"/>
        </w:rPr>
        <w:t>Geophysical Journal International</w:t>
      </w:r>
      <w:r w:rsidRPr="00AC1297">
        <w:rPr>
          <w:color w:val="1A1A1A"/>
          <w:sz w:val="24"/>
          <w:szCs w:val="24"/>
        </w:rPr>
        <w:t xml:space="preserve">, </w:t>
      </w:r>
      <w:r w:rsidRPr="00AC1297">
        <w:rPr>
          <w:i/>
          <w:iCs/>
          <w:color w:val="1A1A1A"/>
          <w:sz w:val="24"/>
          <w:szCs w:val="24"/>
        </w:rPr>
        <w:t>119</w:t>
      </w:r>
      <w:r w:rsidRPr="00AC1297">
        <w:rPr>
          <w:color w:val="1A1A1A"/>
          <w:sz w:val="24"/>
          <w:szCs w:val="24"/>
        </w:rPr>
        <w:t>(1), 277-296.</w:t>
      </w:r>
    </w:p>
    <w:p w14:paraId="276A83AA" w14:textId="10C0A0D4" w:rsidR="000F4365" w:rsidRPr="00AC1297" w:rsidRDefault="000F4365" w:rsidP="00AC1297">
      <w:pPr>
        <w:spacing w:after="120"/>
        <w:jc w:val="both"/>
        <w:rPr>
          <w:i/>
          <w:sz w:val="24"/>
          <w:szCs w:val="24"/>
        </w:rPr>
      </w:pPr>
      <w:proofErr w:type="gramStart"/>
      <w:r w:rsidRPr="00AC1297">
        <w:rPr>
          <w:color w:val="1A1A1A"/>
          <w:sz w:val="24"/>
          <w:szCs w:val="24"/>
        </w:rPr>
        <w:t>Günther, D., &amp; Heinrich, C. A. (1999).</w:t>
      </w:r>
      <w:proofErr w:type="gramEnd"/>
      <w:r w:rsidRPr="00AC1297">
        <w:rPr>
          <w:color w:val="1A1A1A"/>
          <w:sz w:val="24"/>
          <w:szCs w:val="24"/>
        </w:rPr>
        <w:t xml:space="preserve"> </w:t>
      </w:r>
      <w:proofErr w:type="gramStart"/>
      <w:r w:rsidRPr="00AC1297">
        <w:rPr>
          <w:color w:val="1A1A1A"/>
          <w:sz w:val="24"/>
          <w:szCs w:val="24"/>
        </w:rPr>
        <w:t>Enhanced sensitivity in laser ablation-ICP mass spectrometry using helium-argon mixtures as aerosol carrier.</w:t>
      </w:r>
      <w:proofErr w:type="gramEnd"/>
      <w:r w:rsidRPr="00AC1297">
        <w:rPr>
          <w:color w:val="1A1A1A"/>
          <w:sz w:val="24"/>
          <w:szCs w:val="24"/>
        </w:rPr>
        <w:t xml:space="preserve"> </w:t>
      </w:r>
      <w:r w:rsidRPr="00AC1297">
        <w:rPr>
          <w:i/>
          <w:iCs/>
          <w:color w:val="1A1A1A"/>
          <w:sz w:val="24"/>
          <w:szCs w:val="24"/>
        </w:rPr>
        <w:t>Journal of Analytical Atomic Spectrometry</w:t>
      </w:r>
      <w:r w:rsidRPr="00AC1297">
        <w:rPr>
          <w:color w:val="1A1A1A"/>
          <w:sz w:val="24"/>
          <w:szCs w:val="24"/>
        </w:rPr>
        <w:t xml:space="preserve">, </w:t>
      </w:r>
      <w:r w:rsidRPr="00AC1297">
        <w:rPr>
          <w:i/>
          <w:iCs/>
          <w:color w:val="1A1A1A"/>
          <w:sz w:val="24"/>
          <w:szCs w:val="24"/>
        </w:rPr>
        <w:t>14</w:t>
      </w:r>
      <w:r w:rsidRPr="00AC1297">
        <w:rPr>
          <w:color w:val="1A1A1A"/>
          <w:sz w:val="24"/>
          <w:szCs w:val="24"/>
        </w:rPr>
        <w:t>(9), 1363-1368.</w:t>
      </w:r>
    </w:p>
    <w:p w14:paraId="79C56C3E" w14:textId="48E68C47" w:rsidR="000F4365" w:rsidRDefault="000F4365" w:rsidP="00AC1297">
      <w:pPr>
        <w:spacing w:after="120"/>
        <w:jc w:val="both"/>
        <w:rPr>
          <w:color w:val="1A1A1A"/>
          <w:sz w:val="24"/>
          <w:szCs w:val="24"/>
        </w:rPr>
      </w:pPr>
      <w:proofErr w:type="gramStart"/>
      <w:r w:rsidRPr="00AC1297">
        <w:rPr>
          <w:color w:val="1A1A1A"/>
          <w:sz w:val="24"/>
          <w:szCs w:val="24"/>
        </w:rPr>
        <w:t>Hamelin, C., Bezos, A., Dosso, L., Escartin, J., Cannat, M., &amp; Mevel, C. (2013).</w:t>
      </w:r>
      <w:proofErr w:type="gramEnd"/>
      <w:r w:rsidRPr="00AC1297">
        <w:rPr>
          <w:color w:val="1A1A1A"/>
          <w:sz w:val="24"/>
          <w:szCs w:val="24"/>
        </w:rPr>
        <w:t xml:space="preserve"> </w:t>
      </w:r>
      <w:proofErr w:type="gramStart"/>
      <w:r w:rsidRPr="00AC1297">
        <w:rPr>
          <w:color w:val="1A1A1A"/>
          <w:sz w:val="24"/>
          <w:szCs w:val="24"/>
        </w:rPr>
        <w:t>Atypically depleted upper mantle component revealed by Hf isotopes at Lucky Strike segment.</w:t>
      </w:r>
      <w:proofErr w:type="gramEnd"/>
      <w:r w:rsidRPr="00AC1297">
        <w:rPr>
          <w:color w:val="1A1A1A"/>
          <w:sz w:val="24"/>
          <w:szCs w:val="24"/>
        </w:rPr>
        <w:t xml:space="preserve"> </w:t>
      </w:r>
      <w:r w:rsidRPr="00AC1297">
        <w:rPr>
          <w:i/>
          <w:iCs/>
          <w:color w:val="1A1A1A"/>
          <w:sz w:val="24"/>
          <w:szCs w:val="24"/>
        </w:rPr>
        <w:t>Chemical Geology</w:t>
      </w:r>
      <w:r w:rsidRPr="00AC1297">
        <w:rPr>
          <w:color w:val="1A1A1A"/>
          <w:sz w:val="24"/>
          <w:szCs w:val="24"/>
        </w:rPr>
        <w:t xml:space="preserve">, </w:t>
      </w:r>
      <w:r w:rsidRPr="00AC1297">
        <w:rPr>
          <w:i/>
          <w:iCs/>
          <w:color w:val="1A1A1A"/>
          <w:sz w:val="24"/>
          <w:szCs w:val="24"/>
        </w:rPr>
        <w:t>341</w:t>
      </w:r>
      <w:r w:rsidRPr="00AC1297">
        <w:rPr>
          <w:color w:val="1A1A1A"/>
          <w:sz w:val="24"/>
          <w:szCs w:val="24"/>
        </w:rPr>
        <w:t>, 128-139.</w:t>
      </w:r>
    </w:p>
    <w:p w14:paraId="63F8B78B" w14:textId="2135843F" w:rsidR="006D728A" w:rsidRPr="006D728A" w:rsidRDefault="006D728A" w:rsidP="00AC1297">
      <w:pPr>
        <w:spacing w:after="120"/>
        <w:jc w:val="both"/>
        <w:rPr>
          <w:bCs/>
          <w:i/>
          <w:sz w:val="24"/>
          <w:szCs w:val="24"/>
        </w:rPr>
      </w:pPr>
      <w:r w:rsidRPr="00AC1297">
        <w:rPr>
          <w:sz w:val="24"/>
          <w:szCs w:val="24"/>
        </w:rPr>
        <w:t xml:space="preserve">Herzberg, C. (2004). </w:t>
      </w:r>
      <w:proofErr w:type="gramStart"/>
      <w:r w:rsidRPr="00AC1297">
        <w:rPr>
          <w:sz w:val="24"/>
          <w:szCs w:val="24"/>
        </w:rPr>
        <w:t>Partial Crystallization of Mid-Ocean Ridge Basalts in the Crust and Mantle.</w:t>
      </w:r>
      <w:proofErr w:type="gramEnd"/>
      <w:r w:rsidRPr="00AC1297">
        <w:rPr>
          <w:sz w:val="24"/>
          <w:szCs w:val="24"/>
        </w:rPr>
        <w:t xml:space="preserve"> </w:t>
      </w:r>
      <w:r w:rsidRPr="00AC1297">
        <w:rPr>
          <w:i/>
          <w:iCs/>
          <w:sz w:val="24"/>
          <w:szCs w:val="24"/>
        </w:rPr>
        <w:t>Journal of Petrology</w:t>
      </w:r>
      <w:r w:rsidRPr="00AC1297">
        <w:rPr>
          <w:sz w:val="24"/>
          <w:szCs w:val="24"/>
        </w:rPr>
        <w:t xml:space="preserve">, </w:t>
      </w:r>
      <w:r w:rsidRPr="00AC1297">
        <w:rPr>
          <w:i/>
          <w:iCs/>
          <w:sz w:val="24"/>
          <w:szCs w:val="24"/>
        </w:rPr>
        <w:t>45</w:t>
      </w:r>
      <w:r w:rsidRPr="00AC1297">
        <w:rPr>
          <w:sz w:val="24"/>
          <w:szCs w:val="24"/>
        </w:rPr>
        <w:t>(12), 2389–2405. http://doi.org/10.1093/petrology/egh040</w:t>
      </w:r>
    </w:p>
    <w:p w14:paraId="391C499A" w14:textId="56A3E1A0" w:rsidR="000F4365" w:rsidRPr="00AC1297" w:rsidRDefault="000F4365" w:rsidP="00AC1297">
      <w:pPr>
        <w:spacing w:after="120"/>
        <w:jc w:val="both"/>
        <w:rPr>
          <w:bCs/>
          <w:i/>
          <w:sz w:val="24"/>
          <w:szCs w:val="24"/>
        </w:rPr>
      </w:pPr>
      <w:proofErr w:type="gramStart"/>
      <w:r w:rsidRPr="00AC1297">
        <w:rPr>
          <w:color w:val="1A1A1A"/>
          <w:sz w:val="24"/>
          <w:szCs w:val="24"/>
        </w:rPr>
        <w:t>Hirschmann, M. M., &amp; Stolper, E. M. (1996).</w:t>
      </w:r>
      <w:proofErr w:type="gramEnd"/>
      <w:r w:rsidRPr="00AC1297">
        <w:rPr>
          <w:color w:val="1A1A1A"/>
          <w:sz w:val="24"/>
          <w:szCs w:val="24"/>
        </w:rPr>
        <w:t xml:space="preserve"> </w:t>
      </w:r>
      <w:proofErr w:type="gramStart"/>
      <w:r w:rsidRPr="00AC1297">
        <w:rPr>
          <w:color w:val="1A1A1A"/>
          <w:sz w:val="24"/>
          <w:szCs w:val="24"/>
        </w:rPr>
        <w:t>A possible role for garnet pyroxenite in the origin of the “garnet signature” in MORB.</w:t>
      </w:r>
      <w:proofErr w:type="gramEnd"/>
      <w:r w:rsidRPr="00AC1297">
        <w:rPr>
          <w:color w:val="1A1A1A"/>
          <w:sz w:val="24"/>
          <w:szCs w:val="24"/>
        </w:rPr>
        <w:t xml:space="preserve">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124</w:t>
      </w:r>
      <w:r w:rsidRPr="00AC1297">
        <w:rPr>
          <w:color w:val="1A1A1A"/>
          <w:sz w:val="24"/>
          <w:szCs w:val="24"/>
        </w:rPr>
        <w:t>(2), 185-208.</w:t>
      </w:r>
    </w:p>
    <w:p w14:paraId="7CB1387D" w14:textId="68139502" w:rsidR="000F4365" w:rsidRPr="00AC1297" w:rsidRDefault="000F4365" w:rsidP="00AC1297">
      <w:pPr>
        <w:spacing w:after="120"/>
        <w:jc w:val="both"/>
        <w:rPr>
          <w:bCs/>
          <w:sz w:val="24"/>
          <w:szCs w:val="24"/>
        </w:rPr>
      </w:pPr>
      <w:r w:rsidRPr="00AC1297">
        <w:rPr>
          <w:color w:val="1A1A1A"/>
          <w:sz w:val="24"/>
          <w:szCs w:val="24"/>
        </w:rPr>
        <w:t xml:space="preserve">Hirschmann, M. M., Ghiorso, M. S., Wasylenki, L. E., Asimow, P. D., &amp; Stolper, E. M. (1998). </w:t>
      </w:r>
      <w:proofErr w:type="gramStart"/>
      <w:r w:rsidRPr="00AC1297">
        <w:rPr>
          <w:color w:val="1A1A1A"/>
          <w:sz w:val="24"/>
          <w:szCs w:val="24"/>
        </w:rPr>
        <w:t>Calculation of peridotite partial melting from thermodynamic models of minerals and melts.</w:t>
      </w:r>
      <w:proofErr w:type="gramEnd"/>
      <w:r w:rsidRPr="00AC1297">
        <w:rPr>
          <w:color w:val="1A1A1A"/>
          <w:sz w:val="24"/>
          <w:szCs w:val="24"/>
        </w:rPr>
        <w:t xml:space="preserve"> I. Review of methods and comparison with experiments.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39</w:t>
      </w:r>
      <w:r w:rsidRPr="00AC1297">
        <w:rPr>
          <w:color w:val="1A1A1A"/>
          <w:sz w:val="24"/>
          <w:szCs w:val="24"/>
        </w:rPr>
        <w:t>(6), 1091-1115.</w:t>
      </w:r>
    </w:p>
    <w:p w14:paraId="31D8D520" w14:textId="52485E6B" w:rsidR="000F4365" w:rsidRPr="00AC1297" w:rsidRDefault="000F4365" w:rsidP="00AC1297">
      <w:pPr>
        <w:spacing w:after="120"/>
        <w:jc w:val="both"/>
        <w:rPr>
          <w:i/>
          <w:sz w:val="24"/>
          <w:szCs w:val="24"/>
        </w:rPr>
      </w:pPr>
      <w:proofErr w:type="gramStart"/>
      <w:r w:rsidRPr="00AC1297">
        <w:rPr>
          <w:color w:val="1A1A1A"/>
          <w:sz w:val="24"/>
          <w:szCs w:val="24"/>
        </w:rPr>
        <w:t>Hofmann, A. W., &amp; White, W. M. (1982).</w:t>
      </w:r>
      <w:proofErr w:type="gramEnd"/>
      <w:r w:rsidRPr="00AC1297">
        <w:rPr>
          <w:color w:val="1A1A1A"/>
          <w:sz w:val="24"/>
          <w:szCs w:val="24"/>
        </w:rPr>
        <w:t xml:space="preserve"> Mantle plumes from ancient oceanic crust.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57</w:t>
      </w:r>
      <w:r w:rsidRPr="00AC1297">
        <w:rPr>
          <w:color w:val="1A1A1A"/>
          <w:sz w:val="24"/>
          <w:szCs w:val="24"/>
        </w:rPr>
        <w:t>(2), 421-436.</w:t>
      </w:r>
    </w:p>
    <w:p w14:paraId="2F471A47" w14:textId="3D5B0FE7" w:rsidR="000F4365" w:rsidRPr="00AC1297" w:rsidRDefault="000F4365" w:rsidP="00AC1297">
      <w:pPr>
        <w:spacing w:after="120"/>
        <w:jc w:val="both"/>
        <w:rPr>
          <w:color w:val="1A1A1A"/>
          <w:sz w:val="24"/>
          <w:szCs w:val="24"/>
        </w:rPr>
      </w:pPr>
      <w:r w:rsidRPr="00AC1297">
        <w:rPr>
          <w:color w:val="1A1A1A"/>
          <w:sz w:val="24"/>
          <w:szCs w:val="24"/>
        </w:rPr>
        <w:t xml:space="preserve">Hopson, C. A., Coleman, R. G., Gregory, R. T., Pallister, J. S., &amp; Bailey, E. H. (1981). </w:t>
      </w:r>
      <w:proofErr w:type="gramStart"/>
      <w:r w:rsidRPr="00AC1297">
        <w:rPr>
          <w:color w:val="1A1A1A"/>
          <w:sz w:val="24"/>
          <w:szCs w:val="24"/>
        </w:rPr>
        <w:t>Geologic section through the Samail Ophiolite and associated rocks along a Muscat</w:t>
      </w:r>
      <w:r w:rsidRPr="00AC1297">
        <w:rPr>
          <w:rFonts w:ascii="Noteworthy Light" w:hAnsi="Noteworthy Light" w:cs="Noteworthy Light"/>
          <w:color w:val="1A1A1A"/>
          <w:sz w:val="24"/>
          <w:szCs w:val="24"/>
        </w:rPr>
        <w:t>‐</w:t>
      </w:r>
      <w:r w:rsidRPr="00AC1297">
        <w:rPr>
          <w:color w:val="1A1A1A"/>
          <w:sz w:val="24"/>
          <w:szCs w:val="24"/>
        </w:rPr>
        <w:t>Ibra Transect, southeastern Oman Mountains.</w:t>
      </w:r>
      <w:proofErr w:type="gramEnd"/>
      <w:r w:rsidRPr="00AC1297">
        <w:rPr>
          <w:color w:val="1A1A1A"/>
          <w:sz w:val="24"/>
          <w:szCs w:val="24"/>
        </w:rPr>
        <w:t xml:space="preserve">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86</w:t>
      </w:r>
      <w:r w:rsidRPr="00AC1297">
        <w:rPr>
          <w:color w:val="1A1A1A"/>
          <w:sz w:val="24"/>
          <w:szCs w:val="24"/>
        </w:rPr>
        <w:t>(B4), 2527-2544.</w:t>
      </w:r>
    </w:p>
    <w:p w14:paraId="7271C952" w14:textId="697DF35F" w:rsidR="000F4365" w:rsidRPr="00AC1297" w:rsidRDefault="000F4365" w:rsidP="00AC1297">
      <w:pPr>
        <w:spacing w:after="120"/>
        <w:jc w:val="both"/>
        <w:rPr>
          <w:bCs/>
          <w:i/>
          <w:sz w:val="24"/>
          <w:szCs w:val="24"/>
        </w:rPr>
      </w:pPr>
      <w:proofErr w:type="gramStart"/>
      <w:r w:rsidRPr="00AC1297">
        <w:rPr>
          <w:color w:val="1A1A1A"/>
          <w:sz w:val="24"/>
          <w:szCs w:val="24"/>
        </w:rPr>
        <w:t>Jaques, A. L., &amp; Green, D. H. (1980).</w:t>
      </w:r>
      <w:proofErr w:type="gramEnd"/>
      <w:r w:rsidRPr="00AC1297">
        <w:rPr>
          <w:color w:val="1A1A1A"/>
          <w:sz w:val="24"/>
          <w:szCs w:val="24"/>
        </w:rPr>
        <w:t xml:space="preserve"> </w:t>
      </w:r>
      <w:proofErr w:type="gramStart"/>
      <w:r w:rsidRPr="00AC1297">
        <w:rPr>
          <w:color w:val="1A1A1A"/>
          <w:sz w:val="24"/>
          <w:szCs w:val="24"/>
        </w:rPr>
        <w:t>Anhydrous melting of peridotite at 0–15 kb pressure and the genesis of tholeiitic basalts.</w:t>
      </w:r>
      <w:proofErr w:type="gramEnd"/>
      <w:r w:rsidRPr="00AC1297">
        <w:rPr>
          <w:color w:val="1A1A1A"/>
          <w:sz w:val="24"/>
          <w:szCs w:val="24"/>
        </w:rPr>
        <w:t xml:space="preserve">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73</w:t>
      </w:r>
      <w:r w:rsidRPr="00AC1297">
        <w:rPr>
          <w:color w:val="1A1A1A"/>
          <w:sz w:val="24"/>
          <w:szCs w:val="24"/>
        </w:rPr>
        <w:t>(3), 287-310.</w:t>
      </w:r>
    </w:p>
    <w:p w14:paraId="08E2CD5D" w14:textId="1FEE7747" w:rsidR="000F4365" w:rsidRPr="00AC1297" w:rsidRDefault="000F4365" w:rsidP="00AC1297">
      <w:pPr>
        <w:spacing w:after="120"/>
        <w:jc w:val="both"/>
        <w:rPr>
          <w:color w:val="1A1A1A"/>
          <w:sz w:val="24"/>
          <w:szCs w:val="24"/>
        </w:rPr>
      </w:pPr>
      <w:proofErr w:type="gramStart"/>
      <w:r w:rsidRPr="00AC1297">
        <w:rPr>
          <w:color w:val="1A1A1A"/>
          <w:sz w:val="24"/>
          <w:szCs w:val="24"/>
        </w:rPr>
        <w:lastRenderedPageBreak/>
        <w:t>Johnson, K., Dick, H. J., &amp; Shimizu, N. (1990).</w:t>
      </w:r>
      <w:proofErr w:type="gramEnd"/>
      <w:r w:rsidRPr="00AC1297">
        <w:rPr>
          <w:color w:val="1A1A1A"/>
          <w:sz w:val="24"/>
          <w:szCs w:val="24"/>
        </w:rPr>
        <w:t xml:space="preserve"> </w:t>
      </w:r>
      <w:proofErr w:type="gramStart"/>
      <w:r w:rsidRPr="00AC1297">
        <w:rPr>
          <w:color w:val="1A1A1A"/>
          <w:sz w:val="24"/>
          <w:szCs w:val="24"/>
        </w:rPr>
        <w:t>Melting in the oceanic upper mantle: an ion microprobe study of diopsides in abyssal peridotites.</w:t>
      </w:r>
      <w:proofErr w:type="gramEnd"/>
      <w:r w:rsidRPr="00AC1297">
        <w:rPr>
          <w:color w:val="1A1A1A"/>
          <w:sz w:val="24"/>
          <w:szCs w:val="24"/>
        </w:rPr>
        <w:t xml:space="preserve">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95</w:t>
      </w:r>
      <w:r w:rsidRPr="00AC1297">
        <w:rPr>
          <w:color w:val="1A1A1A"/>
          <w:sz w:val="24"/>
          <w:szCs w:val="24"/>
        </w:rPr>
        <w:t>(B3), 2661-2678.</w:t>
      </w:r>
    </w:p>
    <w:p w14:paraId="48E30B2C" w14:textId="1A62AA9F" w:rsidR="000F4365" w:rsidRPr="00AC1297" w:rsidRDefault="000F4365" w:rsidP="00AC1297">
      <w:pPr>
        <w:spacing w:after="120"/>
        <w:jc w:val="both"/>
        <w:rPr>
          <w:i/>
          <w:sz w:val="24"/>
          <w:szCs w:val="24"/>
        </w:rPr>
      </w:pPr>
      <w:r w:rsidRPr="00AC1297">
        <w:rPr>
          <w:color w:val="1A1A1A"/>
          <w:sz w:val="24"/>
          <w:szCs w:val="24"/>
        </w:rPr>
        <w:t xml:space="preserve">Kelemen, P. B. (1990). </w:t>
      </w:r>
      <w:proofErr w:type="gramStart"/>
      <w:r w:rsidRPr="00AC1297">
        <w:rPr>
          <w:color w:val="1A1A1A"/>
          <w:sz w:val="24"/>
          <w:szCs w:val="24"/>
        </w:rPr>
        <w:t>Reaction between ultramafic rock and fractionating basaltic magma I. Phase relations, the origin of calc-alkaline magma series, and the formation of discordant dunite.</w:t>
      </w:r>
      <w:proofErr w:type="gramEnd"/>
      <w:r w:rsidRPr="00AC1297">
        <w:rPr>
          <w:color w:val="1A1A1A"/>
          <w:sz w:val="24"/>
          <w:szCs w:val="24"/>
        </w:rPr>
        <w:t xml:space="preserve">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31</w:t>
      </w:r>
      <w:r w:rsidRPr="00AC1297">
        <w:rPr>
          <w:color w:val="1A1A1A"/>
          <w:sz w:val="24"/>
          <w:szCs w:val="24"/>
        </w:rPr>
        <w:t>(1), 51-98.</w:t>
      </w:r>
    </w:p>
    <w:p w14:paraId="6298DDFF" w14:textId="563868B5" w:rsidR="000F4365" w:rsidRPr="00AC1297" w:rsidRDefault="000F4365" w:rsidP="00AC1297">
      <w:pPr>
        <w:spacing w:after="120"/>
        <w:jc w:val="both"/>
        <w:rPr>
          <w:i/>
          <w:sz w:val="24"/>
          <w:szCs w:val="24"/>
        </w:rPr>
      </w:pPr>
      <w:proofErr w:type="gramStart"/>
      <w:r w:rsidRPr="00AC1297">
        <w:rPr>
          <w:color w:val="1A1A1A"/>
          <w:sz w:val="24"/>
          <w:szCs w:val="24"/>
        </w:rPr>
        <w:t>Kelemen, P. B., Joyce, D. B., Webster, J. D., &amp; Holloway, J. R. (1990).</w:t>
      </w:r>
      <w:proofErr w:type="gramEnd"/>
      <w:r w:rsidRPr="00AC1297">
        <w:rPr>
          <w:color w:val="1A1A1A"/>
          <w:sz w:val="24"/>
          <w:szCs w:val="24"/>
        </w:rPr>
        <w:t xml:space="preserve"> </w:t>
      </w:r>
      <w:proofErr w:type="gramStart"/>
      <w:r w:rsidRPr="00AC1297">
        <w:rPr>
          <w:color w:val="1A1A1A"/>
          <w:sz w:val="24"/>
          <w:szCs w:val="24"/>
        </w:rPr>
        <w:t>Reaction between ultramafic rock and fractionating basaltic magma II.</w:t>
      </w:r>
      <w:proofErr w:type="gramEnd"/>
      <w:r w:rsidRPr="00AC1297">
        <w:rPr>
          <w:color w:val="1A1A1A"/>
          <w:sz w:val="24"/>
          <w:szCs w:val="24"/>
        </w:rPr>
        <w:t xml:space="preserve"> </w:t>
      </w:r>
      <w:proofErr w:type="gramStart"/>
      <w:r w:rsidRPr="00AC1297">
        <w:rPr>
          <w:color w:val="1A1A1A"/>
          <w:sz w:val="24"/>
          <w:szCs w:val="24"/>
        </w:rPr>
        <w:t>Experimental investigation of reaction between olivine tholeiite and harzburgite at 1150–1050 C and 5 kb.</w:t>
      </w:r>
      <w:proofErr w:type="gramEnd"/>
      <w:r w:rsidRPr="00AC1297">
        <w:rPr>
          <w:color w:val="1A1A1A"/>
          <w:sz w:val="24"/>
          <w:szCs w:val="24"/>
        </w:rPr>
        <w:t xml:space="preserve">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31</w:t>
      </w:r>
      <w:r w:rsidRPr="00AC1297">
        <w:rPr>
          <w:color w:val="1A1A1A"/>
          <w:sz w:val="24"/>
          <w:szCs w:val="24"/>
        </w:rPr>
        <w:t>(1), 99-134.</w:t>
      </w:r>
    </w:p>
    <w:p w14:paraId="398AEB5F" w14:textId="4D15C484" w:rsidR="000F4365" w:rsidRPr="00AC1297" w:rsidRDefault="000F4365" w:rsidP="00AC1297">
      <w:pPr>
        <w:spacing w:after="120"/>
        <w:jc w:val="both"/>
        <w:rPr>
          <w:i/>
          <w:sz w:val="24"/>
          <w:szCs w:val="24"/>
        </w:rPr>
      </w:pPr>
      <w:proofErr w:type="gramStart"/>
      <w:r w:rsidRPr="00AC1297">
        <w:rPr>
          <w:color w:val="1A1A1A"/>
          <w:sz w:val="24"/>
          <w:szCs w:val="24"/>
        </w:rPr>
        <w:t>Kelemen, P. B., Shimizu, N., &amp; Salters, V. J. (1995).</w:t>
      </w:r>
      <w:proofErr w:type="gramEnd"/>
      <w:r w:rsidRPr="00AC1297">
        <w:rPr>
          <w:color w:val="1A1A1A"/>
          <w:sz w:val="24"/>
          <w:szCs w:val="24"/>
        </w:rPr>
        <w:t xml:space="preserve"> Extraction of mid-ocean-ridge basalt from the upwelling mantle by focused flow of melt in dunite channels. </w:t>
      </w:r>
      <w:r w:rsidRPr="00AC1297">
        <w:rPr>
          <w:i/>
          <w:iCs/>
          <w:color w:val="1A1A1A"/>
          <w:sz w:val="24"/>
          <w:szCs w:val="24"/>
        </w:rPr>
        <w:t>Nature</w:t>
      </w:r>
      <w:r w:rsidRPr="00AC1297">
        <w:rPr>
          <w:color w:val="1A1A1A"/>
          <w:sz w:val="24"/>
          <w:szCs w:val="24"/>
        </w:rPr>
        <w:t xml:space="preserve">, </w:t>
      </w:r>
      <w:r w:rsidRPr="00AC1297">
        <w:rPr>
          <w:i/>
          <w:iCs/>
          <w:color w:val="1A1A1A"/>
          <w:sz w:val="24"/>
          <w:szCs w:val="24"/>
        </w:rPr>
        <w:t>375</w:t>
      </w:r>
      <w:r w:rsidRPr="00AC1297">
        <w:rPr>
          <w:color w:val="1A1A1A"/>
          <w:sz w:val="24"/>
          <w:szCs w:val="24"/>
        </w:rPr>
        <w:t>(6534), 747-753.</w:t>
      </w:r>
    </w:p>
    <w:p w14:paraId="0BAA10AA" w14:textId="5720D0D9" w:rsidR="000F4365" w:rsidRPr="00AC1297" w:rsidRDefault="000F4365" w:rsidP="00AC1297">
      <w:pPr>
        <w:spacing w:after="120"/>
        <w:jc w:val="both"/>
        <w:rPr>
          <w:bCs/>
          <w:i/>
          <w:sz w:val="24"/>
          <w:szCs w:val="24"/>
        </w:rPr>
      </w:pPr>
      <w:proofErr w:type="gramStart"/>
      <w:r w:rsidRPr="00AC1297">
        <w:rPr>
          <w:color w:val="1A1A1A"/>
          <w:sz w:val="24"/>
          <w:szCs w:val="24"/>
        </w:rPr>
        <w:t>Kelemen, P. B., Hirth, G., Shimizu, N., Spiegelman, M., &amp; Dick, H. J. (1997).</w:t>
      </w:r>
      <w:proofErr w:type="gramEnd"/>
      <w:r w:rsidRPr="00AC1297">
        <w:rPr>
          <w:color w:val="1A1A1A"/>
          <w:sz w:val="24"/>
          <w:szCs w:val="24"/>
        </w:rPr>
        <w:t xml:space="preserve"> A review of melt migration processes in the adiabatically upwelling mantle beneath oceanic spreading ridges. </w:t>
      </w:r>
      <w:r w:rsidRPr="00AC1297">
        <w:rPr>
          <w:i/>
          <w:iCs/>
          <w:color w:val="1A1A1A"/>
          <w:sz w:val="24"/>
          <w:szCs w:val="24"/>
        </w:rPr>
        <w:t>Philosophical Transactions of the Royal Society of London A: Mathematical, Physical and Engineering Sciences</w:t>
      </w:r>
      <w:r w:rsidRPr="00AC1297">
        <w:rPr>
          <w:color w:val="1A1A1A"/>
          <w:sz w:val="24"/>
          <w:szCs w:val="24"/>
        </w:rPr>
        <w:t xml:space="preserve">, </w:t>
      </w:r>
      <w:r w:rsidRPr="00AC1297">
        <w:rPr>
          <w:i/>
          <w:iCs/>
          <w:color w:val="1A1A1A"/>
          <w:sz w:val="24"/>
          <w:szCs w:val="24"/>
        </w:rPr>
        <w:t>355</w:t>
      </w:r>
      <w:r w:rsidRPr="00AC1297">
        <w:rPr>
          <w:color w:val="1A1A1A"/>
          <w:sz w:val="24"/>
          <w:szCs w:val="24"/>
        </w:rPr>
        <w:t>(1723), 283-318.</w:t>
      </w:r>
    </w:p>
    <w:p w14:paraId="4954B454" w14:textId="20F8E6F5" w:rsidR="000F4365" w:rsidRPr="00AC1297" w:rsidRDefault="000F4365" w:rsidP="00AC1297">
      <w:pPr>
        <w:spacing w:after="120"/>
        <w:jc w:val="both"/>
        <w:rPr>
          <w:bCs/>
          <w:sz w:val="24"/>
          <w:szCs w:val="24"/>
        </w:rPr>
      </w:pPr>
      <w:proofErr w:type="gramStart"/>
      <w:r w:rsidRPr="00AC1297">
        <w:rPr>
          <w:color w:val="1A1A1A"/>
          <w:sz w:val="24"/>
          <w:szCs w:val="24"/>
        </w:rPr>
        <w:t>Kinzler, R. J., &amp; Grove, T. L. (1992a).</w:t>
      </w:r>
      <w:proofErr w:type="gramEnd"/>
      <w:r w:rsidRPr="00AC1297">
        <w:rPr>
          <w:color w:val="1A1A1A"/>
          <w:sz w:val="24"/>
          <w:szCs w:val="24"/>
        </w:rPr>
        <w:t xml:space="preserve"> Primary magmas of mid</w:t>
      </w:r>
      <w:r w:rsidRPr="00AC1297">
        <w:rPr>
          <w:rFonts w:ascii="Noteworthy Light" w:hAnsi="Noteworthy Light" w:cs="Noteworthy Light"/>
          <w:color w:val="1A1A1A"/>
          <w:sz w:val="24"/>
          <w:szCs w:val="24"/>
        </w:rPr>
        <w:t>‐</w:t>
      </w:r>
      <w:r w:rsidRPr="00AC1297">
        <w:rPr>
          <w:color w:val="1A1A1A"/>
          <w:sz w:val="24"/>
          <w:szCs w:val="24"/>
        </w:rPr>
        <w:t xml:space="preserve">ocean ridge basalts 1. </w:t>
      </w:r>
      <w:proofErr w:type="gramStart"/>
      <w:r w:rsidRPr="00AC1297">
        <w:rPr>
          <w:color w:val="1A1A1A"/>
          <w:sz w:val="24"/>
          <w:szCs w:val="24"/>
        </w:rPr>
        <w:t>Experiments and methods.</w:t>
      </w:r>
      <w:proofErr w:type="gramEnd"/>
      <w:r w:rsidRPr="00AC1297">
        <w:rPr>
          <w:color w:val="1A1A1A"/>
          <w:sz w:val="24"/>
          <w:szCs w:val="24"/>
        </w:rPr>
        <w:t xml:space="preserve">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97</w:t>
      </w:r>
      <w:r w:rsidRPr="00AC1297">
        <w:rPr>
          <w:color w:val="1A1A1A"/>
          <w:sz w:val="24"/>
          <w:szCs w:val="24"/>
        </w:rPr>
        <w:t>(B5), 6,885-6,906.</w:t>
      </w:r>
    </w:p>
    <w:p w14:paraId="25881443" w14:textId="07C0FB7B" w:rsidR="000F4365" w:rsidRPr="00AC1297" w:rsidRDefault="000F4365" w:rsidP="00AC1297">
      <w:pPr>
        <w:spacing w:after="120"/>
        <w:jc w:val="both"/>
        <w:rPr>
          <w:sz w:val="24"/>
          <w:szCs w:val="24"/>
        </w:rPr>
      </w:pPr>
      <w:r w:rsidRPr="00AC1297">
        <w:rPr>
          <w:sz w:val="24"/>
          <w:szCs w:val="24"/>
        </w:rPr>
        <w:t xml:space="preserve">Kinzler, R., &amp; Grove, T. (1992b). </w:t>
      </w:r>
      <w:proofErr w:type="gramStart"/>
      <w:r w:rsidRPr="00AC1297">
        <w:rPr>
          <w:sz w:val="24"/>
          <w:szCs w:val="24"/>
        </w:rPr>
        <w:t>Primary Magmas of Mid-Ocean Ridge Basalts 2.</w:t>
      </w:r>
      <w:proofErr w:type="gramEnd"/>
      <w:r w:rsidRPr="00AC1297">
        <w:rPr>
          <w:sz w:val="24"/>
          <w:szCs w:val="24"/>
        </w:rPr>
        <w:t xml:space="preserve"> </w:t>
      </w:r>
      <w:proofErr w:type="gramStart"/>
      <w:r w:rsidRPr="00AC1297">
        <w:rPr>
          <w:sz w:val="24"/>
          <w:szCs w:val="24"/>
        </w:rPr>
        <w:t>Applications.</w:t>
      </w:r>
      <w:proofErr w:type="gramEnd"/>
      <w:r w:rsidRPr="00AC1297">
        <w:rPr>
          <w:sz w:val="24"/>
          <w:szCs w:val="24"/>
        </w:rPr>
        <w:t xml:space="preserve"> </w:t>
      </w:r>
      <w:r w:rsidRPr="00AC1297">
        <w:rPr>
          <w:i/>
          <w:iCs/>
          <w:sz w:val="24"/>
          <w:szCs w:val="24"/>
        </w:rPr>
        <w:t>Journal of Geophysical Research: Solid Earth</w:t>
      </w:r>
      <w:r w:rsidRPr="00AC1297">
        <w:rPr>
          <w:sz w:val="24"/>
          <w:szCs w:val="24"/>
        </w:rPr>
        <w:t xml:space="preserve">, </w:t>
      </w:r>
      <w:r w:rsidRPr="00AC1297">
        <w:rPr>
          <w:i/>
          <w:iCs/>
          <w:sz w:val="24"/>
          <w:szCs w:val="24"/>
        </w:rPr>
        <w:t>97</w:t>
      </w:r>
      <w:r w:rsidRPr="00AC1297">
        <w:rPr>
          <w:sz w:val="24"/>
          <w:szCs w:val="24"/>
        </w:rPr>
        <w:t>(B5), 6,907–6,926.</w:t>
      </w:r>
    </w:p>
    <w:p w14:paraId="3117D28F" w14:textId="117C5330" w:rsidR="000F4365" w:rsidRPr="00AC1297" w:rsidRDefault="000F4365" w:rsidP="00AC1297">
      <w:pPr>
        <w:spacing w:after="120"/>
        <w:jc w:val="both"/>
        <w:rPr>
          <w:bCs/>
          <w:sz w:val="24"/>
          <w:szCs w:val="24"/>
        </w:rPr>
      </w:pPr>
      <w:proofErr w:type="gramStart"/>
      <w:r w:rsidRPr="00AC1297">
        <w:rPr>
          <w:color w:val="1A1A1A"/>
          <w:sz w:val="24"/>
          <w:szCs w:val="24"/>
        </w:rPr>
        <w:t>Kinzler, R. J., &amp; Grove, T. L. (1993).</w:t>
      </w:r>
      <w:proofErr w:type="gramEnd"/>
      <w:r w:rsidRPr="00AC1297">
        <w:rPr>
          <w:color w:val="1A1A1A"/>
          <w:sz w:val="24"/>
          <w:szCs w:val="24"/>
        </w:rPr>
        <w:t xml:space="preserve"> Corrections and further discussion of the primary magmas of mid</w:t>
      </w:r>
      <w:r w:rsidRPr="00AC1297">
        <w:rPr>
          <w:rFonts w:ascii="Noteworthy Light" w:hAnsi="Noteworthy Light" w:cs="Noteworthy Light"/>
          <w:color w:val="1A1A1A"/>
          <w:sz w:val="24"/>
          <w:szCs w:val="24"/>
        </w:rPr>
        <w:t>‐</w:t>
      </w:r>
      <w:r w:rsidRPr="00AC1297">
        <w:rPr>
          <w:color w:val="1A1A1A"/>
          <w:sz w:val="24"/>
          <w:szCs w:val="24"/>
        </w:rPr>
        <w:t xml:space="preserve">ocean ridge basalts, 1 and 2.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98</w:t>
      </w:r>
      <w:r w:rsidRPr="00AC1297">
        <w:rPr>
          <w:color w:val="1A1A1A"/>
          <w:sz w:val="24"/>
          <w:szCs w:val="24"/>
        </w:rPr>
        <w:t>(B12), 22,339-22,347.</w:t>
      </w:r>
    </w:p>
    <w:p w14:paraId="5B76D49B" w14:textId="69900013" w:rsidR="000F4365" w:rsidRPr="00AC1297" w:rsidRDefault="000F4365" w:rsidP="00AC1297">
      <w:pPr>
        <w:spacing w:after="120"/>
        <w:jc w:val="both"/>
        <w:rPr>
          <w:sz w:val="24"/>
          <w:szCs w:val="24"/>
        </w:rPr>
      </w:pPr>
      <w:proofErr w:type="gramStart"/>
      <w:r w:rsidRPr="00AC1297">
        <w:rPr>
          <w:color w:val="1A1A1A"/>
          <w:sz w:val="24"/>
          <w:szCs w:val="24"/>
        </w:rPr>
        <w:t>Klein, E. M., &amp; Langmuir, C. H. (1987).</w:t>
      </w:r>
      <w:proofErr w:type="gramEnd"/>
      <w:r w:rsidRPr="00AC1297">
        <w:rPr>
          <w:color w:val="1A1A1A"/>
          <w:sz w:val="24"/>
          <w:szCs w:val="24"/>
        </w:rPr>
        <w:t xml:space="preserve"> Global correlations of ocean ridge basalt chemistry with axial depth and crustal thickness.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92</w:t>
      </w:r>
      <w:r w:rsidRPr="00AC1297">
        <w:rPr>
          <w:color w:val="1A1A1A"/>
          <w:sz w:val="24"/>
          <w:szCs w:val="24"/>
        </w:rPr>
        <w:t>(B8), 8089-8115.</w:t>
      </w:r>
    </w:p>
    <w:p w14:paraId="0D3A8A56" w14:textId="545FB61D" w:rsidR="000F4365" w:rsidRPr="00AC1297" w:rsidRDefault="000F4365" w:rsidP="00AC1297">
      <w:pPr>
        <w:spacing w:after="120"/>
        <w:jc w:val="both"/>
        <w:rPr>
          <w:i/>
          <w:sz w:val="24"/>
          <w:szCs w:val="24"/>
        </w:rPr>
      </w:pPr>
      <w:proofErr w:type="gramStart"/>
      <w:r w:rsidRPr="00AC1297">
        <w:rPr>
          <w:color w:val="1A1A1A"/>
          <w:sz w:val="24"/>
          <w:szCs w:val="24"/>
        </w:rPr>
        <w:t>Langmuir, C. H., Klein, E. M., &amp; Plank, T. (1993).</w:t>
      </w:r>
      <w:proofErr w:type="gramEnd"/>
      <w:r w:rsidRPr="00AC1297">
        <w:rPr>
          <w:color w:val="1A1A1A"/>
          <w:sz w:val="24"/>
          <w:szCs w:val="24"/>
        </w:rPr>
        <w:t xml:space="preserve"> Petrological systematics of mid</w:t>
      </w:r>
      <w:r w:rsidRPr="00AC1297">
        <w:rPr>
          <w:rFonts w:ascii="Noteworthy Light" w:hAnsi="Noteworthy Light" w:cs="Noteworthy Light"/>
          <w:color w:val="1A1A1A"/>
          <w:sz w:val="24"/>
          <w:szCs w:val="24"/>
        </w:rPr>
        <w:t>‐</w:t>
      </w:r>
      <w:r w:rsidRPr="00AC1297">
        <w:rPr>
          <w:color w:val="1A1A1A"/>
          <w:sz w:val="24"/>
          <w:szCs w:val="24"/>
        </w:rPr>
        <w:t xml:space="preserve">ocean ridge basalts: Constraints on melt generation beneath ocean ridges. </w:t>
      </w:r>
      <w:proofErr w:type="gramStart"/>
      <w:r w:rsidRPr="00AC1297">
        <w:rPr>
          <w:sz w:val="24"/>
          <w:szCs w:val="24"/>
        </w:rPr>
        <w:t>in</w:t>
      </w:r>
      <w:proofErr w:type="gramEnd"/>
      <w:r w:rsidRPr="00AC1297">
        <w:rPr>
          <w:sz w:val="24"/>
          <w:szCs w:val="24"/>
        </w:rPr>
        <w:t xml:space="preserve">: J.P Morgan, D.K. Blackman, J.M. Sinton (Eds.), Mantle Flow and Melt Generation at Mid-ocean Ridges, Geophys. </w:t>
      </w:r>
      <w:proofErr w:type="gramStart"/>
      <w:r w:rsidRPr="00AC1297">
        <w:rPr>
          <w:sz w:val="24"/>
          <w:szCs w:val="24"/>
        </w:rPr>
        <w:t>Monogr.</w:t>
      </w:r>
      <w:proofErr w:type="gramEnd"/>
      <w:r w:rsidRPr="00AC1297">
        <w:rPr>
          <w:sz w:val="24"/>
          <w:szCs w:val="24"/>
        </w:rPr>
        <w:t xml:space="preserve"> Ser., vol. 71, AGU, Washington, DC, pp. 180 – 280. </w:t>
      </w:r>
    </w:p>
    <w:p w14:paraId="518D3122" w14:textId="76DA4EDF" w:rsidR="000F4365" w:rsidRPr="00AC1297" w:rsidRDefault="000F4365" w:rsidP="00AC1297">
      <w:pPr>
        <w:spacing w:after="120"/>
        <w:jc w:val="both"/>
        <w:rPr>
          <w:i/>
          <w:sz w:val="24"/>
          <w:szCs w:val="24"/>
        </w:rPr>
      </w:pPr>
      <w:proofErr w:type="gramStart"/>
      <w:r w:rsidRPr="00AC1297">
        <w:rPr>
          <w:color w:val="1A1A1A"/>
          <w:sz w:val="24"/>
          <w:szCs w:val="24"/>
        </w:rPr>
        <w:t>Lee, C. T. A., Harbert, A., &amp; Leeman, W. P. (2007).</w:t>
      </w:r>
      <w:proofErr w:type="gramEnd"/>
      <w:r w:rsidRPr="00AC1297">
        <w:rPr>
          <w:color w:val="1A1A1A"/>
          <w:sz w:val="24"/>
          <w:szCs w:val="24"/>
        </w:rPr>
        <w:t xml:space="preserve"> Extension of lattice strain theory to mineral/mineral rare-earth element partitioning: an approach for assessing disequilibrium and developing internally consistent partition coefficients between olivine, orthopyroxene, clinopyroxene and basaltic melt. </w:t>
      </w:r>
      <w:r w:rsidRPr="00AC1297">
        <w:rPr>
          <w:i/>
          <w:iCs/>
          <w:color w:val="1A1A1A"/>
          <w:sz w:val="24"/>
          <w:szCs w:val="24"/>
        </w:rPr>
        <w:t xml:space="preserve">Geochimica </w:t>
      </w:r>
      <w:proofErr w:type="gramStart"/>
      <w:r w:rsidRPr="00AC1297">
        <w:rPr>
          <w:i/>
          <w:iCs/>
          <w:color w:val="1A1A1A"/>
          <w:sz w:val="24"/>
          <w:szCs w:val="24"/>
        </w:rPr>
        <w:t>et</w:t>
      </w:r>
      <w:proofErr w:type="gramEnd"/>
      <w:r w:rsidRPr="00AC1297">
        <w:rPr>
          <w:i/>
          <w:iCs/>
          <w:color w:val="1A1A1A"/>
          <w:sz w:val="24"/>
          <w:szCs w:val="24"/>
        </w:rPr>
        <w:t xml:space="preserve"> Cosmochimica Acta</w:t>
      </w:r>
      <w:r w:rsidRPr="00AC1297">
        <w:rPr>
          <w:color w:val="1A1A1A"/>
          <w:sz w:val="24"/>
          <w:szCs w:val="24"/>
        </w:rPr>
        <w:t xml:space="preserve">, </w:t>
      </w:r>
      <w:r w:rsidRPr="00AC1297">
        <w:rPr>
          <w:i/>
          <w:iCs/>
          <w:color w:val="1A1A1A"/>
          <w:sz w:val="24"/>
          <w:szCs w:val="24"/>
        </w:rPr>
        <w:t>71</w:t>
      </w:r>
      <w:r w:rsidRPr="00AC1297">
        <w:rPr>
          <w:color w:val="1A1A1A"/>
          <w:sz w:val="24"/>
          <w:szCs w:val="24"/>
        </w:rPr>
        <w:t>(2), 481-496.</w:t>
      </w:r>
    </w:p>
    <w:p w14:paraId="71A12909" w14:textId="3010C722" w:rsidR="000F4365" w:rsidRPr="00AC1297" w:rsidRDefault="000F4365" w:rsidP="00AC1297">
      <w:pPr>
        <w:spacing w:after="120"/>
        <w:jc w:val="both"/>
        <w:rPr>
          <w:bCs/>
          <w:i/>
          <w:sz w:val="24"/>
          <w:szCs w:val="24"/>
        </w:rPr>
      </w:pPr>
      <w:proofErr w:type="gramStart"/>
      <w:r w:rsidRPr="00AC1297">
        <w:rPr>
          <w:color w:val="1A1A1A"/>
          <w:sz w:val="24"/>
          <w:szCs w:val="24"/>
        </w:rPr>
        <w:t>Lehnert, K., Su, Y., Langmuir, C. H., Sarbas, B., &amp; Nohl, U. (2000).</w:t>
      </w:r>
      <w:proofErr w:type="gramEnd"/>
      <w:r w:rsidRPr="00AC1297">
        <w:rPr>
          <w:color w:val="1A1A1A"/>
          <w:sz w:val="24"/>
          <w:szCs w:val="24"/>
        </w:rPr>
        <w:t xml:space="preserve"> </w:t>
      </w:r>
      <w:proofErr w:type="gramStart"/>
      <w:r w:rsidRPr="00AC1297">
        <w:rPr>
          <w:color w:val="1A1A1A"/>
          <w:sz w:val="24"/>
          <w:szCs w:val="24"/>
        </w:rPr>
        <w:t>A global geochemical database structure for rocks.</w:t>
      </w:r>
      <w:proofErr w:type="gramEnd"/>
      <w:r w:rsidRPr="00AC1297">
        <w:rPr>
          <w:color w:val="1A1A1A"/>
          <w:sz w:val="24"/>
          <w:szCs w:val="24"/>
        </w:rPr>
        <w:t xml:space="preserve">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1</w:t>
      </w:r>
      <w:r w:rsidRPr="00AC1297">
        <w:rPr>
          <w:color w:val="1A1A1A"/>
          <w:sz w:val="24"/>
          <w:szCs w:val="24"/>
        </w:rPr>
        <w:t>(5).</w:t>
      </w:r>
      <w:proofErr w:type="gramEnd"/>
    </w:p>
    <w:p w14:paraId="57CA1730" w14:textId="0EB44297" w:rsidR="000F4365" w:rsidRDefault="000F4365" w:rsidP="00AC1297">
      <w:pPr>
        <w:spacing w:after="120"/>
        <w:jc w:val="both"/>
        <w:rPr>
          <w:color w:val="1A1A1A"/>
          <w:sz w:val="24"/>
          <w:szCs w:val="24"/>
        </w:rPr>
      </w:pPr>
      <w:proofErr w:type="gramStart"/>
      <w:r w:rsidRPr="00AC1297">
        <w:rPr>
          <w:color w:val="1A1A1A"/>
          <w:sz w:val="24"/>
          <w:szCs w:val="24"/>
        </w:rPr>
        <w:t>Liang, Y., &amp; Parmentier, E. M. (2010).</w:t>
      </w:r>
      <w:proofErr w:type="gramEnd"/>
      <w:r w:rsidRPr="00AC1297">
        <w:rPr>
          <w:color w:val="1A1A1A"/>
          <w:sz w:val="24"/>
          <w:szCs w:val="24"/>
        </w:rPr>
        <w:t xml:space="preserve"> A two-porosity double lithology model for partial melting, melt transport and melt–rock reaction in the mantle: mass conservation equations and trace element transport. </w:t>
      </w:r>
      <w:r w:rsidRPr="00AC1297">
        <w:rPr>
          <w:i/>
          <w:iCs/>
          <w:color w:val="1A1A1A"/>
          <w:sz w:val="24"/>
          <w:szCs w:val="24"/>
        </w:rPr>
        <w:t>Journal of Petrology</w:t>
      </w:r>
      <w:r w:rsidRPr="00AC1297">
        <w:rPr>
          <w:color w:val="1A1A1A"/>
          <w:sz w:val="24"/>
          <w:szCs w:val="24"/>
        </w:rPr>
        <w:t>, egp086.</w:t>
      </w:r>
    </w:p>
    <w:p w14:paraId="57FABCD2" w14:textId="0668227A" w:rsidR="00D67DD3" w:rsidRPr="00D67DD3" w:rsidRDefault="00D67DD3" w:rsidP="00AC1297">
      <w:pPr>
        <w:spacing w:after="120"/>
        <w:jc w:val="both"/>
        <w:rPr>
          <w:bCs/>
          <w:i/>
          <w:sz w:val="24"/>
          <w:szCs w:val="24"/>
        </w:rPr>
      </w:pPr>
      <w:proofErr w:type="gramStart"/>
      <w:r w:rsidRPr="00AC1297">
        <w:rPr>
          <w:color w:val="1A1A1A"/>
          <w:sz w:val="24"/>
          <w:szCs w:val="24"/>
        </w:rPr>
        <w:lastRenderedPageBreak/>
        <w:t>Lissenberg, C. J., &amp; Dick, H. J. (2008).</w:t>
      </w:r>
      <w:proofErr w:type="gramEnd"/>
      <w:r w:rsidRPr="00AC1297">
        <w:rPr>
          <w:color w:val="1A1A1A"/>
          <w:sz w:val="24"/>
          <w:szCs w:val="24"/>
        </w:rPr>
        <w:t xml:space="preserve"> </w:t>
      </w:r>
      <w:proofErr w:type="gramStart"/>
      <w:r w:rsidRPr="00AC1297">
        <w:rPr>
          <w:color w:val="1A1A1A"/>
          <w:sz w:val="24"/>
          <w:szCs w:val="24"/>
        </w:rPr>
        <w:t>Melt–rock reaction in the lower oceanic crust and its implications for the genesis of mid-ocean ridge basalt.</w:t>
      </w:r>
      <w:proofErr w:type="gramEnd"/>
      <w:r w:rsidRPr="00AC1297">
        <w:rPr>
          <w:color w:val="1A1A1A"/>
          <w:sz w:val="24"/>
          <w:szCs w:val="24"/>
        </w:rPr>
        <w:t xml:space="preserve">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271</w:t>
      </w:r>
      <w:r w:rsidRPr="00AC1297">
        <w:rPr>
          <w:color w:val="1A1A1A"/>
          <w:sz w:val="24"/>
          <w:szCs w:val="24"/>
        </w:rPr>
        <w:t>(1), 311-325.</w:t>
      </w:r>
    </w:p>
    <w:p w14:paraId="5F34C798" w14:textId="12E28D7A" w:rsidR="000F4365" w:rsidRPr="00AC1297" w:rsidRDefault="000F4365" w:rsidP="00AC1297">
      <w:pPr>
        <w:spacing w:after="120"/>
        <w:jc w:val="both"/>
        <w:rPr>
          <w:i/>
          <w:sz w:val="24"/>
          <w:szCs w:val="24"/>
        </w:rPr>
      </w:pPr>
      <w:proofErr w:type="gramStart"/>
      <w:r w:rsidRPr="00AC1297">
        <w:rPr>
          <w:color w:val="1A1A1A"/>
          <w:sz w:val="24"/>
          <w:szCs w:val="24"/>
        </w:rPr>
        <w:t>Lundstrom, C. C., Gill, J., Williams, Q., &amp; Perfit, M. R. (1995).</w:t>
      </w:r>
      <w:proofErr w:type="gramEnd"/>
      <w:r w:rsidRPr="00AC1297">
        <w:rPr>
          <w:color w:val="1A1A1A"/>
          <w:sz w:val="24"/>
          <w:szCs w:val="24"/>
        </w:rPr>
        <w:t xml:space="preserve"> </w:t>
      </w:r>
      <w:proofErr w:type="gramStart"/>
      <w:r w:rsidRPr="00AC1297">
        <w:rPr>
          <w:color w:val="1A1A1A"/>
          <w:sz w:val="24"/>
          <w:szCs w:val="24"/>
        </w:rPr>
        <w:t>Mantle melting and basalt extraction by equilibrium porous flow.</w:t>
      </w:r>
      <w:proofErr w:type="gramEnd"/>
      <w:r w:rsidRPr="00AC1297">
        <w:rPr>
          <w:color w:val="1A1A1A"/>
          <w:sz w:val="24"/>
          <w:szCs w:val="24"/>
        </w:rPr>
        <w:t xml:space="preserve"> </w:t>
      </w:r>
      <w:proofErr w:type="gramStart"/>
      <w:r w:rsidRPr="00AC1297">
        <w:rPr>
          <w:i/>
          <w:iCs/>
          <w:color w:val="1A1A1A"/>
          <w:sz w:val="24"/>
          <w:szCs w:val="24"/>
        </w:rPr>
        <w:t>Science</w:t>
      </w:r>
      <w:r w:rsidRPr="00AC1297">
        <w:rPr>
          <w:color w:val="1A1A1A"/>
          <w:sz w:val="24"/>
          <w:szCs w:val="24"/>
        </w:rPr>
        <w:t xml:space="preserve">, </w:t>
      </w:r>
      <w:r w:rsidRPr="00AC1297">
        <w:rPr>
          <w:i/>
          <w:iCs/>
          <w:color w:val="1A1A1A"/>
          <w:sz w:val="24"/>
          <w:szCs w:val="24"/>
        </w:rPr>
        <w:t>270</w:t>
      </w:r>
      <w:r w:rsidRPr="00AC1297">
        <w:rPr>
          <w:color w:val="1A1A1A"/>
          <w:sz w:val="24"/>
          <w:szCs w:val="24"/>
        </w:rPr>
        <w:t>(5244), 1958.</w:t>
      </w:r>
      <w:proofErr w:type="gramEnd"/>
    </w:p>
    <w:p w14:paraId="7397B238" w14:textId="185A4429" w:rsidR="000F4365" w:rsidRPr="00AC1297" w:rsidRDefault="000F4365" w:rsidP="00AC1297">
      <w:pPr>
        <w:spacing w:after="120"/>
        <w:jc w:val="both"/>
        <w:rPr>
          <w:bCs/>
          <w:i/>
          <w:sz w:val="24"/>
          <w:szCs w:val="24"/>
        </w:rPr>
      </w:pPr>
      <w:proofErr w:type="gramStart"/>
      <w:r w:rsidRPr="00AC1297">
        <w:rPr>
          <w:color w:val="1A1A1A"/>
          <w:sz w:val="24"/>
          <w:szCs w:val="24"/>
        </w:rPr>
        <w:t>Manhes, G., Minster, J. F., &amp; Allegre, C. J. (1978).</w:t>
      </w:r>
      <w:proofErr w:type="gramEnd"/>
      <w:r w:rsidRPr="00AC1297">
        <w:rPr>
          <w:color w:val="1A1A1A"/>
          <w:sz w:val="24"/>
          <w:szCs w:val="24"/>
        </w:rPr>
        <w:t xml:space="preserve"> Comparative uranium-thorium-lead and rubidium-strontium study of the Saint Severin amphoterite: Consequences for early solar system chronology.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39</w:t>
      </w:r>
      <w:r w:rsidRPr="00AC1297">
        <w:rPr>
          <w:color w:val="1A1A1A"/>
          <w:sz w:val="24"/>
          <w:szCs w:val="24"/>
        </w:rPr>
        <w:t>(1), 14-24.</w:t>
      </w:r>
    </w:p>
    <w:p w14:paraId="2B38BA25" w14:textId="59F58D45" w:rsidR="000F4365" w:rsidRDefault="000F4365" w:rsidP="00AC1297">
      <w:pPr>
        <w:spacing w:after="120"/>
        <w:jc w:val="both"/>
        <w:rPr>
          <w:color w:val="1A1A1A"/>
          <w:sz w:val="24"/>
          <w:szCs w:val="24"/>
        </w:rPr>
      </w:pPr>
      <w:r w:rsidRPr="00AC1297">
        <w:rPr>
          <w:color w:val="1A1A1A"/>
          <w:sz w:val="24"/>
          <w:szCs w:val="24"/>
        </w:rPr>
        <w:t xml:space="preserve">McDonough, W. F., &amp; Sun, S. S. (1995). </w:t>
      </w:r>
      <w:proofErr w:type="gramStart"/>
      <w:r w:rsidRPr="00AC1297">
        <w:rPr>
          <w:color w:val="1A1A1A"/>
          <w:sz w:val="24"/>
          <w:szCs w:val="24"/>
        </w:rPr>
        <w:t>The composition of the Earth.</w:t>
      </w:r>
      <w:proofErr w:type="gramEnd"/>
      <w:r w:rsidRPr="00AC1297">
        <w:rPr>
          <w:color w:val="1A1A1A"/>
          <w:sz w:val="24"/>
          <w:szCs w:val="24"/>
        </w:rPr>
        <w:t xml:space="preserve"> </w:t>
      </w:r>
      <w:proofErr w:type="gramStart"/>
      <w:r w:rsidRPr="00AC1297">
        <w:rPr>
          <w:i/>
          <w:iCs/>
          <w:color w:val="1A1A1A"/>
          <w:sz w:val="24"/>
          <w:szCs w:val="24"/>
        </w:rPr>
        <w:t>Chemical geology</w:t>
      </w:r>
      <w:r w:rsidRPr="00AC1297">
        <w:rPr>
          <w:color w:val="1A1A1A"/>
          <w:sz w:val="24"/>
          <w:szCs w:val="24"/>
        </w:rPr>
        <w:t xml:space="preserve">, </w:t>
      </w:r>
      <w:r w:rsidRPr="00AC1297">
        <w:rPr>
          <w:i/>
          <w:iCs/>
          <w:color w:val="1A1A1A"/>
          <w:sz w:val="24"/>
          <w:szCs w:val="24"/>
        </w:rPr>
        <w:t>120</w:t>
      </w:r>
      <w:r w:rsidRPr="00AC1297">
        <w:rPr>
          <w:color w:val="1A1A1A"/>
          <w:sz w:val="24"/>
          <w:szCs w:val="24"/>
        </w:rPr>
        <w:t>(3), 223-253.</w:t>
      </w:r>
      <w:proofErr w:type="gramEnd"/>
    </w:p>
    <w:p w14:paraId="7AAFB206" w14:textId="77777777" w:rsidR="003468FC" w:rsidRPr="001F338C" w:rsidRDefault="003468FC" w:rsidP="003468FC">
      <w:pPr>
        <w:jc w:val="both"/>
        <w:rPr>
          <w:rFonts w:eastAsia="Times New Roman"/>
          <w:sz w:val="24"/>
          <w:lang w:val="en-GB" w:eastAsia="fr-FR"/>
          <w:rPrChange w:id="149" w:author="Daniele" w:date="2016-04-03T18:31:00Z">
            <w:rPr>
              <w:rFonts w:eastAsia="Times New Roman"/>
              <w:sz w:val="24"/>
              <w:lang w:val="fr-FR" w:eastAsia="fr-FR"/>
            </w:rPr>
          </w:rPrChange>
        </w:rPr>
      </w:pPr>
      <w:r w:rsidRPr="001F338C">
        <w:rPr>
          <w:rFonts w:eastAsia="Times New Roman"/>
          <w:sz w:val="24"/>
          <w:lang w:val="en-GB" w:eastAsia="fr-FR"/>
          <w:rPrChange w:id="150" w:author="Daniele" w:date="2016-04-03T18:31:00Z">
            <w:rPr>
              <w:rFonts w:eastAsia="Times New Roman"/>
              <w:sz w:val="24"/>
              <w:lang w:val="fr-FR" w:eastAsia="fr-FR"/>
            </w:rPr>
          </w:rPrChange>
        </w:rPr>
        <w:t>Mével, C., Agrinier, P., Cannat, M., Decitre, S., Dappoigny, A., Humler, E</w:t>
      </w:r>
      <w:proofErr w:type="gramStart"/>
      <w:r w:rsidRPr="001F338C">
        <w:rPr>
          <w:rFonts w:eastAsia="Times New Roman"/>
          <w:sz w:val="24"/>
          <w:lang w:val="en-GB" w:eastAsia="fr-FR"/>
          <w:rPrChange w:id="151" w:author="Daniele" w:date="2016-04-03T18:31:00Z">
            <w:rPr>
              <w:rFonts w:eastAsia="Times New Roman"/>
              <w:sz w:val="24"/>
              <w:lang w:val="fr-FR" w:eastAsia="fr-FR"/>
            </w:rPr>
          </w:rPrChange>
        </w:rPr>
        <w:t>., ...</w:t>
      </w:r>
      <w:proofErr w:type="gramEnd"/>
      <w:r w:rsidRPr="001F338C">
        <w:rPr>
          <w:rFonts w:eastAsia="Times New Roman"/>
          <w:sz w:val="24"/>
          <w:lang w:val="en-GB" w:eastAsia="fr-FR"/>
          <w:rPrChange w:id="152" w:author="Daniele" w:date="2016-04-03T18:31:00Z">
            <w:rPr>
              <w:rFonts w:eastAsia="Times New Roman"/>
              <w:sz w:val="24"/>
              <w:lang w:val="fr-FR" w:eastAsia="fr-FR"/>
            </w:rPr>
          </w:rPrChange>
        </w:rPr>
        <w:t xml:space="preserve"> &amp; Oufi, O. (1997). Sampling the Southwest Indian Ridge: First results of the EDUL cruise (R/V Marion Dufresne II, August 1997). </w:t>
      </w:r>
      <w:r w:rsidRPr="001F338C">
        <w:rPr>
          <w:rFonts w:eastAsia="Times New Roman"/>
          <w:i/>
          <w:iCs/>
          <w:sz w:val="24"/>
          <w:lang w:val="en-GB" w:eastAsia="fr-FR"/>
          <w:rPrChange w:id="153" w:author="Daniele" w:date="2016-04-03T18:31:00Z">
            <w:rPr>
              <w:rFonts w:eastAsia="Times New Roman"/>
              <w:i/>
              <w:iCs/>
              <w:sz w:val="24"/>
              <w:lang w:val="fr-FR" w:eastAsia="fr-FR"/>
            </w:rPr>
          </w:rPrChange>
        </w:rPr>
        <w:t>InterRidge News</w:t>
      </w:r>
      <w:r w:rsidRPr="001F338C">
        <w:rPr>
          <w:rFonts w:eastAsia="Times New Roman"/>
          <w:sz w:val="24"/>
          <w:lang w:val="en-GB" w:eastAsia="fr-FR"/>
          <w:rPrChange w:id="154" w:author="Daniele" w:date="2016-04-03T18:31:00Z">
            <w:rPr>
              <w:rFonts w:eastAsia="Times New Roman"/>
              <w:sz w:val="24"/>
              <w:lang w:val="fr-FR" w:eastAsia="fr-FR"/>
            </w:rPr>
          </w:rPrChange>
        </w:rPr>
        <w:t xml:space="preserve">, </w:t>
      </w:r>
      <w:r w:rsidRPr="001F338C">
        <w:rPr>
          <w:rFonts w:eastAsia="Times New Roman"/>
          <w:i/>
          <w:iCs/>
          <w:sz w:val="24"/>
          <w:lang w:val="en-GB" w:eastAsia="fr-FR"/>
          <w:rPrChange w:id="155" w:author="Daniele" w:date="2016-04-03T18:31:00Z">
            <w:rPr>
              <w:rFonts w:eastAsia="Times New Roman"/>
              <w:i/>
              <w:iCs/>
              <w:sz w:val="24"/>
              <w:lang w:val="fr-FR" w:eastAsia="fr-FR"/>
            </w:rPr>
          </w:rPrChange>
        </w:rPr>
        <w:t>6</w:t>
      </w:r>
      <w:r w:rsidRPr="001F338C">
        <w:rPr>
          <w:rFonts w:eastAsia="Times New Roman"/>
          <w:sz w:val="24"/>
          <w:lang w:val="en-GB" w:eastAsia="fr-FR"/>
          <w:rPrChange w:id="156" w:author="Daniele" w:date="2016-04-03T18:31:00Z">
            <w:rPr>
              <w:rFonts w:eastAsia="Times New Roman"/>
              <w:sz w:val="24"/>
              <w:lang w:val="fr-FR" w:eastAsia="fr-FR"/>
            </w:rPr>
          </w:rPrChange>
        </w:rPr>
        <w:t>(2), 25-26.</w:t>
      </w:r>
    </w:p>
    <w:p w14:paraId="63A362B9" w14:textId="77777777" w:rsidR="003468FC" w:rsidRPr="00AC1297" w:rsidRDefault="003468FC" w:rsidP="00AC1297">
      <w:pPr>
        <w:spacing w:after="120"/>
        <w:jc w:val="both"/>
        <w:rPr>
          <w:i/>
          <w:sz w:val="24"/>
          <w:szCs w:val="24"/>
        </w:rPr>
      </w:pPr>
    </w:p>
    <w:p w14:paraId="41054952" w14:textId="3C3968A2" w:rsidR="000F4365" w:rsidRPr="00AC1297" w:rsidRDefault="000F4365" w:rsidP="00AC1297">
      <w:pPr>
        <w:spacing w:after="120"/>
        <w:jc w:val="both"/>
        <w:rPr>
          <w:i/>
          <w:sz w:val="24"/>
          <w:szCs w:val="24"/>
        </w:rPr>
      </w:pPr>
      <w:proofErr w:type="gramStart"/>
      <w:r w:rsidRPr="00AC1297">
        <w:rPr>
          <w:color w:val="1A1A1A"/>
          <w:sz w:val="24"/>
          <w:szCs w:val="24"/>
        </w:rPr>
        <w:t>Meyzen, C. M., Toplis, M. J., Humler, E., Ludden, J. N., &amp; Mével, C. (2003).</w:t>
      </w:r>
      <w:proofErr w:type="gramEnd"/>
      <w:r w:rsidRPr="00AC1297">
        <w:rPr>
          <w:color w:val="1A1A1A"/>
          <w:sz w:val="24"/>
          <w:szCs w:val="24"/>
        </w:rPr>
        <w:t xml:space="preserve"> </w:t>
      </w:r>
      <w:proofErr w:type="gramStart"/>
      <w:r w:rsidRPr="00AC1297">
        <w:rPr>
          <w:color w:val="1A1A1A"/>
          <w:sz w:val="24"/>
          <w:szCs w:val="24"/>
        </w:rPr>
        <w:t>A discontinuity in mantle composition beneath the southwest Indian ridge.</w:t>
      </w:r>
      <w:proofErr w:type="gramEnd"/>
      <w:r w:rsidRPr="00AC1297">
        <w:rPr>
          <w:color w:val="1A1A1A"/>
          <w:sz w:val="24"/>
          <w:szCs w:val="24"/>
        </w:rPr>
        <w:t xml:space="preserve"> </w:t>
      </w:r>
      <w:r w:rsidRPr="00AC1297">
        <w:rPr>
          <w:i/>
          <w:iCs/>
          <w:color w:val="1A1A1A"/>
          <w:sz w:val="24"/>
          <w:szCs w:val="24"/>
        </w:rPr>
        <w:t>Nature</w:t>
      </w:r>
      <w:r w:rsidRPr="00AC1297">
        <w:rPr>
          <w:color w:val="1A1A1A"/>
          <w:sz w:val="24"/>
          <w:szCs w:val="24"/>
        </w:rPr>
        <w:t xml:space="preserve">, </w:t>
      </w:r>
      <w:r w:rsidRPr="00AC1297">
        <w:rPr>
          <w:i/>
          <w:iCs/>
          <w:color w:val="1A1A1A"/>
          <w:sz w:val="24"/>
          <w:szCs w:val="24"/>
        </w:rPr>
        <w:t>421</w:t>
      </w:r>
      <w:r w:rsidRPr="00AC1297">
        <w:rPr>
          <w:color w:val="1A1A1A"/>
          <w:sz w:val="24"/>
          <w:szCs w:val="24"/>
        </w:rPr>
        <w:t>(6924), 731-733.</w:t>
      </w:r>
    </w:p>
    <w:p w14:paraId="1B868303" w14:textId="016FDD28" w:rsidR="000F4365" w:rsidRDefault="000F4365" w:rsidP="00AC1297">
      <w:pPr>
        <w:spacing w:after="120"/>
        <w:jc w:val="both"/>
        <w:rPr>
          <w:color w:val="1A1A1A"/>
          <w:sz w:val="24"/>
          <w:szCs w:val="24"/>
        </w:rPr>
      </w:pPr>
      <w:proofErr w:type="gramStart"/>
      <w:r w:rsidRPr="00AC1297">
        <w:rPr>
          <w:color w:val="1A1A1A"/>
          <w:sz w:val="24"/>
          <w:szCs w:val="24"/>
        </w:rPr>
        <w:t>Meyzen, C. M., Ludden, J. N., Humler, E., Luais, B., Toplis, M. J., Mével, C., &amp; Storey, M. (2005).</w:t>
      </w:r>
      <w:proofErr w:type="gramEnd"/>
      <w:r w:rsidRPr="00AC1297">
        <w:rPr>
          <w:color w:val="1A1A1A"/>
          <w:sz w:val="24"/>
          <w:szCs w:val="24"/>
        </w:rPr>
        <w:t xml:space="preserve"> </w:t>
      </w:r>
      <w:proofErr w:type="gramStart"/>
      <w:r w:rsidRPr="00AC1297">
        <w:rPr>
          <w:color w:val="1A1A1A"/>
          <w:sz w:val="24"/>
          <w:szCs w:val="24"/>
        </w:rPr>
        <w:t>New insights into the origin and distribution of the DUPAL isotope anomaly in the Indian Ocean mantle from MORB of the Southwest Indian Ridge.</w:t>
      </w:r>
      <w:proofErr w:type="gramEnd"/>
      <w:r w:rsidRPr="00AC1297">
        <w:rPr>
          <w:color w:val="1A1A1A"/>
          <w:sz w:val="24"/>
          <w:szCs w:val="24"/>
        </w:rPr>
        <w:t xml:space="preserve">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6</w:t>
      </w:r>
      <w:r w:rsidRPr="00AC1297">
        <w:rPr>
          <w:color w:val="1A1A1A"/>
          <w:sz w:val="24"/>
          <w:szCs w:val="24"/>
        </w:rPr>
        <w:t>(11).</w:t>
      </w:r>
      <w:proofErr w:type="gramEnd"/>
    </w:p>
    <w:p w14:paraId="01CF359C" w14:textId="40E67C46" w:rsidR="00D67DD3" w:rsidRPr="00D67DD3" w:rsidRDefault="00D67DD3" w:rsidP="00D67DD3">
      <w:pPr>
        <w:spacing w:after="120"/>
        <w:jc w:val="both"/>
        <w:rPr>
          <w:color w:val="1A1A1A"/>
          <w:sz w:val="24"/>
          <w:szCs w:val="24"/>
        </w:rPr>
      </w:pPr>
      <w:proofErr w:type="gramStart"/>
      <w:r w:rsidRPr="00AC1297">
        <w:rPr>
          <w:color w:val="1A1A1A"/>
          <w:sz w:val="24"/>
          <w:szCs w:val="24"/>
        </w:rPr>
        <w:t>Michael, P. J., &amp; Cornell, W. C. (1998).</w:t>
      </w:r>
      <w:proofErr w:type="gramEnd"/>
      <w:r w:rsidRPr="00AC1297">
        <w:rPr>
          <w:color w:val="1A1A1A"/>
          <w:sz w:val="24"/>
          <w:szCs w:val="24"/>
        </w:rPr>
        <w:t xml:space="preserve"> Influence of spreading rate and magma supply on crystallization and assimilation beneath mid</w:t>
      </w:r>
      <w:r w:rsidRPr="00AC1297">
        <w:rPr>
          <w:rFonts w:ascii="Noteworthy Light" w:hAnsi="Noteworthy Light" w:cs="Noteworthy Light"/>
          <w:color w:val="1A1A1A"/>
          <w:sz w:val="24"/>
          <w:szCs w:val="24"/>
        </w:rPr>
        <w:t>‐</w:t>
      </w:r>
      <w:r w:rsidRPr="00AC1297">
        <w:rPr>
          <w:color w:val="1A1A1A"/>
          <w:sz w:val="24"/>
          <w:szCs w:val="24"/>
        </w:rPr>
        <w:t>ocean ridges: Evidence from chlorine and major element chemistry of mid</w:t>
      </w:r>
      <w:r w:rsidRPr="00AC1297">
        <w:rPr>
          <w:rFonts w:ascii="Noteworthy Light" w:hAnsi="Noteworthy Light" w:cs="Noteworthy Light"/>
          <w:color w:val="1A1A1A"/>
          <w:sz w:val="24"/>
          <w:szCs w:val="24"/>
        </w:rPr>
        <w:t>‐</w:t>
      </w:r>
      <w:r w:rsidRPr="00AC1297">
        <w:rPr>
          <w:color w:val="1A1A1A"/>
          <w:sz w:val="24"/>
          <w:szCs w:val="24"/>
        </w:rPr>
        <w:t xml:space="preserve">ocean ridge basalts.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103</w:t>
      </w:r>
      <w:r w:rsidRPr="00AC1297">
        <w:rPr>
          <w:color w:val="1A1A1A"/>
          <w:sz w:val="24"/>
          <w:szCs w:val="24"/>
        </w:rPr>
        <w:t>(B8), 18,325-18,356.</w:t>
      </w:r>
    </w:p>
    <w:p w14:paraId="720012BD" w14:textId="503039AF" w:rsidR="000F4365" w:rsidRPr="00AC1297" w:rsidRDefault="000F4365" w:rsidP="00AC1297">
      <w:pPr>
        <w:widowControl w:val="0"/>
        <w:autoSpaceDE w:val="0"/>
        <w:autoSpaceDN w:val="0"/>
        <w:adjustRightInd w:val="0"/>
        <w:spacing w:after="120"/>
        <w:jc w:val="both"/>
        <w:rPr>
          <w:sz w:val="24"/>
          <w:szCs w:val="24"/>
        </w:rPr>
      </w:pPr>
      <w:proofErr w:type="gramStart"/>
      <w:r w:rsidRPr="00AC1297">
        <w:rPr>
          <w:color w:val="1A1718"/>
          <w:sz w:val="24"/>
          <w:szCs w:val="24"/>
        </w:rPr>
        <w:t>Miller, D.J., Abratis, M., Christie, D., Drouin, M., Godard, M., Ildefonse, B., Maeda, J., Weinsteiger, A., Yamasaki, T., Suzuki, Y., Niino, A., Sato, Y., and Takeda, F., in press.</w:t>
      </w:r>
      <w:proofErr w:type="gramEnd"/>
      <w:r w:rsidRPr="00AC1297">
        <w:rPr>
          <w:color w:val="1A1718"/>
          <w:sz w:val="24"/>
          <w:szCs w:val="24"/>
        </w:rPr>
        <w:t xml:space="preserve"> Data report: microprobe analyses of primary mineral phases from Site U1309, Atlantis Massif, </w:t>
      </w:r>
      <w:proofErr w:type="gramStart"/>
      <w:r w:rsidRPr="00AC1297">
        <w:rPr>
          <w:color w:val="1A1718"/>
          <w:sz w:val="24"/>
          <w:szCs w:val="24"/>
        </w:rPr>
        <w:t>IODP</w:t>
      </w:r>
      <w:proofErr w:type="gramEnd"/>
      <w:r w:rsidRPr="00AC1297">
        <w:rPr>
          <w:color w:val="1A1718"/>
          <w:sz w:val="24"/>
          <w:szCs w:val="24"/>
        </w:rPr>
        <w:t xml:space="preserve"> Expedition 304/305. In: Blackman, D.K., Ildefonse, B., John, B.E., Ohara, Y., Miller, D.J., MacLeod, C.J., and the Expedition 304/305 Scientists, Proc. IODP, 304/305: College Station, TX (Integrated Ocean Drilling Program Management International, Inc.). </w:t>
      </w:r>
    </w:p>
    <w:p w14:paraId="1841E135" w14:textId="6521DB4B" w:rsidR="000F4365" w:rsidRPr="00AC1297" w:rsidRDefault="000F4365" w:rsidP="00AC1297">
      <w:pPr>
        <w:spacing w:after="120"/>
        <w:jc w:val="both"/>
        <w:rPr>
          <w:i/>
          <w:sz w:val="24"/>
          <w:szCs w:val="24"/>
        </w:rPr>
      </w:pPr>
      <w:r w:rsidRPr="001F338C">
        <w:rPr>
          <w:color w:val="1A1A1A"/>
          <w:sz w:val="24"/>
          <w:szCs w:val="24"/>
          <w:lang w:val="it-IT"/>
          <w:rPrChange w:id="157" w:author="Daniele" w:date="2016-04-03T18:31:00Z">
            <w:rPr>
              <w:color w:val="1A1A1A"/>
              <w:sz w:val="24"/>
              <w:szCs w:val="24"/>
            </w:rPr>
          </w:rPrChange>
        </w:rPr>
        <w:t xml:space="preserve">Morishita, </w:t>
      </w:r>
      <w:proofErr w:type="gramStart"/>
      <w:r w:rsidRPr="001F338C">
        <w:rPr>
          <w:color w:val="1A1A1A"/>
          <w:sz w:val="24"/>
          <w:szCs w:val="24"/>
          <w:lang w:val="it-IT"/>
          <w:rPrChange w:id="158" w:author="Daniele" w:date="2016-04-03T18:31:00Z">
            <w:rPr>
              <w:color w:val="1A1A1A"/>
              <w:sz w:val="24"/>
              <w:szCs w:val="24"/>
            </w:rPr>
          </w:rPrChange>
        </w:rPr>
        <w:t>T.</w:t>
      </w:r>
      <w:proofErr w:type="gramEnd"/>
      <w:r w:rsidRPr="001F338C">
        <w:rPr>
          <w:color w:val="1A1A1A"/>
          <w:sz w:val="24"/>
          <w:szCs w:val="24"/>
          <w:lang w:val="it-IT"/>
          <w:rPrChange w:id="159" w:author="Daniele" w:date="2016-04-03T18:31:00Z">
            <w:rPr>
              <w:color w:val="1A1A1A"/>
              <w:sz w:val="24"/>
              <w:szCs w:val="24"/>
            </w:rPr>
          </w:rPrChange>
        </w:rPr>
        <w:t xml:space="preserve">, Ishida, Y., Arai, S., &amp; Shirasaka, M. (2005). </w:t>
      </w:r>
      <w:proofErr w:type="gramStart"/>
      <w:r w:rsidRPr="00AC1297">
        <w:rPr>
          <w:color w:val="1A1A1A"/>
          <w:sz w:val="24"/>
          <w:szCs w:val="24"/>
        </w:rPr>
        <w:t>Determination of Multiple Trace Element Compositions in Thin (&gt; 30 μm) Layers of NIST SRM 614 and 616 Using Laser Ablation</w:t>
      </w:r>
      <w:r w:rsidRPr="00AC1297">
        <w:rPr>
          <w:rFonts w:ascii="Noteworthy Light" w:hAnsi="Noteworthy Light" w:cs="Noteworthy Light"/>
          <w:color w:val="1A1A1A"/>
          <w:sz w:val="24"/>
          <w:szCs w:val="24"/>
        </w:rPr>
        <w:t>‐</w:t>
      </w:r>
      <w:r w:rsidRPr="00AC1297">
        <w:rPr>
          <w:color w:val="1A1A1A"/>
          <w:sz w:val="24"/>
          <w:szCs w:val="24"/>
        </w:rPr>
        <w:t>Inductively Coupled Plasma</w:t>
      </w:r>
      <w:r w:rsidRPr="00AC1297">
        <w:rPr>
          <w:rFonts w:ascii="Noteworthy Light" w:hAnsi="Noteworthy Light" w:cs="Noteworthy Light"/>
          <w:color w:val="1A1A1A"/>
          <w:sz w:val="24"/>
          <w:szCs w:val="24"/>
        </w:rPr>
        <w:t>‐</w:t>
      </w:r>
      <w:r w:rsidRPr="00AC1297">
        <w:rPr>
          <w:color w:val="1A1A1A"/>
          <w:sz w:val="24"/>
          <w:szCs w:val="24"/>
        </w:rPr>
        <w:t>Mass Spectrometry (LA</w:t>
      </w:r>
      <w:r w:rsidRPr="00AC1297">
        <w:rPr>
          <w:rFonts w:ascii="Noteworthy Light" w:hAnsi="Noteworthy Light" w:cs="Noteworthy Light"/>
          <w:color w:val="1A1A1A"/>
          <w:sz w:val="24"/>
          <w:szCs w:val="24"/>
        </w:rPr>
        <w:t>‐</w:t>
      </w:r>
      <w:r w:rsidRPr="00AC1297">
        <w:rPr>
          <w:color w:val="1A1A1A"/>
          <w:sz w:val="24"/>
          <w:szCs w:val="24"/>
        </w:rPr>
        <w:t>ICP</w:t>
      </w:r>
      <w:r w:rsidRPr="00AC1297">
        <w:rPr>
          <w:rFonts w:ascii="Noteworthy Light" w:hAnsi="Noteworthy Light" w:cs="Noteworthy Light"/>
          <w:color w:val="1A1A1A"/>
          <w:sz w:val="24"/>
          <w:szCs w:val="24"/>
        </w:rPr>
        <w:t>‐</w:t>
      </w:r>
      <w:r w:rsidRPr="00AC1297">
        <w:rPr>
          <w:color w:val="1A1A1A"/>
          <w:sz w:val="24"/>
          <w:szCs w:val="24"/>
        </w:rPr>
        <w:t>MS).</w:t>
      </w:r>
      <w:proofErr w:type="gramEnd"/>
      <w:r w:rsidRPr="00AC1297">
        <w:rPr>
          <w:color w:val="1A1A1A"/>
          <w:sz w:val="24"/>
          <w:szCs w:val="24"/>
        </w:rPr>
        <w:t xml:space="preserve"> </w:t>
      </w:r>
      <w:r w:rsidRPr="00AC1297">
        <w:rPr>
          <w:i/>
          <w:iCs/>
          <w:color w:val="1A1A1A"/>
          <w:sz w:val="24"/>
          <w:szCs w:val="24"/>
        </w:rPr>
        <w:t>Geostandards and Geoanalytical Research</w:t>
      </w:r>
      <w:r w:rsidRPr="00AC1297">
        <w:rPr>
          <w:color w:val="1A1A1A"/>
          <w:sz w:val="24"/>
          <w:szCs w:val="24"/>
        </w:rPr>
        <w:t xml:space="preserve">, </w:t>
      </w:r>
      <w:r w:rsidRPr="00AC1297">
        <w:rPr>
          <w:i/>
          <w:iCs/>
          <w:color w:val="1A1A1A"/>
          <w:sz w:val="24"/>
          <w:szCs w:val="24"/>
        </w:rPr>
        <w:t>29</w:t>
      </w:r>
      <w:r w:rsidRPr="00AC1297">
        <w:rPr>
          <w:color w:val="1A1A1A"/>
          <w:sz w:val="24"/>
          <w:szCs w:val="24"/>
        </w:rPr>
        <w:t>(1), 107-122.</w:t>
      </w:r>
    </w:p>
    <w:p w14:paraId="128615B3" w14:textId="0FCBD4BB" w:rsidR="000F4365" w:rsidRPr="00AC1297" w:rsidRDefault="000F4365" w:rsidP="00AC1297">
      <w:pPr>
        <w:spacing w:after="120"/>
        <w:jc w:val="both"/>
        <w:rPr>
          <w:i/>
          <w:sz w:val="24"/>
          <w:szCs w:val="24"/>
        </w:rPr>
      </w:pPr>
      <w:proofErr w:type="gramStart"/>
      <w:r w:rsidRPr="00AC1297">
        <w:rPr>
          <w:sz w:val="24"/>
          <w:szCs w:val="24"/>
        </w:rPr>
        <w:t>Muller, M. R., Minshull, T. A., &amp; White, R. S. (1999).</w:t>
      </w:r>
      <w:proofErr w:type="gramEnd"/>
      <w:r w:rsidRPr="00AC1297">
        <w:rPr>
          <w:sz w:val="24"/>
          <w:szCs w:val="24"/>
        </w:rPr>
        <w:t xml:space="preserve"> Segmentation and melt supply at the Southwest Indian Ridge. </w:t>
      </w:r>
      <w:r w:rsidRPr="00AC1297">
        <w:rPr>
          <w:i/>
          <w:iCs/>
          <w:sz w:val="24"/>
          <w:szCs w:val="24"/>
        </w:rPr>
        <w:t>Geology</w:t>
      </w:r>
      <w:r w:rsidRPr="00AC1297">
        <w:rPr>
          <w:sz w:val="24"/>
          <w:szCs w:val="24"/>
        </w:rPr>
        <w:t xml:space="preserve">, </w:t>
      </w:r>
      <w:r w:rsidRPr="00AC1297">
        <w:rPr>
          <w:i/>
          <w:iCs/>
          <w:sz w:val="24"/>
          <w:szCs w:val="24"/>
        </w:rPr>
        <w:t>27</w:t>
      </w:r>
      <w:r w:rsidRPr="00AC1297">
        <w:rPr>
          <w:sz w:val="24"/>
          <w:szCs w:val="24"/>
        </w:rPr>
        <w:t>(10), 867–870.</w:t>
      </w:r>
    </w:p>
    <w:p w14:paraId="0BF61CB8" w14:textId="5EE6BB97" w:rsidR="000F4365" w:rsidRPr="00AC1297" w:rsidRDefault="000F4365" w:rsidP="00AC1297">
      <w:pPr>
        <w:spacing w:after="120"/>
        <w:jc w:val="both"/>
        <w:rPr>
          <w:i/>
          <w:sz w:val="24"/>
          <w:szCs w:val="24"/>
        </w:rPr>
      </w:pPr>
      <w:proofErr w:type="gramStart"/>
      <w:r w:rsidRPr="00AC1297">
        <w:rPr>
          <w:color w:val="1A1A1A"/>
          <w:sz w:val="24"/>
          <w:szCs w:val="24"/>
        </w:rPr>
        <w:t>Okubo, P. G., Benz, H. M., &amp; Chouet, B. A. (1997).</w:t>
      </w:r>
      <w:proofErr w:type="gramEnd"/>
      <w:r w:rsidRPr="00AC1297">
        <w:rPr>
          <w:color w:val="1A1A1A"/>
          <w:sz w:val="24"/>
          <w:szCs w:val="24"/>
        </w:rPr>
        <w:t xml:space="preserve"> </w:t>
      </w:r>
      <w:proofErr w:type="gramStart"/>
      <w:r w:rsidRPr="00AC1297">
        <w:rPr>
          <w:color w:val="1A1A1A"/>
          <w:sz w:val="24"/>
          <w:szCs w:val="24"/>
        </w:rPr>
        <w:t>Imaging the crustal magma sources beneath Mauna Loa and Kilauea volcanoes, Hawaii.</w:t>
      </w:r>
      <w:proofErr w:type="gramEnd"/>
      <w:r w:rsidRPr="00AC1297">
        <w:rPr>
          <w:color w:val="1A1A1A"/>
          <w:sz w:val="24"/>
          <w:szCs w:val="24"/>
        </w:rPr>
        <w:t xml:space="preserve"> </w:t>
      </w:r>
      <w:r w:rsidRPr="00AC1297">
        <w:rPr>
          <w:i/>
          <w:iCs/>
          <w:color w:val="1A1A1A"/>
          <w:sz w:val="24"/>
          <w:szCs w:val="24"/>
        </w:rPr>
        <w:t>Geology</w:t>
      </w:r>
      <w:r w:rsidRPr="00AC1297">
        <w:rPr>
          <w:color w:val="1A1A1A"/>
          <w:sz w:val="24"/>
          <w:szCs w:val="24"/>
        </w:rPr>
        <w:t xml:space="preserve">, </w:t>
      </w:r>
      <w:r w:rsidRPr="00AC1297">
        <w:rPr>
          <w:i/>
          <w:iCs/>
          <w:color w:val="1A1A1A"/>
          <w:sz w:val="24"/>
          <w:szCs w:val="24"/>
        </w:rPr>
        <w:t>25</w:t>
      </w:r>
      <w:r w:rsidRPr="00AC1297">
        <w:rPr>
          <w:color w:val="1A1A1A"/>
          <w:sz w:val="24"/>
          <w:szCs w:val="24"/>
        </w:rPr>
        <w:t>(10), 867-870.</w:t>
      </w:r>
    </w:p>
    <w:p w14:paraId="6C4339C3" w14:textId="54B7668C" w:rsidR="000F4365" w:rsidRPr="00AC1297" w:rsidRDefault="000F4365" w:rsidP="00AC1297">
      <w:pPr>
        <w:spacing w:after="120"/>
        <w:jc w:val="both"/>
        <w:rPr>
          <w:bCs/>
          <w:i/>
          <w:sz w:val="24"/>
          <w:szCs w:val="24"/>
        </w:rPr>
      </w:pPr>
      <w:proofErr w:type="gramStart"/>
      <w:r w:rsidRPr="00AC1297">
        <w:rPr>
          <w:color w:val="1A1A1A"/>
          <w:sz w:val="24"/>
          <w:szCs w:val="24"/>
        </w:rPr>
        <w:lastRenderedPageBreak/>
        <w:t>Ozawa, K., Meyer, P. S., &amp; Bloomer, S. H. (1991).</w:t>
      </w:r>
      <w:proofErr w:type="gramEnd"/>
      <w:r w:rsidRPr="00AC1297">
        <w:rPr>
          <w:color w:val="1A1A1A"/>
          <w:sz w:val="24"/>
          <w:szCs w:val="24"/>
        </w:rPr>
        <w:t xml:space="preserve"> Mineralogy and textures of iron-titanium oxide gabbros and associated olivine gabbros from </w:t>
      </w:r>
      <w:proofErr w:type="gramStart"/>
      <w:r w:rsidRPr="00AC1297">
        <w:rPr>
          <w:color w:val="1A1A1A"/>
          <w:sz w:val="24"/>
          <w:szCs w:val="24"/>
        </w:rPr>
        <w:t>Hole</w:t>
      </w:r>
      <w:proofErr w:type="gramEnd"/>
      <w:r w:rsidRPr="00AC1297">
        <w:rPr>
          <w:color w:val="1A1A1A"/>
          <w:sz w:val="24"/>
          <w:szCs w:val="24"/>
        </w:rPr>
        <w:t xml:space="preserve"> 735B. In </w:t>
      </w:r>
      <w:r w:rsidRPr="00AC1297">
        <w:rPr>
          <w:i/>
          <w:iCs/>
          <w:color w:val="1A1A1A"/>
          <w:sz w:val="24"/>
          <w:szCs w:val="24"/>
        </w:rPr>
        <w:t>Von Herzen, RP, Robinson, PT, et al., Proc. ODP, Sci. Results</w:t>
      </w:r>
      <w:r w:rsidRPr="00AC1297">
        <w:rPr>
          <w:color w:val="1A1A1A"/>
          <w:sz w:val="24"/>
          <w:szCs w:val="24"/>
        </w:rPr>
        <w:t xml:space="preserve"> (Vol. 118, pp. 41-73).</w:t>
      </w:r>
    </w:p>
    <w:p w14:paraId="65E33750" w14:textId="1AE5E8C5" w:rsidR="000F4365" w:rsidRPr="00AC1297" w:rsidRDefault="000F4365" w:rsidP="00AC1297">
      <w:pPr>
        <w:spacing w:after="120"/>
        <w:jc w:val="both"/>
        <w:rPr>
          <w:i/>
          <w:noProof/>
          <w:sz w:val="24"/>
          <w:szCs w:val="24"/>
        </w:rPr>
      </w:pPr>
      <w:proofErr w:type="gramStart"/>
      <w:r w:rsidRPr="00AC1297">
        <w:rPr>
          <w:color w:val="1A1A1A"/>
          <w:sz w:val="24"/>
          <w:szCs w:val="24"/>
        </w:rPr>
        <w:t>Ozawa, K., &amp; Shimizu, N. (1995).</w:t>
      </w:r>
      <w:proofErr w:type="gramEnd"/>
      <w:r w:rsidRPr="00AC1297">
        <w:rPr>
          <w:color w:val="1A1A1A"/>
          <w:sz w:val="24"/>
          <w:szCs w:val="24"/>
        </w:rPr>
        <w:t xml:space="preserve"> Open</w:t>
      </w:r>
      <w:r w:rsidRPr="00AC1297">
        <w:rPr>
          <w:rFonts w:ascii="Noteworthy Light" w:hAnsi="Noteworthy Light" w:cs="Noteworthy Light"/>
          <w:color w:val="1A1A1A"/>
          <w:sz w:val="24"/>
          <w:szCs w:val="24"/>
        </w:rPr>
        <w:t>‐</w:t>
      </w:r>
      <w:r w:rsidRPr="00AC1297">
        <w:rPr>
          <w:color w:val="1A1A1A"/>
          <w:sz w:val="24"/>
          <w:szCs w:val="24"/>
        </w:rPr>
        <w:t>system melting in the upper mantle: Constraints from the Hayachine</w:t>
      </w:r>
      <w:r w:rsidRPr="00AC1297">
        <w:rPr>
          <w:rFonts w:ascii="Noteworthy Light" w:hAnsi="Noteworthy Light" w:cs="Noteworthy Light"/>
          <w:color w:val="1A1A1A"/>
          <w:sz w:val="24"/>
          <w:szCs w:val="24"/>
        </w:rPr>
        <w:t>‐</w:t>
      </w:r>
      <w:r w:rsidRPr="00AC1297">
        <w:rPr>
          <w:color w:val="1A1A1A"/>
          <w:sz w:val="24"/>
          <w:szCs w:val="24"/>
        </w:rPr>
        <w:t xml:space="preserve">Miyamori ophiolite, northeastern Japan.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100</w:t>
      </w:r>
      <w:r w:rsidRPr="00AC1297">
        <w:rPr>
          <w:color w:val="1A1A1A"/>
          <w:sz w:val="24"/>
          <w:szCs w:val="24"/>
        </w:rPr>
        <w:t>(B11), 22,315-22,335.</w:t>
      </w:r>
    </w:p>
    <w:p w14:paraId="6BA9B4B3" w14:textId="011F943A" w:rsidR="000F4365" w:rsidRPr="00AC1297" w:rsidRDefault="000F4365" w:rsidP="00AC1297">
      <w:pPr>
        <w:spacing w:after="120"/>
        <w:jc w:val="both"/>
        <w:rPr>
          <w:noProof/>
          <w:sz w:val="24"/>
          <w:szCs w:val="24"/>
        </w:rPr>
      </w:pPr>
      <w:proofErr w:type="gramStart"/>
      <w:r w:rsidRPr="00AC1297">
        <w:rPr>
          <w:color w:val="1A1A1A"/>
          <w:sz w:val="24"/>
          <w:szCs w:val="24"/>
        </w:rPr>
        <w:t>Patriat, P., &amp; Segoufin, J. (1988).</w:t>
      </w:r>
      <w:proofErr w:type="gramEnd"/>
      <w:r w:rsidRPr="00AC1297">
        <w:rPr>
          <w:color w:val="1A1A1A"/>
          <w:sz w:val="24"/>
          <w:szCs w:val="24"/>
        </w:rPr>
        <w:t xml:space="preserve"> </w:t>
      </w:r>
      <w:proofErr w:type="gramStart"/>
      <w:r w:rsidRPr="00AC1297">
        <w:rPr>
          <w:color w:val="1A1A1A"/>
          <w:sz w:val="24"/>
          <w:szCs w:val="24"/>
        </w:rPr>
        <w:t>Reconstruction of the central Indian Ocean.</w:t>
      </w:r>
      <w:proofErr w:type="gramEnd"/>
      <w:r w:rsidRPr="00AC1297">
        <w:rPr>
          <w:color w:val="1A1A1A"/>
          <w:sz w:val="24"/>
          <w:szCs w:val="24"/>
        </w:rPr>
        <w:t xml:space="preserve"> </w:t>
      </w:r>
      <w:r w:rsidRPr="00AC1297">
        <w:rPr>
          <w:i/>
          <w:iCs/>
          <w:color w:val="1A1A1A"/>
          <w:sz w:val="24"/>
          <w:szCs w:val="24"/>
        </w:rPr>
        <w:t>Tectonophysics</w:t>
      </w:r>
      <w:r w:rsidRPr="00AC1297">
        <w:rPr>
          <w:color w:val="1A1A1A"/>
          <w:sz w:val="24"/>
          <w:szCs w:val="24"/>
        </w:rPr>
        <w:t xml:space="preserve">, </w:t>
      </w:r>
      <w:r w:rsidRPr="00AC1297">
        <w:rPr>
          <w:i/>
          <w:iCs/>
          <w:color w:val="1A1A1A"/>
          <w:sz w:val="24"/>
          <w:szCs w:val="24"/>
        </w:rPr>
        <w:t>155</w:t>
      </w:r>
      <w:r w:rsidRPr="00AC1297">
        <w:rPr>
          <w:color w:val="1A1A1A"/>
          <w:sz w:val="24"/>
          <w:szCs w:val="24"/>
        </w:rPr>
        <w:t>(1), 211-234.</w:t>
      </w:r>
    </w:p>
    <w:p w14:paraId="7CC2E9A1" w14:textId="33863390" w:rsidR="000F4365" w:rsidRPr="00AC1297" w:rsidRDefault="000F4365" w:rsidP="00AC1297">
      <w:pPr>
        <w:spacing w:after="120"/>
        <w:jc w:val="both"/>
        <w:rPr>
          <w:sz w:val="24"/>
          <w:szCs w:val="24"/>
        </w:rPr>
      </w:pPr>
      <w:proofErr w:type="gramStart"/>
      <w:r w:rsidRPr="00AC1297">
        <w:rPr>
          <w:color w:val="1A1A1A"/>
          <w:sz w:val="24"/>
          <w:szCs w:val="24"/>
        </w:rPr>
        <w:t>Paquet, M., Cannat, M., Hamelin, C., &amp; Brunelli, D. (2014, December).</w:t>
      </w:r>
      <w:proofErr w:type="gramEnd"/>
      <w:r w:rsidRPr="00AC1297">
        <w:rPr>
          <w:color w:val="1A1A1A"/>
          <w:sz w:val="24"/>
          <w:szCs w:val="24"/>
        </w:rPr>
        <w:t xml:space="preserve"> The easternmost Southwest Indian Ridge: a laboratory to study MORB and oceanic gabbro petrogenesis in a very low melt supply context. In </w:t>
      </w:r>
      <w:r w:rsidRPr="00AC1297">
        <w:rPr>
          <w:i/>
          <w:iCs/>
          <w:color w:val="1A1A1A"/>
          <w:sz w:val="24"/>
          <w:szCs w:val="24"/>
        </w:rPr>
        <w:t>AGU Fall Meeting Abstracts</w:t>
      </w:r>
      <w:r w:rsidRPr="00AC1297">
        <w:rPr>
          <w:color w:val="1A1A1A"/>
          <w:sz w:val="24"/>
          <w:szCs w:val="24"/>
        </w:rPr>
        <w:t xml:space="preserve"> (Vol. 1, p. 4754).</w:t>
      </w:r>
    </w:p>
    <w:p w14:paraId="28F9B116" w14:textId="3E74E186" w:rsidR="000F4365" w:rsidRPr="00AC1297" w:rsidRDefault="000F4365" w:rsidP="00AC1297">
      <w:pPr>
        <w:spacing w:after="120"/>
        <w:jc w:val="both"/>
        <w:rPr>
          <w:color w:val="1A1A1A"/>
          <w:sz w:val="24"/>
          <w:szCs w:val="24"/>
        </w:rPr>
      </w:pPr>
      <w:r w:rsidRPr="00AC1297">
        <w:rPr>
          <w:color w:val="1A1A1A"/>
          <w:sz w:val="24"/>
          <w:szCs w:val="24"/>
        </w:rPr>
        <w:t xml:space="preserve">Pearce, N. J., Perkins, W. T., Westgate, J. A., Gorton, M. P., Jackson, S. E., Neal, C. R., &amp; Chenery, S. P. (1997). A compilation of new and published major and trace element data for NIST SRM 610 and NIST SRM 612 glass reference materials. </w:t>
      </w:r>
      <w:proofErr w:type="gramStart"/>
      <w:r w:rsidRPr="00AC1297">
        <w:rPr>
          <w:i/>
          <w:iCs/>
          <w:color w:val="1A1A1A"/>
          <w:sz w:val="24"/>
          <w:szCs w:val="24"/>
        </w:rPr>
        <w:t>Geostandards newsletter</w:t>
      </w:r>
      <w:r w:rsidRPr="00AC1297">
        <w:rPr>
          <w:color w:val="1A1A1A"/>
          <w:sz w:val="24"/>
          <w:szCs w:val="24"/>
        </w:rPr>
        <w:t xml:space="preserve">, </w:t>
      </w:r>
      <w:r w:rsidRPr="00AC1297">
        <w:rPr>
          <w:i/>
          <w:iCs/>
          <w:color w:val="1A1A1A"/>
          <w:sz w:val="24"/>
          <w:szCs w:val="24"/>
        </w:rPr>
        <w:t>21</w:t>
      </w:r>
      <w:r w:rsidRPr="00AC1297">
        <w:rPr>
          <w:color w:val="1A1A1A"/>
          <w:sz w:val="24"/>
          <w:szCs w:val="24"/>
        </w:rPr>
        <w:t>(1), 115-144.</w:t>
      </w:r>
      <w:proofErr w:type="gramEnd"/>
    </w:p>
    <w:p w14:paraId="65A3652F" w14:textId="24FC983A" w:rsidR="000F4365" w:rsidRPr="00AC1297" w:rsidRDefault="000F4365" w:rsidP="00AC1297">
      <w:pPr>
        <w:spacing w:after="120"/>
        <w:jc w:val="both"/>
        <w:rPr>
          <w:i/>
          <w:sz w:val="24"/>
          <w:szCs w:val="24"/>
        </w:rPr>
      </w:pPr>
      <w:proofErr w:type="gramStart"/>
      <w:r w:rsidRPr="00AC1297">
        <w:rPr>
          <w:color w:val="1A1A1A"/>
          <w:sz w:val="24"/>
          <w:szCs w:val="24"/>
        </w:rPr>
        <w:t>Pertermann, M., &amp; Hirschmann, M. M. (2003).</w:t>
      </w:r>
      <w:proofErr w:type="gramEnd"/>
      <w:r w:rsidRPr="00AC1297">
        <w:rPr>
          <w:color w:val="1A1A1A"/>
          <w:sz w:val="24"/>
          <w:szCs w:val="24"/>
        </w:rPr>
        <w:t xml:space="preserve"> Anhydrous partial melting experiments on MORB-like eclogite: phase relations, phase compositions and mineral–melt partitioning of major elements at 2–3 </w:t>
      </w:r>
      <w:proofErr w:type="gramStart"/>
      <w:r w:rsidRPr="00AC1297">
        <w:rPr>
          <w:color w:val="1A1A1A"/>
          <w:sz w:val="24"/>
          <w:szCs w:val="24"/>
        </w:rPr>
        <w:t>GPa</w:t>
      </w:r>
      <w:proofErr w:type="gramEnd"/>
      <w:r w:rsidRPr="00AC1297">
        <w:rPr>
          <w:color w:val="1A1A1A"/>
          <w:sz w:val="24"/>
          <w:szCs w:val="24"/>
        </w:rPr>
        <w:t xml:space="preserve">.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44</w:t>
      </w:r>
      <w:r w:rsidRPr="00AC1297">
        <w:rPr>
          <w:color w:val="1A1A1A"/>
          <w:sz w:val="24"/>
          <w:szCs w:val="24"/>
        </w:rPr>
        <w:t>(12), 2173-2201.</w:t>
      </w:r>
    </w:p>
    <w:p w14:paraId="2F36E284" w14:textId="0968B041" w:rsidR="000F4365" w:rsidRPr="00AC1297" w:rsidRDefault="000F4365" w:rsidP="00AC1297">
      <w:pPr>
        <w:spacing w:after="120"/>
        <w:jc w:val="both"/>
        <w:rPr>
          <w:sz w:val="24"/>
          <w:szCs w:val="24"/>
        </w:rPr>
      </w:pPr>
      <w:proofErr w:type="gramStart"/>
      <w:r w:rsidRPr="00AC1297">
        <w:rPr>
          <w:color w:val="1A1A1A"/>
          <w:sz w:val="24"/>
          <w:szCs w:val="24"/>
        </w:rPr>
        <w:t>Quick, J. E. (1982).</w:t>
      </w:r>
      <w:proofErr w:type="gramEnd"/>
      <w:r w:rsidRPr="00AC1297">
        <w:rPr>
          <w:color w:val="1A1A1A"/>
          <w:sz w:val="24"/>
          <w:szCs w:val="24"/>
        </w:rPr>
        <w:t xml:space="preserve"> </w:t>
      </w:r>
      <w:proofErr w:type="gramStart"/>
      <w:r w:rsidRPr="00AC1297">
        <w:rPr>
          <w:color w:val="1A1A1A"/>
          <w:sz w:val="24"/>
          <w:szCs w:val="24"/>
        </w:rPr>
        <w:t>The origin and significance of large, tabular dunite bodies in the Trinity peridotite, northern California.</w:t>
      </w:r>
      <w:proofErr w:type="gramEnd"/>
      <w:r w:rsidRPr="00AC1297">
        <w:rPr>
          <w:color w:val="1A1A1A"/>
          <w:sz w:val="24"/>
          <w:szCs w:val="24"/>
        </w:rPr>
        <w:t xml:space="preserve">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78</w:t>
      </w:r>
      <w:r w:rsidRPr="00AC1297">
        <w:rPr>
          <w:color w:val="1A1A1A"/>
          <w:sz w:val="24"/>
          <w:szCs w:val="24"/>
        </w:rPr>
        <w:t>(4), 413-422.</w:t>
      </w:r>
    </w:p>
    <w:p w14:paraId="02FCCB00" w14:textId="103E7686" w:rsidR="000F4365" w:rsidRPr="00AC1297" w:rsidRDefault="000F4365" w:rsidP="00AC1297">
      <w:pPr>
        <w:spacing w:after="120"/>
        <w:jc w:val="both"/>
        <w:rPr>
          <w:sz w:val="24"/>
          <w:szCs w:val="24"/>
        </w:rPr>
      </w:pPr>
      <w:proofErr w:type="gramStart"/>
      <w:r w:rsidRPr="00AC1297">
        <w:rPr>
          <w:color w:val="1A1A1A"/>
          <w:sz w:val="24"/>
          <w:szCs w:val="24"/>
        </w:rPr>
        <w:t>Rampone, E., Bottazzi, P., &amp; Ottolini, L. (1991).</w:t>
      </w:r>
      <w:proofErr w:type="gramEnd"/>
      <w:r w:rsidRPr="00AC1297">
        <w:rPr>
          <w:color w:val="1A1A1A"/>
          <w:sz w:val="24"/>
          <w:szCs w:val="24"/>
        </w:rPr>
        <w:t xml:space="preserve"> Complementary Ti and Zr anomalies in orthopyroxene and clinopyroxene from mantle peridotites, </w:t>
      </w:r>
      <w:r w:rsidRPr="00AC1297">
        <w:rPr>
          <w:i/>
          <w:iCs/>
          <w:sz w:val="24"/>
          <w:szCs w:val="24"/>
        </w:rPr>
        <w:t>Nature</w:t>
      </w:r>
      <w:r w:rsidRPr="00AC1297">
        <w:rPr>
          <w:sz w:val="24"/>
          <w:szCs w:val="24"/>
        </w:rPr>
        <w:t xml:space="preserve"> </w:t>
      </w:r>
      <w:r w:rsidRPr="00AC1297">
        <w:rPr>
          <w:bCs/>
          <w:sz w:val="24"/>
          <w:szCs w:val="24"/>
        </w:rPr>
        <w:t>354</w:t>
      </w:r>
      <w:r w:rsidRPr="00AC1297">
        <w:rPr>
          <w:sz w:val="24"/>
          <w:szCs w:val="24"/>
        </w:rPr>
        <w:t>, 518-520, doi</w:t>
      </w:r>
      <w:proofErr w:type="gramStart"/>
      <w:r w:rsidRPr="00AC1297">
        <w:rPr>
          <w:sz w:val="24"/>
          <w:szCs w:val="24"/>
        </w:rPr>
        <w:t>:10.1038</w:t>
      </w:r>
      <w:proofErr w:type="gramEnd"/>
      <w:r w:rsidRPr="00AC1297">
        <w:rPr>
          <w:sz w:val="24"/>
          <w:szCs w:val="24"/>
        </w:rPr>
        <w:t>/354518a0</w:t>
      </w:r>
    </w:p>
    <w:p w14:paraId="3F8BF0CC" w14:textId="47559C0A" w:rsidR="000F4365" w:rsidRPr="00AC1297" w:rsidRDefault="000F4365" w:rsidP="00AC1297">
      <w:pPr>
        <w:spacing w:after="120"/>
        <w:jc w:val="both"/>
        <w:rPr>
          <w:i/>
          <w:sz w:val="24"/>
          <w:szCs w:val="24"/>
        </w:rPr>
      </w:pPr>
      <w:r w:rsidRPr="001F338C">
        <w:rPr>
          <w:color w:val="1A1A1A"/>
          <w:sz w:val="24"/>
          <w:szCs w:val="24"/>
          <w:lang w:val="it-IT"/>
          <w:rPrChange w:id="160" w:author="Daniele" w:date="2016-04-03T18:31:00Z">
            <w:rPr>
              <w:color w:val="1A1A1A"/>
              <w:sz w:val="24"/>
              <w:szCs w:val="24"/>
            </w:rPr>
          </w:rPrChange>
        </w:rPr>
        <w:t xml:space="preserve">Renna, M. R., &amp; Tribuzio, R. (2011). </w:t>
      </w:r>
      <w:r w:rsidRPr="00AC1297">
        <w:rPr>
          <w:color w:val="1A1A1A"/>
          <w:sz w:val="24"/>
          <w:szCs w:val="24"/>
        </w:rPr>
        <w:t xml:space="preserve">Olivine-rich troctolites from Ligurian ophiolites (Italy): evidence for impregnation of replacive mantle conduits by MORB-type melts.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52</w:t>
      </w:r>
      <w:r w:rsidRPr="00AC1297">
        <w:rPr>
          <w:color w:val="1A1A1A"/>
          <w:sz w:val="24"/>
          <w:szCs w:val="24"/>
        </w:rPr>
        <w:t>(9), 1763-1790.</w:t>
      </w:r>
    </w:p>
    <w:p w14:paraId="32303C35" w14:textId="3A500FAA" w:rsidR="000F4365" w:rsidRPr="00AC1297" w:rsidRDefault="000F4365" w:rsidP="00AC1297">
      <w:pPr>
        <w:spacing w:after="120"/>
        <w:jc w:val="both"/>
        <w:rPr>
          <w:i/>
          <w:sz w:val="24"/>
          <w:szCs w:val="24"/>
        </w:rPr>
      </w:pPr>
      <w:proofErr w:type="gramStart"/>
      <w:r w:rsidRPr="00AC1297">
        <w:rPr>
          <w:color w:val="1A1A1A"/>
          <w:sz w:val="24"/>
          <w:szCs w:val="24"/>
        </w:rPr>
        <w:t>Ross, K., &amp; Elthon, D. (1997).</w:t>
      </w:r>
      <w:proofErr w:type="gramEnd"/>
      <w:r w:rsidRPr="00AC1297">
        <w:rPr>
          <w:color w:val="1A1A1A"/>
          <w:sz w:val="24"/>
          <w:szCs w:val="24"/>
        </w:rPr>
        <w:t xml:space="preserve"> Cumulus and postcumulus crystallization in the oceanic crust: major-and trace-element geochemistry of Leg 153 gabbroic rocks. </w:t>
      </w:r>
      <w:proofErr w:type="gramStart"/>
      <w:r w:rsidRPr="00AC1297">
        <w:rPr>
          <w:color w:val="1A1A1A"/>
          <w:sz w:val="24"/>
          <w:szCs w:val="24"/>
        </w:rPr>
        <w:t xml:space="preserve">In </w:t>
      </w:r>
      <w:r w:rsidRPr="00AC1297">
        <w:rPr>
          <w:i/>
          <w:iCs/>
          <w:color w:val="1A1A1A"/>
          <w:sz w:val="24"/>
          <w:szCs w:val="24"/>
        </w:rPr>
        <w:t>Proceedings-Ocean Drilling Program Scientific Results</w:t>
      </w:r>
      <w:r w:rsidRPr="00AC1297">
        <w:rPr>
          <w:color w:val="1A1A1A"/>
          <w:sz w:val="24"/>
          <w:szCs w:val="24"/>
        </w:rPr>
        <w:t xml:space="preserve"> (pp. 333-350).</w:t>
      </w:r>
      <w:proofErr w:type="gramEnd"/>
      <w:r w:rsidRPr="00AC1297">
        <w:rPr>
          <w:color w:val="1A1A1A"/>
          <w:sz w:val="24"/>
          <w:szCs w:val="24"/>
        </w:rPr>
        <w:t xml:space="preserve"> </w:t>
      </w:r>
      <w:proofErr w:type="gramStart"/>
      <w:r w:rsidRPr="00AC1297">
        <w:rPr>
          <w:color w:val="1A1A1A"/>
          <w:sz w:val="24"/>
          <w:szCs w:val="24"/>
        </w:rPr>
        <w:t>National Science Foundation.</w:t>
      </w:r>
      <w:proofErr w:type="gramEnd"/>
    </w:p>
    <w:p w14:paraId="4E6FD676" w14:textId="2C75B30B" w:rsidR="000F4365" w:rsidRPr="00AC1297" w:rsidRDefault="000F4365" w:rsidP="00AC1297">
      <w:pPr>
        <w:spacing w:after="120"/>
        <w:jc w:val="both"/>
        <w:rPr>
          <w:bCs/>
          <w:i/>
          <w:sz w:val="24"/>
          <w:szCs w:val="24"/>
        </w:rPr>
      </w:pPr>
      <w:r w:rsidRPr="001F338C">
        <w:rPr>
          <w:color w:val="1A1A1A"/>
          <w:sz w:val="24"/>
          <w:szCs w:val="24"/>
          <w:lang w:val="it-IT"/>
          <w:rPrChange w:id="161" w:author="Daniele" w:date="2016-04-03T18:31:00Z">
            <w:rPr>
              <w:color w:val="1A1A1A"/>
              <w:sz w:val="24"/>
              <w:szCs w:val="24"/>
            </w:rPr>
          </w:rPrChange>
        </w:rPr>
        <w:t xml:space="preserve">Rubin, </w:t>
      </w:r>
      <w:proofErr w:type="gramStart"/>
      <w:r w:rsidRPr="001F338C">
        <w:rPr>
          <w:color w:val="1A1A1A"/>
          <w:sz w:val="24"/>
          <w:szCs w:val="24"/>
          <w:lang w:val="it-IT"/>
          <w:rPrChange w:id="162" w:author="Daniele" w:date="2016-04-03T18:31:00Z">
            <w:rPr>
              <w:color w:val="1A1A1A"/>
              <w:sz w:val="24"/>
              <w:szCs w:val="24"/>
            </w:rPr>
          </w:rPrChange>
        </w:rPr>
        <w:t>K.</w:t>
      </w:r>
      <w:proofErr w:type="gramEnd"/>
      <w:r w:rsidRPr="001F338C">
        <w:rPr>
          <w:color w:val="1A1A1A"/>
          <w:sz w:val="24"/>
          <w:szCs w:val="24"/>
          <w:lang w:val="it-IT"/>
          <w:rPrChange w:id="163" w:author="Daniele" w:date="2016-04-03T18:31:00Z">
            <w:rPr>
              <w:color w:val="1A1A1A"/>
              <w:sz w:val="24"/>
              <w:szCs w:val="24"/>
            </w:rPr>
          </w:rPrChange>
        </w:rPr>
        <w:t xml:space="preserve"> H., &amp; Sinton, J. M. (2007). </w:t>
      </w:r>
      <w:proofErr w:type="gramStart"/>
      <w:r w:rsidRPr="00AC1297">
        <w:rPr>
          <w:color w:val="1A1A1A"/>
          <w:sz w:val="24"/>
          <w:szCs w:val="24"/>
        </w:rPr>
        <w:t>Inferences on mid-ocean ridge thermal and magmatic structure from MORB compositions.</w:t>
      </w:r>
      <w:proofErr w:type="gramEnd"/>
      <w:r w:rsidRPr="00AC1297">
        <w:rPr>
          <w:color w:val="1A1A1A"/>
          <w:sz w:val="24"/>
          <w:szCs w:val="24"/>
        </w:rPr>
        <w:t xml:space="preserve">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260</w:t>
      </w:r>
      <w:r w:rsidRPr="00AC1297">
        <w:rPr>
          <w:color w:val="1A1A1A"/>
          <w:sz w:val="24"/>
          <w:szCs w:val="24"/>
        </w:rPr>
        <w:t>(1), 257-276.</w:t>
      </w:r>
    </w:p>
    <w:p w14:paraId="4F39540B" w14:textId="3A626F02" w:rsidR="000F4365" w:rsidRPr="00AC1297" w:rsidRDefault="000F4365" w:rsidP="00AC1297">
      <w:pPr>
        <w:spacing w:after="120"/>
        <w:jc w:val="both"/>
        <w:rPr>
          <w:bCs/>
          <w:i/>
          <w:sz w:val="24"/>
          <w:szCs w:val="24"/>
        </w:rPr>
      </w:pPr>
      <w:proofErr w:type="gramStart"/>
      <w:r w:rsidRPr="00AC1297">
        <w:rPr>
          <w:color w:val="1A1A1A"/>
          <w:sz w:val="24"/>
          <w:szCs w:val="24"/>
        </w:rPr>
        <w:t>Salters, V. J., &amp; Dick, H. J. (2002).</w:t>
      </w:r>
      <w:proofErr w:type="gramEnd"/>
      <w:r w:rsidRPr="00AC1297">
        <w:rPr>
          <w:color w:val="1A1A1A"/>
          <w:sz w:val="24"/>
          <w:szCs w:val="24"/>
        </w:rPr>
        <w:t xml:space="preserve"> </w:t>
      </w:r>
      <w:proofErr w:type="gramStart"/>
      <w:r w:rsidRPr="00AC1297">
        <w:rPr>
          <w:color w:val="1A1A1A"/>
          <w:sz w:val="24"/>
          <w:szCs w:val="24"/>
        </w:rPr>
        <w:t>Mineralogy of the mid-ocean-ridge basalt source from neodymium isotopic composition of abyssal peridotites.</w:t>
      </w:r>
      <w:proofErr w:type="gramEnd"/>
      <w:r w:rsidRPr="00AC1297">
        <w:rPr>
          <w:color w:val="1A1A1A"/>
          <w:sz w:val="24"/>
          <w:szCs w:val="24"/>
        </w:rPr>
        <w:t xml:space="preserve"> </w:t>
      </w:r>
      <w:r w:rsidRPr="00AC1297">
        <w:rPr>
          <w:i/>
          <w:iCs/>
          <w:color w:val="1A1A1A"/>
          <w:sz w:val="24"/>
          <w:szCs w:val="24"/>
        </w:rPr>
        <w:t>Nature</w:t>
      </w:r>
      <w:r w:rsidRPr="00AC1297">
        <w:rPr>
          <w:color w:val="1A1A1A"/>
          <w:sz w:val="24"/>
          <w:szCs w:val="24"/>
        </w:rPr>
        <w:t xml:space="preserve">, </w:t>
      </w:r>
      <w:r w:rsidRPr="00AC1297">
        <w:rPr>
          <w:i/>
          <w:iCs/>
          <w:color w:val="1A1A1A"/>
          <w:sz w:val="24"/>
          <w:szCs w:val="24"/>
        </w:rPr>
        <w:t>418</w:t>
      </w:r>
      <w:r w:rsidRPr="00AC1297">
        <w:rPr>
          <w:color w:val="1A1A1A"/>
          <w:sz w:val="24"/>
          <w:szCs w:val="24"/>
        </w:rPr>
        <w:t>(6893), 68-72.</w:t>
      </w:r>
    </w:p>
    <w:p w14:paraId="4C6596FA" w14:textId="6D497A8A" w:rsidR="000F4365" w:rsidRPr="00AC1297" w:rsidRDefault="000F4365" w:rsidP="00AC1297">
      <w:pPr>
        <w:spacing w:after="120"/>
        <w:jc w:val="both"/>
        <w:rPr>
          <w:i/>
          <w:sz w:val="24"/>
          <w:szCs w:val="24"/>
        </w:rPr>
      </w:pPr>
      <w:proofErr w:type="gramStart"/>
      <w:r w:rsidRPr="00AC1297">
        <w:rPr>
          <w:color w:val="1A1A1A"/>
          <w:sz w:val="24"/>
          <w:szCs w:val="24"/>
        </w:rPr>
        <w:t>Salters, V. J., &amp; Stracke, A. (2004).</w:t>
      </w:r>
      <w:proofErr w:type="gramEnd"/>
      <w:r w:rsidRPr="00AC1297">
        <w:rPr>
          <w:color w:val="1A1A1A"/>
          <w:sz w:val="24"/>
          <w:szCs w:val="24"/>
        </w:rPr>
        <w:t xml:space="preserve"> </w:t>
      </w:r>
      <w:proofErr w:type="gramStart"/>
      <w:r w:rsidRPr="00AC1297">
        <w:rPr>
          <w:color w:val="1A1A1A"/>
          <w:sz w:val="24"/>
          <w:szCs w:val="24"/>
        </w:rPr>
        <w:t>Composition of the depleted mantle.</w:t>
      </w:r>
      <w:proofErr w:type="gramEnd"/>
      <w:r w:rsidRPr="00AC1297">
        <w:rPr>
          <w:color w:val="1A1A1A"/>
          <w:sz w:val="24"/>
          <w:szCs w:val="24"/>
        </w:rPr>
        <w:t xml:space="preserve">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5</w:t>
      </w:r>
      <w:r w:rsidRPr="00AC1297">
        <w:rPr>
          <w:color w:val="1A1A1A"/>
          <w:sz w:val="24"/>
          <w:szCs w:val="24"/>
        </w:rPr>
        <w:t>(5).</w:t>
      </w:r>
      <w:proofErr w:type="gramEnd"/>
    </w:p>
    <w:p w14:paraId="5CFE5656" w14:textId="36EEDFAB" w:rsidR="000F4365" w:rsidRPr="00AC1297" w:rsidRDefault="000F4365" w:rsidP="00AC1297">
      <w:pPr>
        <w:spacing w:after="120"/>
        <w:jc w:val="both"/>
        <w:rPr>
          <w:i/>
          <w:sz w:val="24"/>
          <w:szCs w:val="24"/>
        </w:rPr>
      </w:pPr>
      <w:proofErr w:type="gramStart"/>
      <w:r w:rsidRPr="00AC1297">
        <w:rPr>
          <w:color w:val="1A1A1A"/>
          <w:sz w:val="24"/>
          <w:szCs w:val="24"/>
        </w:rPr>
        <w:t>Sanfilippo, A., &amp; Tribuzio, R. (2013).</w:t>
      </w:r>
      <w:proofErr w:type="gramEnd"/>
      <w:r w:rsidRPr="00AC1297">
        <w:rPr>
          <w:color w:val="1A1A1A"/>
          <w:sz w:val="24"/>
          <w:szCs w:val="24"/>
        </w:rPr>
        <w:t xml:space="preserve"> Origin of olivine-rich troctolites from the oceanic lithosphere: a comparison between the alpine Jurassic ophiolites and modern slow spreading ridges. </w:t>
      </w:r>
      <w:r w:rsidRPr="00AC1297">
        <w:rPr>
          <w:i/>
          <w:iCs/>
          <w:color w:val="1A1A1A"/>
          <w:sz w:val="24"/>
          <w:szCs w:val="24"/>
        </w:rPr>
        <w:t>Ofioliti</w:t>
      </w:r>
      <w:r w:rsidRPr="00AC1297">
        <w:rPr>
          <w:color w:val="1A1A1A"/>
          <w:sz w:val="24"/>
          <w:szCs w:val="24"/>
        </w:rPr>
        <w:t xml:space="preserve">, </w:t>
      </w:r>
      <w:r w:rsidRPr="00AC1297">
        <w:rPr>
          <w:i/>
          <w:iCs/>
          <w:color w:val="1A1A1A"/>
          <w:sz w:val="24"/>
          <w:szCs w:val="24"/>
        </w:rPr>
        <w:t>38</w:t>
      </w:r>
      <w:r w:rsidRPr="00AC1297">
        <w:rPr>
          <w:color w:val="1A1A1A"/>
          <w:sz w:val="24"/>
          <w:szCs w:val="24"/>
        </w:rPr>
        <w:t>(1), 89-99.</w:t>
      </w:r>
    </w:p>
    <w:p w14:paraId="3B70063B" w14:textId="05076D61" w:rsidR="000F4365" w:rsidRPr="00AC1297" w:rsidRDefault="000F4365" w:rsidP="00AC1297">
      <w:pPr>
        <w:spacing w:after="120"/>
        <w:jc w:val="both"/>
        <w:rPr>
          <w:i/>
          <w:sz w:val="24"/>
          <w:szCs w:val="24"/>
        </w:rPr>
      </w:pPr>
      <w:proofErr w:type="gramStart"/>
      <w:r w:rsidRPr="00AC1297">
        <w:rPr>
          <w:color w:val="1A1A1A"/>
          <w:sz w:val="24"/>
          <w:szCs w:val="24"/>
        </w:rPr>
        <w:lastRenderedPageBreak/>
        <w:t>Sanfilippo, A., Dick, H. J., &amp; Ohara, Y. (2013).</w:t>
      </w:r>
      <w:proofErr w:type="gramEnd"/>
      <w:r w:rsidRPr="00AC1297">
        <w:rPr>
          <w:color w:val="1A1A1A"/>
          <w:sz w:val="24"/>
          <w:szCs w:val="24"/>
        </w:rPr>
        <w:t xml:space="preserve"> Melt–rock reaction in the mantle: mantle troctolites from the Parece Vela ancient back-arc spreading center.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54</w:t>
      </w:r>
      <w:r w:rsidRPr="00AC1297">
        <w:rPr>
          <w:color w:val="1A1A1A"/>
          <w:sz w:val="24"/>
          <w:szCs w:val="24"/>
        </w:rPr>
        <w:t>(5), 861-885.</w:t>
      </w:r>
    </w:p>
    <w:p w14:paraId="7FE13D4B" w14:textId="08FBD5F1" w:rsidR="000F4365" w:rsidRPr="00AC1297" w:rsidRDefault="000F4365" w:rsidP="00AC1297">
      <w:pPr>
        <w:spacing w:after="120"/>
        <w:jc w:val="both"/>
        <w:rPr>
          <w:i/>
          <w:sz w:val="24"/>
          <w:szCs w:val="24"/>
        </w:rPr>
      </w:pPr>
      <w:proofErr w:type="gramStart"/>
      <w:r w:rsidRPr="00AC1297">
        <w:rPr>
          <w:color w:val="1A1A1A"/>
          <w:sz w:val="24"/>
          <w:szCs w:val="24"/>
        </w:rPr>
        <w:t>Sanfilippo, A., Tribuzio, R., &amp; Tiepolo, M. (2014).</w:t>
      </w:r>
      <w:proofErr w:type="gramEnd"/>
      <w:r w:rsidRPr="00AC1297">
        <w:rPr>
          <w:color w:val="1A1A1A"/>
          <w:sz w:val="24"/>
          <w:szCs w:val="24"/>
        </w:rPr>
        <w:t xml:space="preserve"> Mantle–crust interactions in the oceanic lithosphere: Constraints from minor and trace elements in olivine. </w:t>
      </w:r>
      <w:r w:rsidRPr="00AC1297">
        <w:rPr>
          <w:i/>
          <w:iCs/>
          <w:color w:val="1A1A1A"/>
          <w:sz w:val="24"/>
          <w:szCs w:val="24"/>
        </w:rPr>
        <w:t xml:space="preserve">Geochimica </w:t>
      </w:r>
      <w:proofErr w:type="gramStart"/>
      <w:r w:rsidRPr="00AC1297">
        <w:rPr>
          <w:i/>
          <w:iCs/>
          <w:color w:val="1A1A1A"/>
          <w:sz w:val="24"/>
          <w:szCs w:val="24"/>
        </w:rPr>
        <w:t>et</w:t>
      </w:r>
      <w:proofErr w:type="gramEnd"/>
      <w:r w:rsidRPr="00AC1297">
        <w:rPr>
          <w:i/>
          <w:iCs/>
          <w:color w:val="1A1A1A"/>
          <w:sz w:val="24"/>
          <w:szCs w:val="24"/>
        </w:rPr>
        <w:t xml:space="preserve"> Cosmochimica Acta</w:t>
      </w:r>
      <w:r w:rsidRPr="00AC1297">
        <w:rPr>
          <w:color w:val="1A1A1A"/>
          <w:sz w:val="24"/>
          <w:szCs w:val="24"/>
        </w:rPr>
        <w:t xml:space="preserve">, </w:t>
      </w:r>
      <w:r w:rsidRPr="00AC1297">
        <w:rPr>
          <w:i/>
          <w:iCs/>
          <w:color w:val="1A1A1A"/>
          <w:sz w:val="24"/>
          <w:szCs w:val="24"/>
        </w:rPr>
        <w:t>141</w:t>
      </w:r>
      <w:r w:rsidRPr="00AC1297">
        <w:rPr>
          <w:color w:val="1A1A1A"/>
          <w:sz w:val="24"/>
          <w:szCs w:val="24"/>
        </w:rPr>
        <w:t>, 423-439.</w:t>
      </w:r>
    </w:p>
    <w:p w14:paraId="4018A452" w14:textId="404B3EC4" w:rsidR="000F4365" w:rsidRPr="00AC1297" w:rsidRDefault="000F4365" w:rsidP="00AC1297">
      <w:pPr>
        <w:spacing w:after="120"/>
        <w:jc w:val="both"/>
        <w:rPr>
          <w:i/>
          <w:sz w:val="24"/>
          <w:szCs w:val="24"/>
        </w:rPr>
      </w:pPr>
      <w:proofErr w:type="gramStart"/>
      <w:r w:rsidRPr="00AC1297">
        <w:rPr>
          <w:color w:val="1A1A1A"/>
          <w:sz w:val="24"/>
          <w:szCs w:val="24"/>
        </w:rPr>
        <w:t>Saper, L., &amp; Liang, Y. (2014).</w:t>
      </w:r>
      <w:proofErr w:type="gramEnd"/>
      <w:r w:rsidRPr="00AC1297">
        <w:rPr>
          <w:color w:val="1A1A1A"/>
          <w:sz w:val="24"/>
          <w:szCs w:val="24"/>
        </w:rPr>
        <w:t xml:space="preserve"> Formation of plagioclase-bearing peridotite and plagioclase-bearing wehrlite and gabbro suite through reactive crystallization: an experimental study.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167</w:t>
      </w:r>
      <w:r w:rsidRPr="00AC1297">
        <w:rPr>
          <w:color w:val="1A1A1A"/>
          <w:sz w:val="24"/>
          <w:szCs w:val="24"/>
        </w:rPr>
        <w:t>(3), 1-16.</w:t>
      </w:r>
    </w:p>
    <w:p w14:paraId="0BE30FD3" w14:textId="21B3B23B" w:rsidR="000F4365" w:rsidRPr="00AC1297" w:rsidRDefault="000F4365" w:rsidP="00AC1297">
      <w:pPr>
        <w:spacing w:after="120"/>
        <w:jc w:val="both"/>
        <w:rPr>
          <w:i/>
          <w:sz w:val="24"/>
          <w:szCs w:val="24"/>
        </w:rPr>
      </w:pPr>
      <w:r w:rsidRPr="00AC1297">
        <w:rPr>
          <w:color w:val="1A1A1A"/>
          <w:sz w:val="24"/>
          <w:szCs w:val="24"/>
        </w:rPr>
        <w:t>Sauter, D., Cannat, M., Rouméjon, S., Andreani, M., Birot, D., Bronner, A</w:t>
      </w:r>
      <w:proofErr w:type="gramStart"/>
      <w:r w:rsidRPr="00AC1297">
        <w:rPr>
          <w:color w:val="1A1A1A"/>
          <w:sz w:val="24"/>
          <w:szCs w:val="24"/>
        </w:rPr>
        <w:t>., ...</w:t>
      </w:r>
      <w:proofErr w:type="gramEnd"/>
      <w:r w:rsidRPr="00AC1297">
        <w:rPr>
          <w:color w:val="1A1A1A"/>
          <w:sz w:val="24"/>
          <w:szCs w:val="24"/>
        </w:rPr>
        <w:t xml:space="preserve"> &amp; MacLeod, C. J. (2013). </w:t>
      </w:r>
      <w:proofErr w:type="gramStart"/>
      <w:r w:rsidRPr="00AC1297">
        <w:rPr>
          <w:color w:val="1A1A1A"/>
          <w:sz w:val="24"/>
          <w:szCs w:val="24"/>
        </w:rPr>
        <w:t>Continuous exhumation of mantle-derived rocks at the Southwest Indian Ridge for 11 million years.</w:t>
      </w:r>
      <w:proofErr w:type="gramEnd"/>
      <w:r w:rsidRPr="00AC1297">
        <w:rPr>
          <w:color w:val="1A1A1A"/>
          <w:sz w:val="24"/>
          <w:szCs w:val="24"/>
        </w:rPr>
        <w:t xml:space="preserve"> </w:t>
      </w:r>
      <w:r w:rsidRPr="00AC1297">
        <w:rPr>
          <w:i/>
          <w:iCs/>
          <w:color w:val="1A1A1A"/>
          <w:sz w:val="24"/>
          <w:szCs w:val="24"/>
        </w:rPr>
        <w:t>Nature Geoscience</w:t>
      </w:r>
      <w:r w:rsidRPr="00AC1297">
        <w:rPr>
          <w:color w:val="1A1A1A"/>
          <w:sz w:val="24"/>
          <w:szCs w:val="24"/>
        </w:rPr>
        <w:t xml:space="preserve">, </w:t>
      </w:r>
      <w:r w:rsidRPr="00AC1297">
        <w:rPr>
          <w:i/>
          <w:iCs/>
          <w:color w:val="1A1A1A"/>
          <w:sz w:val="24"/>
          <w:szCs w:val="24"/>
        </w:rPr>
        <w:t>6</w:t>
      </w:r>
      <w:r w:rsidRPr="00AC1297">
        <w:rPr>
          <w:color w:val="1A1A1A"/>
          <w:sz w:val="24"/>
          <w:szCs w:val="24"/>
        </w:rPr>
        <w:t>(4), 314-320.</w:t>
      </w:r>
    </w:p>
    <w:p w14:paraId="3569A367" w14:textId="05C950C9" w:rsidR="000F4365" w:rsidRPr="00AC1297" w:rsidRDefault="000F4365" w:rsidP="00AC1297">
      <w:pPr>
        <w:spacing w:after="120"/>
        <w:jc w:val="both"/>
        <w:rPr>
          <w:color w:val="1A1A1A"/>
          <w:sz w:val="24"/>
          <w:szCs w:val="24"/>
        </w:rPr>
      </w:pPr>
      <w:proofErr w:type="gramStart"/>
      <w:r w:rsidRPr="00AC1297">
        <w:rPr>
          <w:color w:val="1A1A1A"/>
          <w:sz w:val="24"/>
          <w:szCs w:val="24"/>
        </w:rPr>
        <w:t>Schlindwein, V. S. N., Scholz, J. R., &amp; Schmid, F. (2014, December).</w:t>
      </w:r>
      <w:proofErr w:type="gramEnd"/>
      <w:r w:rsidRPr="00AC1297">
        <w:rPr>
          <w:color w:val="1A1A1A"/>
          <w:sz w:val="24"/>
          <w:szCs w:val="24"/>
        </w:rPr>
        <w:t xml:space="preserve"> SWEAP: Southwest Indian Ridge Earthquakes and Plumes: First Results from a Comparative Seismicity Study of Magmatic and Amagmatic Spreading. In </w:t>
      </w:r>
      <w:r w:rsidRPr="00AC1297">
        <w:rPr>
          <w:i/>
          <w:iCs/>
          <w:color w:val="1A1A1A"/>
          <w:sz w:val="24"/>
          <w:szCs w:val="24"/>
        </w:rPr>
        <w:t>AGU Fall Meeting Abstracts</w:t>
      </w:r>
      <w:r w:rsidRPr="00AC1297">
        <w:rPr>
          <w:color w:val="1A1A1A"/>
          <w:sz w:val="24"/>
          <w:szCs w:val="24"/>
        </w:rPr>
        <w:t xml:space="preserve"> (Vol. 1, p. 1064).</w:t>
      </w:r>
    </w:p>
    <w:p w14:paraId="32D42621" w14:textId="7FE51469" w:rsidR="000F4365" w:rsidRPr="00AC1297" w:rsidRDefault="000F4365" w:rsidP="00AC1297">
      <w:pPr>
        <w:spacing w:after="120"/>
        <w:jc w:val="both"/>
        <w:rPr>
          <w:i/>
          <w:sz w:val="24"/>
          <w:szCs w:val="24"/>
        </w:rPr>
      </w:pPr>
      <w:proofErr w:type="gramStart"/>
      <w:r w:rsidRPr="00AC1297">
        <w:rPr>
          <w:color w:val="1A1A1A"/>
          <w:sz w:val="24"/>
          <w:szCs w:val="24"/>
        </w:rPr>
        <w:t>Seyler, M., Cannat, M., &amp; Mevel, C. (2003).</w:t>
      </w:r>
      <w:proofErr w:type="gramEnd"/>
      <w:r w:rsidRPr="00AC1297">
        <w:rPr>
          <w:color w:val="1A1A1A"/>
          <w:sz w:val="24"/>
          <w:szCs w:val="24"/>
        </w:rPr>
        <w:t xml:space="preserve"> </w:t>
      </w:r>
      <w:proofErr w:type="gramStart"/>
      <w:r w:rsidRPr="00AC1297">
        <w:rPr>
          <w:color w:val="1A1A1A"/>
          <w:sz w:val="24"/>
          <w:szCs w:val="24"/>
        </w:rPr>
        <w:t>Evidence for major</w:t>
      </w:r>
      <w:r w:rsidRPr="00AC1297">
        <w:rPr>
          <w:rFonts w:ascii="Noteworthy Light" w:hAnsi="Noteworthy Light" w:cs="Noteworthy Light"/>
          <w:color w:val="1A1A1A"/>
          <w:sz w:val="24"/>
          <w:szCs w:val="24"/>
        </w:rPr>
        <w:t>‐</w:t>
      </w:r>
      <w:r w:rsidRPr="00AC1297">
        <w:rPr>
          <w:color w:val="1A1A1A"/>
          <w:sz w:val="24"/>
          <w:szCs w:val="24"/>
        </w:rPr>
        <w:t>element heterogeneity in the mantle source of abyssal peridotites from the Southwest Indian Ridge (52</w:t>
      </w:r>
      <w:r w:rsidR="00A147A0">
        <w:rPr>
          <w:color w:val="1A1A1A"/>
          <w:sz w:val="24"/>
          <w:szCs w:val="24"/>
        </w:rPr>
        <w:t>°</w:t>
      </w:r>
      <w:r w:rsidRPr="00AC1297">
        <w:rPr>
          <w:color w:val="1A1A1A"/>
          <w:sz w:val="24"/>
          <w:szCs w:val="24"/>
        </w:rPr>
        <w:t xml:space="preserve"> to 68</w:t>
      </w:r>
      <w:r w:rsidR="00A147A0">
        <w:rPr>
          <w:color w:val="1A1A1A"/>
          <w:sz w:val="24"/>
          <w:szCs w:val="24"/>
        </w:rPr>
        <w:t>°</w:t>
      </w:r>
      <w:r w:rsidRPr="00AC1297">
        <w:rPr>
          <w:color w:val="1A1A1A"/>
          <w:sz w:val="24"/>
          <w:szCs w:val="24"/>
        </w:rPr>
        <w:t>E).</w:t>
      </w:r>
      <w:proofErr w:type="gramEnd"/>
      <w:r w:rsidRPr="00AC1297">
        <w:rPr>
          <w:color w:val="1A1A1A"/>
          <w:sz w:val="24"/>
          <w:szCs w:val="24"/>
        </w:rPr>
        <w:t xml:space="preserve">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4</w:t>
      </w:r>
      <w:r w:rsidRPr="00AC1297">
        <w:rPr>
          <w:color w:val="1A1A1A"/>
          <w:sz w:val="24"/>
          <w:szCs w:val="24"/>
        </w:rPr>
        <w:t>(2).</w:t>
      </w:r>
      <w:proofErr w:type="gramEnd"/>
    </w:p>
    <w:p w14:paraId="0FC79D94" w14:textId="5E401B4B" w:rsidR="000F4365" w:rsidRPr="00AC1297" w:rsidRDefault="000F4365" w:rsidP="00AC1297">
      <w:pPr>
        <w:spacing w:after="120"/>
        <w:jc w:val="both"/>
        <w:rPr>
          <w:rStyle w:val="Strong"/>
          <w:b w:val="0"/>
          <w:i/>
          <w:sz w:val="24"/>
          <w:szCs w:val="24"/>
        </w:rPr>
      </w:pPr>
      <w:proofErr w:type="gramStart"/>
      <w:r w:rsidRPr="00AC1297">
        <w:rPr>
          <w:color w:val="1A1A1A"/>
          <w:sz w:val="24"/>
          <w:szCs w:val="24"/>
        </w:rPr>
        <w:t>Seyler, M., Lorand, J. P., Dick, H. J., &amp; Drouin, M. (2007).</w:t>
      </w:r>
      <w:proofErr w:type="gramEnd"/>
      <w:r w:rsidRPr="00AC1297">
        <w:rPr>
          <w:color w:val="1A1A1A"/>
          <w:sz w:val="24"/>
          <w:szCs w:val="24"/>
        </w:rPr>
        <w:t xml:space="preserve"> Pervasive melt percolation reactions in ultra-depleted refractory harzburgite</w:t>
      </w:r>
      <w:r w:rsidR="00A147A0">
        <w:rPr>
          <w:color w:val="1A1A1A"/>
          <w:sz w:val="24"/>
          <w:szCs w:val="24"/>
        </w:rPr>
        <w:t>s at the Mid-Atlantic Ridge, 15°</w:t>
      </w:r>
      <w:r w:rsidRPr="00AC1297">
        <w:rPr>
          <w:color w:val="1A1A1A"/>
          <w:sz w:val="24"/>
          <w:szCs w:val="24"/>
        </w:rPr>
        <w:t xml:space="preserve">20′ N: ODP Hole 1274A.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153</w:t>
      </w:r>
      <w:r w:rsidRPr="00AC1297">
        <w:rPr>
          <w:color w:val="1A1A1A"/>
          <w:sz w:val="24"/>
          <w:szCs w:val="24"/>
        </w:rPr>
        <w:t>(3), 303-319.</w:t>
      </w:r>
    </w:p>
    <w:p w14:paraId="090A86DD" w14:textId="77777777" w:rsidR="000F4365" w:rsidRPr="00AC1297" w:rsidRDefault="000F4365" w:rsidP="00AC1297">
      <w:pPr>
        <w:spacing w:after="120"/>
        <w:jc w:val="both"/>
        <w:rPr>
          <w:bCs/>
          <w:i/>
          <w:sz w:val="24"/>
          <w:szCs w:val="24"/>
        </w:rPr>
      </w:pPr>
      <w:proofErr w:type="gramStart"/>
      <w:r w:rsidRPr="00AC1297">
        <w:rPr>
          <w:color w:val="1A1A1A"/>
          <w:sz w:val="24"/>
          <w:szCs w:val="24"/>
        </w:rPr>
        <w:t>Seyler, M., Brunelli, D., Toplis, M. J., &amp; Mével, C. (2011).</w:t>
      </w:r>
      <w:proofErr w:type="gramEnd"/>
      <w:r w:rsidRPr="00AC1297">
        <w:rPr>
          <w:color w:val="1A1A1A"/>
          <w:sz w:val="24"/>
          <w:szCs w:val="24"/>
        </w:rPr>
        <w:t xml:space="preserve"> Multiscale chemical heterogeneities beneath the eastern Southwest Indian Ridge (52°E–68°E): Trace element compositions of along</w:t>
      </w:r>
      <w:r w:rsidRPr="00AC1297">
        <w:rPr>
          <w:rFonts w:ascii="Noteworthy Light" w:hAnsi="Noteworthy Light" w:cs="Noteworthy Light"/>
          <w:color w:val="1A1A1A"/>
          <w:sz w:val="24"/>
          <w:szCs w:val="24"/>
        </w:rPr>
        <w:t>‐</w:t>
      </w:r>
      <w:r w:rsidRPr="00AC1297">
        <w:rPr>
          <w:color w:val="1A1A1A"/>
          <w:sz w:val="24"/>
          <w:szCs w:val="24"/>
        </w:rPr>
        <w:t xml:space="preserve">axis dredged peridotites.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12</w:t>
      </w:r>
      <w:r w:rsidRPr="00AC1297">
        <w:rPr>
          <w:color w:val="1A1A1A"/>
          <w:sz w:val="24"/>
          <w:szCs w:val="24"/>
        </w:rPr>
        <w:t>(9).</w:t>
      </w:r>
      <w:proofErr w:type="gramEnd"/>
    </w:p>
    <w:p w14:paraId="211A2119" w14:textId="77777777" w:rsidR="000F4365" w:rsidRPr="00AC1297" w:rsidRDefault="000F4365" w:rsidP="00AC1297">
      <w:pPr>
        <w:spacing w:after="120"/>
        <w:jc w:val="both"/>
        <w:rPr>
          <w:i/>
          <w:sz w:val="24"/>
          <w:szCs w:val="24"/>
        </w:rPr>
      </w:pPr>
      <w:proofErr w:type="gramStart"/>
      <w:r w:rsidRPr="00AC1297">
        <w:rPr>
          <w:color w:val="1A1A1A"/>
          <w:sz w:val="24"/>
          <w:szCs w:val="24"/>
        </w:rPr>
        <w:t>Shaw, D. M. (2000).</w:t>
      </w:r>
      <w:proofErr w:type="gramEnd"/>
      <w:r w:rsidRPr="00AC1297">
        <w:rPr>
          <w:color w:val="1A1A1A"/>
          <w:sz w:val="24"/>
          <w:szCs w:val="24"/>
        </w:rPr>
        <w:t xml:space="preserve"> Continuous (dynamic) melting theory revisited. </w:t>
      </w:r>
      <w:r w:rsidRPr="00AC1297">
        <w:rPr>
          <w:i/>
          <w:iCs/>
          <w:color w:val="1A1A1A"/>
          <w:sz w:val="24"/>
          <w:szCs w:val="24"/>
        </w:rPr>
        <w:t>The Canadian Mineralogist</w:t>
      </w:r>
      <w:r w:rsidRPr="00AC1297">
        <w:rPr>
          <w:color w:val="1A1A1A"/>
          <w:sz w:val="24"/>
          <w:szCs w:val="24"/>
        </w:rPr>
        <w:t xml:space="preserve">, </w:t>
      </w:r>
      <w:r w:rsidRPr="00AC1297">
        <w:rPr>
          <w:i/>
          <w:iCs/>
          <w:color w:val="1A1A1A"/>
          <w:sz w:val="24"/>
          <w:szCs w:val="24"/>
        </w:rPr>
        <w:t>38</w:t>
      </w:r>
      <w:r w:rsidRPr="00AC1297">
        <w:rPr>
          <w:color w:val="1A1A1A"/>
          <w:sz w:val="24"/>
          <w:szCs w:val="24"/>
        </w:rPr>
        <w:t>(5), 1041-1063.</w:t>
      </w:r>
    </w:p>
    <w:p w14:paraId="2805A91B" w14:textId="3207FC25" w:rsidR="000F4365" w:rsidRPr="00AC1297" w:rsidRDefault="000F4365" w:rsidP="00AC1297">
      <w:pPr>
        <w:spacing w:after="120"/>
        <w:jc w:val="both"/>
        <w:rPr>
          <w:bCs/>
          <w:i/>
          <w:sz w:val="24"/>
          <w:szCs w:val="24"/>
        </w:rPr>
      </w:pPr>
      <w:r w:rsidRPr="00AC1297">
        <w:rPr>
          <w:color w:val="1A1A1A"/>
          <w:sz w:val="24"/>
          <w:szCs w:val="24"/>
        </w:rPr>
        <w:t xml:space="preserve">Smith, D. K., &amp; Cann, J. R. (1999). </w:t>
      </w:r>
      <w:proofErr w:type="gramStart"/>
      <w:r w:rsidRPr="00AC1297">
        <w:rPr>
          <w:color w:val="1A1A1A"/>
          <w:sz w:val="24"/>
          <w:szCs w:val="24"/>
        </w:rPr>
        <w:t>Constructing the upper crust of the Mid</w:t>
      </w:r>
      <w:r w:rsidRPr="00AC1297">
        <w:rPr>
          <w:rFonts w:ascii="Noteworthy Light" w:hAnsi="Noteworthy Light" w:cs="Noteworthy Light"/>
          <w:color w:val="1A1A1A"/>
          <w:sz w:val="24"/>
          <w:szCs w:val="24"/>
        </w:rPr>
        <w:t>‐</w:t>
      </w:r>
      <w:r w:rsidRPr="00AC1297">
        <w:rPr>
          <w:color w:val="1A1A1A"/>
          <w:sz w:val="24"/>
          <w:szCs w:val="24"/>
        </w:rPr>
        <w:t>Atlantic Ridge: A reinterpretation based on the Puna Ridge, Kilauea Volcano.</w:t>
      </w:r>
      <w:proofErr w:type="gramEnd"/>
      <w:r w:rsidRPr="00AC1297">
        <w:rPr>
          <w:color w:val="1A1A1A"/>
          <w:sz w:val="24"/>
          <w:szCs w:val="24"/>
        </w:rPr>
        <w:t xml:space="preserve">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104</w:t>
      </w:r>
      <w:r w:rsidRPr="00AC1297">
        <w:rPr>
          <w:color w:val="1A1A1A"/>
          <w:sz w:val="24"/>
          <w:szCs w:val="24"/>
        </w:rPr>
        <w:t>(B11), 25,379-25,399.</w:t>
      </w:r>
    </w:p>
    <w:p w14:paraId="21BD2827" w14:textId="7760D794" w:rsidR="000F4365" w:rsidRPr="00AC1297" w:rsidRDefault="000F4365" w:rsidP="00AC1297">
      <w:pPr>
        <w:spacing w:after="120"/>
        <w:jc w:val="both"/>
        <w:rPr>
          <w:bCs/>
          <w:i/>
          <w:sz w:val="24"/>
          <w:szCs w:val="24"/>
        </w:rPr>
      </w:pPr>
      <w:r w:rsidRPr="00AC1297">
        <w:rPr>
          <w:color w:val="1A1A1A"/>
          <w:sz w:val="24"/>
          <w:szCs w:val="24"/>
        </w:rPr>
        <w:t xml:space="preserve">Sobolev, A. V., Hofmann, A. W., Kuzmin, D. V., Yaxley, G. M., Arndt, N. T., Chung, S. L., ... &amp; Gurenko, A. A. (2007). The amount of recycled crust in sources of mantle-derived melts. </w:t>
      </w:r>
      <w:r w:rsidRPr="00AC1297">
        <w:rPr>
          <w:i/>
          <w:iCs/>
          <w:color w:val="1A1A1A"/>
          <w:sz w:val="24"/>
          <w:szCs w:val="24"/>
        </w:rPr>
        <w:t>Science</w:t>
      </w:r>
      <w:r w:rsidRPr="00AC1297">
        <w:rPr>
          <w:color w:val="1A1A1A"/>
          <w:sz w:val="24"/>
          <w:szCs w:val="24"/>
        </w:rPr>
        <w:t xml:space="preserve">, </w:t>
      </w:r>
      <w:r w:rsidRPr="00AC1297">
        <w:rPr>
          <w:i/>
          <w:iCs/>
          <w:color w:val="1A1A1A"/>
          <w:sz w:val="24"/>
          <w:szCs w:val="24"/>
        </w:rPr>
        <w:t>316</w:t>
      </w:r>
      <w:r w:rsidRPr="00AC1297">
        <w:rPr>
          <w:color w:val="1A1A1A"/>
          <w:sz w:val="24"/>
          <w:szCs w:val="24"/>
        </w:rPr>
        <w:t>(5823), 412-417.</w:t>
      </w:r>
    </w:p>
    <w:p w14:paraId="70BA306A" w14:textId="77777777" w:rsidR="000F4365" w:rsidRPr="00AC1297" w:rsidRDefault="000F4365" w:rsidP="00AC1297">
      <w:pPr>
        <w:spacing w:after="120"/>
        <w:jc w:val="both"/>
        <w:rPr>
          <w:i/>
          <w:sz w:val="24"/>
          <w:szCs w:val="24"/>
        </w:rPr>
      </w:pPr>
      <w:proofErr w:type="gramStart"/>
      <w:r w:rsidRPr="00AC1297">
        <w:rPr>
          <w:color w:val="1A1A1A"/>
          <w:sz w:val="24"/>
          <w:szCs w:val="24"/>
        </w:rPr>
        <w:t>Spiegelman, M., &amp; Kelemen, P. B. (2003).</w:t>
      </w:r>
      <w:proofErr w:type="gramEnd"/>
      <w:r w:rsidRPr="00AC1297">
        <w:rPr>
          <w:color w:val="1A1A1A"/>
          <w:sz w:val="24"/>
          <w:szCs w:val="24"/>
        </w:rPr>
        <w:t xml:space="preserve"> </w:t>
      </w:r>
      <w:proofErr w:type="gramStart"/>
      <w:r w:rsidRPr="00AC1297">
        <w:rPr>
          <w:color w:val="1A1A1A"/>
          <w:sz w:val="24"/>
          <w:szCs w:val="24"/>
        </w:rPr>
        <w:t>Extreme chemical variability as a consequence of channelized melt transport.</w:t>
      </w:r>
      <w:proofErr w:type="gramEnd"/>
      <w:r w:rsidRPr="00AC1297">
        <w:rPr>
          <w:color w:val="1A1A1A"/>
          <w:sz w:val="24"/>
          <w:szCs w:val="24"/>
        </w:rPr>
        <w:t xml:space="preserve">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4</w:t>
      </w:r>
      <w:r w:rsidRPr="00AC1297">
        <w:rPr>
          <w:color w:val="1A1A1A"/>
          <w:sz w:val="24"/>
          <w:szCs w:val="24"/>
        </w:rPr>
        <w:t>(7).</w:t>
      </w:r>
      <w:proofErr w:type="gramEnd"/>
    </w:p>
    <w:p w14:paraId="0328A098" w14:textId="77777777" w:rsidR="000F4365" w:rsidRPr="00AC1297" w:rsidRDefault="000F4365" w:rsidP="00AC1297">
      <w:pPr>
        <w:spacing w:after="120"/>
        <w:jc w:val="both"/>
        <w:rPr>
          <w:i/>
          <w:sz w:val="24"/>
          <w:szCs w:val="24"/>
        </w:rPr>
      </w:pPr>
      <w:proofErr w:type="gramStart"/>
      <w:r w:rsidRPr="00AC1297">
        <w:rPr>
          <w:color w:val="1A1A1A"/>
          <w:sz w:val="24"/>
          <w:szCs w:val="24"/>
        </w:rPr>
        <w:t>Standish, J. J., Dick, H. J., Michael, P. J., Melson, W. G., &amp; O'Hearn, T. (2008).</w:t>
      </w:r>
      <w:proofErr w:type="gramEnd"/>
      <w:r w:rsidRPr="00AC1297">
        <w:rPr>
          <w:color w:val="1A1A1A"/>
          <w:sz w:val="24"/>
          <w:szCs w:val="24"/>
        </w:rPr>
        <w:t xml:space="preserve"> MORB generation beneath the ultraslow spreading Southwest Indian Ridge (9–25 E): Major element chemistry and the importance of process versus source.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9</w:t>
      </w:r>
      <w:r w:rsidRPr="00AC1297">
        <w:rPr>
          <w:color w:val="1A1A1A"/>
          <w:sz w:val="24"/>
          <w:szCs w:val="24"/>
        </w:rPr>
        <w:t>(5).</w:t>
      </w:r>
      <w:proofErr w:type="gramEnd"/>
    </w:p>
    <w:p w14:paraId="3F30643E" w14:textId="5C84DFF4" w:rsidR="000F4365" w:rsidRPr="00AC1297" w:rsidRDefault="000F4365" w:rsidP="00AC1297">
      <w:pPr>
        <w:spacing w:after="120"/>
        <w:jc w:val="both"/>
        <w:rPr>
          <w:i/>
          <w:sz w:val="24"/>
          <w:szCs w:val="24"/>
        </w:rPr>
      </w:pPr>
      <w:r w:rsidRPr="00AC1297">
        <w:rPr>
          <w:color w:val="1A1A1A"/>
          <w:sz w:val="24"/>
          <w:szCs w:val="24"/>
        </w:rPr>
        <w:lastRenderedPageBreak/>
        <w:t xml:space="preserve">Suhr, G. (1999). Significance of upper mantle hosted dunite bodies for melt migration and extraction under oceanic spreading centres: inferences from reactive transport modelling. </w:t>
      </w:r>
      <w:r w:rsidRPr="00AC1297">
        <w:rPr>
          <w:i/>
          <w:iCs/>
          <w:color w:val="1A1A1A"/>
          <w:sz w:val="24"/>
          <w:szCs w:val="24"/>
        </w:rPr>
        <w:t>J Petrol</w:t>
      </w:r>
      <w:r w:rsidRPr="00AC1297">
        <w:rPr>
          <w:color w:val="1A1A1A"/>
          <w:sz w:val="24"/>
          <w:szCs w:val="24"/>
        </w:rPr>
        <w:t xml:space="preserve">, </w:t>
      </w:r>
      <w:r w:rsidRPr="00AC1297">
        <w:rPr>
          <w:i/>
          <w:iCs/>
          <w:color w:val="1A1A1A"/>
          <w:sz w:val="24"/>
          <w:szCs w:val="24"/>
        </w:rPr>
        <w:t>40</w:t>
      </w:r>
      <w:r w:rsidRPr="00AC1297">
        <w:rPr>
          <w:color w:val="1A1A1A"/>
          <w:sz w:val="24"/>
          <w:szCs w:val="24"/>
        </w:rPr>
        <w:t>, 575-599.</w:t>
      </w:r>
    </w:p>
    <w:p w14:paraId="3E8265B5" w14:textId="77777777" w:rsidR="000F4365" w:rsidRPr="00AC1297" w:rsidRDefault="000F4365" w:rsidP="00AC1297">
      <w:pPr>
        <w:spacing w:after="120"/>
        <w:jc w:val="both"/>
        <w:rPr>
          <w:i/>
          <w:sz w:val="24"/>
          <w:szCs w:val="24"/>
        </w:rPr>
      </w:pPr>
      <w:proofErr w:type="gramStart"/>
      <w:r w:rsidRPr="00AC1297">
        <w:rPr>
          <w:color w:val="1A1A1A"/>
          <w:sz w:val="24"/>
          <w:szCs w:val="24"/>
        </w:rPr>
        <w:t>Suhr, G., Hellebrand, E., Johnson, K., &amp; Brunelli, D. (2008).</w:t>
      </w:r>
      <w:proofErr w:type="gramEnd"/>
      <w:r w:rsidRPr="00AC1297">
        <w:rPr>
          <w:color w:val="1A1A1A"/>
          <w:sz w:val="24"/>
          <w:szCs w:val="24"/>
        </w:rPr>
        <w:t xml:space="preserve"> Stacked gabbro units and intervening mantle: A detailed look at a section of IODP Leg 305, Hole U1309D. </w:t>
      </w:r>
      <w:proofErr w:type="gramStart"/>
      <w:r w:rsidRPr="00AC1297">
        <w:rPr>
          <w:i/>
          <w:iCs/>
          <w:color w:val="1A1A1A"/>
          <w:sz w:val="24"/>
          <w:szCs w:val="24"/>
        </w:rPr>
        <w:t>Geochemistry, Geophysics, Geosystems</w:t>
      </w:r>
      <w:r w:rsidRPr="00AC1297">
        <w:rPr>
          <w:color w:val="1A1A1A"/>
          <w:sz w:val="24"/>
          <w:szCs w:val="24"/>
        </w:rPr>
        <w:t xml:space="preserve">, </w:t>
      </w:r>
      <w:r w:rsidRPr="00AC1297">
        <w:rPr>
          <w:i/>
          <w:iCs/>
          <w:color w:val="1A1A1A"/>
          <w:sz w:val="24"/>
          <w:szCs w:val="24"/>
        </w:rPr>
        <w:t>9</w:t>
      </w:r>
      <w:r w:rsidRPr="00AC1297">
        <w:rPr>
          <w:color w:val="1A1A1A"/>
          <w:sz w:val="24"/>
          <w:szCs w:val="24"/>
        </w:rPr>
        <w:t>(10).</w:t>
      </w:r>
      <w:proofErr w:type="gramEnd"/>
    </w:p>
    <w:p w14:paraId="582F3AED" w14:textId="70907AAA" w:rsidR="000F4365" w:rsidRPr="00AC1297" w:rsidRDefault="000F4365" w:rsidP="00AC1297">
      <w:pPr>
        <w:spacing w:after="120"/>
        <w:jc w:val="both"/>
        <w:rPr>
          <w:i/>
          <w:sz w:val="24"/>
          <w:szCs w:val="24"/>
        </w:rPr>
      </w:pPr>
      <w:proofErr w:type="gramStart"/>
      <w:r w:rsidRPr="00AC1297">
        <w:rPr>
          <w:color w:val="1A1A1A"/>
          <w:sz w:val="24"/>
          <w:szCs w:val="24"/>
        </w:rPr>
        <w:t>Tartarotti, P., Susini, S., Nimis, P., &amp; Ottolini, L. (2002).</w:t>
      </w:r>
      <w:proofErr w:type="gramEnd"/>
      <w:r w:rsidRPr="00AC1297">
        <w:rPr>
          <w:color w:val="1A1A1A"/>
          <w:sz w:val="24"/>
          <w:szCs w:val="24"/>
        </w:rPr>
        <w:t xml:space="preserve"> Melt migration in the upper mantle along the Romanche Fracture Zone (Equatorial Atlantic). </w:t>
      </w:r>
      <w:r w:rsidRPr="00AC1297">
        <w:rPr>
          <w:i/>
          <w:iCs/>
          <w:color w:val="1A1A1A"/>
          <w:sz w:val="24"/>
          <w:szCs w:val="24"/>
        </w:rPr>
        <w:t>Lithos</w:t>
      </w:r>
      <w:r w:rsidRPr="00AC1297">
        <w:rPr>
          <w:color w:val="1A1A1A"/>
          <w:sz w:val="24"/>
          <w:szCs w:val="24"/>
        </w:rPr>
        <w:t xml:space="preserve">, </w:t>
      </w:r>
      <w:r w:rsidRPr="00AC1297">
        <w:rPr>
          <w:i/>
          <w:iCs/>
          <w:color w:val="1A1A1A"/>
          <w:sz w:val="24"/>
          <w:szCs w:val="24"/>
        </w:rPr>
        <w:t>63</w:t>
      </w:r>
      <w:r w:rsidRPr="00AC1297">
        <w:rPr>
          <w:color w:val="1A1A1A"/>
          <w:sz w:val="24"/>
          <w:szCs w:val="24"/>
        </w:rPr>
        <w:t>(3), 125-149.</w:t>
      </w:r>
    </w:p>
    <w:p w14:paraId="713F6FB5" w14:textId="60A08CA9" w:rsidR="000F4365" w:rsidRDefault="000F4365" w:rsidP="009407FD">
      <w:pPr>
        <w:widowControl w:val="0"/>
        <w:autoSpaceDE w:val="0"/>
        <w:autoSpaceDN w:val="0"/>
        <w:adjustRightInd w:val="0"/>
        <w:spacing w:after="120"/>
        <w:jc w:val="both"/>
        <w:rPr>
          <w:sz w:val="24"/>
          <w:szCs w:val="24"/>
        </w:rPr>
      </w:pPr>
      <w:r w:rsidRPr="00AC1297">
        <w:rPr>
          <w:sz w:val="24"/>
          <w:szCs w:val="24"/>
        </w:rPr>
        <w:t xml:space="preserve">Toomey, D. R., Solomon, S. C., and Purdy, G. (1988), Microearthquakes beneath Median Valley of Mid-Atlantic Ridge near 23°N: Tomography and Tectonics, </w:t>
      </w:r>
      <w:r w:rsidRPr="00AC1297">
        <w:rPr>
          <w:i/>
          <w:sz w:val="24"/>
          <w:szCs w:val="24"/>
        </w:rPr>
        <w:t>Journal of Geophysical Research</w:t>
      </w:r>
      <w:r w:rsidRPr="00AC1297">
        <w:rPr>
          <w:sz w:val="24"/>
          <w:szCs w:val="24"/>
        </w:rPr>
        <w:t>, 93 (B8), 9093–9112.</w:t>
      </w:r>
    </w:p>
    <w:p w14:paraId="35B10BEC" w14:textId="77777777" w:rsidR="00D67DD3" w:rsidRPr="00AC1297" w:rsidRDefault="00D67DD3" w:rsidP="00D67DD3">
      <w:pPr>
        <w:spacing w:after="120"/>
        <w:jc w:val="both"/>
        <w:rPr>
          <w:i/>
          <w:sz w:val="24"/>
          <w:szCs w:val="24"/>
        </w:rPr>
      </w:pPr>
      <w:r w:rsidRPr="00AC1297">
        <w:rPr>
          <w:color w:val="1A1A1A"/>
          <w:sz w:val="24"/>
          <w:szCs w:val="24"/>
        </w:rPr>
        <w:t>Tormey, D. R., Grove, T. L., &amp; Bryan, W. B. (1987). Experimental petrology of normal MORB near the Kane Fr</w:t>
      </w:r>
      <w:r>
        <w:rPr>
          <w:color w:val="1A1A1A"/>
          <w:sz w:val="24"/>
          <w:szCs w:val="24"/>
        </w:rPr>
        <w:t>acture Zone: 22–25°</w:t>
      </w:r>
      <w:r w:rsidRPr="00AC1297">
        <w:rPr>
          <w:color w:val="1A1A1A"/>
          <w:sz w:val="24"/>
          <w:szCs w:val="24"/>
        </w:rPr>
        <w:t xml:space="preserve">N, mid-Atlantic ridge.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96</w:t>
      </w:r>
      <w:r w:rsidRPr="00AC1297">
        <w:rPr>
          <w:color w:val="1A1A1A"/>
          <w:sz w:val="24"/>
          <w:szCs w:val="24"/>
        </w:rPr>
        <w:t>(2), 121-139.</w:t>
      </w:r>
    </w:p>
    <w:p w14:paraId="324900D0" w14:textId="16F70C1D" w:rsidR="00D67DD3" w:rsidRPr="00AC1297" w:rsidRDefault="00D67DD3" w:rsidP="00D67DD3">
      <w:pPr>
        <w:spacing w:after="120"/>
        <w:jc w:val="both"/>
        <w:rPr>
          <w:sz w:val="24"/>
          <w:szCs w:val="24"/>
        </w:rPr>
      </w:pPr>
      <w:proofErr w:type="gramStart"/>
      <w:r w:rsidRPr="00AC1297">
        <w:rPr>
          <w:color w:val="1A1A1A"/>
          <w:sz w:val="24"/>
          <w:szCs w:val="24"/>
        </w:rPr>
        <w:t>Tursack, E., &amp; Liang, Y. (2012).</w:t>
      </w:r>
      <w:proofErr w:type="gramEnd"/>
      <w:r w:rsidRPr="00AC1297">
        <w:rPr>
          <w:color w:val="1A1A1A"/>
          <w:sz w:val="24"/>
          <w:szCs w:val="24"/>
        </w:rPr>
        <w:t xml:space="preserve"> A comparative study of melt-rock reactions in the mantle: laboratory dissolution experiments and geological field observations. </w:t>
      </w:r>
      <w:r w:rsidRPr="00AC1297">
        <w:rPr>
          <w:i/>
          <w:iCs/>
          <w:color w:val="1A1A1A"/>
          <w:sz w:val="24"/>
          <w:szCs w:val="24"/>
        </w:rPr>
        <w:t>Contributions to Mineralogy and Petrology</w:t>
      </w:r>
      <w:r w:rsidRPr="00AC1297">
        <w:rPr>
          <w:color w:val="1A1A1A"/>
          <w:sz w:val="24"/>
          <w:szCs w:val="24"/>
        </w:rPr>
        <w:t xml:space="preserve">, </w:t>
      </w:r>
      <w:r w:rsidRPr="00AC1297">
        <w:rPr>
          <w:i/>
          <w:iCs/>
          <w:color w:val="1A1A1A"/>
          <w:sz w:val="24"/>
          <w:szCs w:val="24"/>
        </w:rPr>
        <w:t>163</w:t>
      </w:r>
      <w:r w:rsidRPr="00AC1297">
        <w:rPr>
          <w:color w:val="1A1A1A"/>
          <w:sz w:val="24"/>
          <w:szCs w:val="24"/>
        </w:rPr>
        <w:t>(5), 861-876.</w:t>
      </w:r>
    </w:p>
    <w:p w14:paraId="7AE6F7CA" w14:textId="024DF1B7" w:rsidR="000F4365" w:rsidRPr="00AC1297" w:rsidRDefault="000F4365" w:rsidP="00AC1297">
      <w:pPr>
        <w:spacing w:after="120"/>
        <w:jc w:val="both"/>
        <w:rPr>
          <w:sz w:val="24"/>
          <w:szCs w:val="24"/>
        </w:rPr>
      </w:pPr>
      <w:proofErr w:type="gramStart"/>
      <w:r w:rsidRPr="00AC1297">
        <w:rPr>
          <w:sz w:val="24"/>
          <w:szCs w:val="24"/>
        </w:rPr>
        <w:t>Van Achterberg, E., Ryan, C.G., Jackson, S.E. and Griffin, W., 2001.</w:t>
      </w:r>
      <w:proofErr w:type="gramEnd"/>
      <w:r w:rsidRPr="00AC1297">
        <w:rPr>
          <w:sz w:val="24"/>
          <w:szCs w:val="24"/>
        </w:rPr>
        <w:t xml:space="preserve"> </w:t>
      </w:r>
      <w:proofErr w:type="gramStart"/>
      <w:r w:rsidRPr="00AC1297">
        <w:rPr>
          <w:sz w:val="24"/>
          <w:szCs w:val="24"/>
        </w:rPr>
        <w:t>Data reduction software for LA-ICP-MS.</w:t>
      </w:r>
      <w:proofErr w:type="gramEnd"/>
      <w:r w:rsidRPr="00AC1297">
        <w:rPr>
          <w:sz w:val="24"/>
          <w:szCs w:val="24"/>
        </w:rPr>
        <w:t xml:space="preserve"> In: P. Sylvester (Editor), </w:t>
      </w:r>
      <w:r w:rsidRPr="00AC1297">
        <w:rPr>
          <w:i/>
          <w:sz w:val="24"/>
          <w:szCs w:val="24"/>
        </w:rPr>
        <w:t>Laser ablation ICP-MS in the Earth Science. Mineralogical Association of Canada</w:t>
      </w:r>
      <w:r w:rsidRPr="00AC1297">
        <w:rPr>
          <w:sz w:val="24"/>
          <w:szCs w:val="24"/>
        </w:rPr>
        <w:t>, (29) pp. 239-243.</w:t>
      </w:r>
    </w:p>
    <w:p w14:paraId="31C0F858" w14:textId="033EADB6" w:rsidR="000F4365" w:rsidRPr="00AC1297" w:rsidRDefault="000F4365" w:rsidP="00AC1297">
      <w:pPr>
        <w:spacing w:after="120"/>
        <w:jc w:val="both"/>
        <w:rPr>
          <w:i/>
          <w:sz w:val="24"/>
          <w:szCs w:val="24"/>
        </w:rPr>
      </w:pPr>
      <w:proofErr w:type="gramStart"/>
      <w:r w:rsidRPr="00AC1297">
        <w:rPr>
          <w:color w:val="1A1A1A"/>
          <w:sz w:val="24"/>
          <w:szCs w:val="24"/>
        </w:rPr>
        <w:t>Warren, J. M., &amp; Shimizu, N. (2010).</w:t>
      </w:r>
      <w:proofErr w:type="gramEnd"/>
      <w:r w:rsidRPr="00AC1297">
        <w:rPr>
          <w:color w:val="1A1A1A"/>
          <w:sz w:val="24"/>
          <w:szCs w:val="24"/>
        </w:rPr>
        <w:t xml:space="preserve"> Cryptic variations in abyssal peridotite compositions: evidence for shallow-level </w:t>
      </w:r>
      <w:proofErr w:type="gramStart"/>
      <w:r w:rsidRPr="00AC1297">
        <w:rPr>
          <w:color w:val="1A1A1A"/>
          <w:sz w:val="24"/>
          <w:szCs w:val="24"/>
        </w:rPr>
        <w:t>melt</w:t>
      </w:r>
      <w:proofErr w:type="gramEnd"/>
      <w:r w:rsidRPr="00AC1297">
        <w:rPr>
          <w:color w:val="1A1A1A"/>
          <w:sz w:val="24"/>
          <w:szCs w:val="24"/>
        </w:rPr>
        <w:t xml:space="preserve"> infiltration in the oceanic lithosphere. </w:t>
      </w:r>
      <w:r w:rsidRPr="00AC1297">
        <w:rPr>
          <w:i/>
          <w:iCs/>
          <w:color w:val="1A1A1A"/>
          <w:sz w:val="24"/>
          <w:szCs w:val="24"/>
        </w:rPr>
        <w:t>Journal of Petrology</w:t>
      </w:r>
      <w:r w:rsidRPr="00AC1297">
        <w:rPr>
          <w:color w:val="1A1A1A"/>
          <w:sz w:val="24"/>
          <w:szCs w:val="24"/>
        </w:rPr>
        <w:t xml:space="preserve">, </w:t>
      </w:r>
      <w:r w:rsidRPr="00AC1297">
        <w:rPr>
          <w:i/>
          <w:iCs/>
          <w:color w:val="1A1A1A"/>
          <w:sz w:val="24"/>
          <w:szCs w:val="24"/>
        </w:rPr>
        <w:t>51</w:t>
      </w:r>
      <w:r w:rsidRPr="00AC1297">
        <w:rPr>
          <w:color w:val="1A1A1A"/>
          <w:sz w:val="24"/>
          <w:szCs w:val="24"/>
        </w:rPr>
        <w:t>(1-2), 395-423.</w:t>
      </w:r>
    </w:p>
    <w:p w14:paraId="5CC91F74" w14:textId="169AC363" w:rsidR="000F4365" w:rsidRPr="00AC1297" w:rsidRDefault="000F4365" w:rsidP="00AC1297">
      <w:pPr>
        <w:spacing w:after="120"/>
        <w:jc w:val="both"/>
        <w:rPr>
          <w:bCs/>
          <w:i/>
          <w:sz w:val="24"/>
          <w:szCs w:val="24"/>
        </w:rPr>
      </w:pPr>
      <w:r w:rsidRPr="00AC1297">
        <w:rPr>
          <w:color w:val="1A1A1A"/>
          <w:sz w:val="24"/>
          <w:szCs w:val="24"/>
        </w:rPr>
        <w:t>Wolfe, C. J., Purdy, G. M., Toomey, D. R., &amp; Solomon, S. C. (1995). Microearthquake characteristics and crustal velocity structure at 29° N on the Mid</w:t>
      </w:r>
      <w:r w:rsidRPr="00AC1297">
        <w:rPr>
          <w:rFonts w:ascii="Noteworthy Light" w:hAnsi="Noteworthy Light" w:cs="Noteworthy Light"/>
          <w:color w:val="1A1A1A"/>
          <w:sz w:val="24"/>
          <w:szCs w:val="24"/>
        </w:rPr>
        <w:t>‐</w:t>
      </w:r>
      <w:r w:rsidRPr="00AC1297">
        <w:rPr>
          <w:color w:val="1A1A1A"/>
          <w:sz w:val="24"/>
          <w:szCs w:val="24"/>
        </w:rPr>
        <w:t xml:space="preserve">Atlantic Ridge: The architecture of a slow spreading segment. </w:t>
      </w:r>
      <w:r w:rsidRPr="00AC1297">
        <w:rPr>
          <w:i/>
          <w:iCs/>
          <w:color w:val="1A1A1A"/>
          <w:sz w:val="24"/>
          <w:szCs w:val="24"/>
        </w:rPr>
        <w:t>Journal of Geophysical Research: Solid Earth</w:t>
      </w:r>
      <w:r w:rsidRPr="00AC1297">
        <w:rPr>
          <w:color w:val="1A1A1A"/>
          <w:sz w:val="24"/>
          <w:szCs w:val="24"/>
        </w:rPr>
        <w:t xml:space="preserve">, </w:t>
      </w:r>
      <w:r w:rsidRPr="00AC1297">
        <w:rPr>
          <w:i/>
          <w:iCs/>
          <w:color w:val="1A1A1A"/>
          <w:sz w:val="24"/>
          <w:szCs w:val="24"/>
        </w:rPr>
        <w:t>100</w:t>
      </w:r>
      <w:r w:rsidRPr="00AC1297">
        <w:rPr>
          <w:color w:val="1A1A1A"/>
          <w:sz w:val="24"/>
          <w:szCs w:val="24"/>
        </w:rPr>
        <w:t>(B12), 24449-24472.</w:t>
      </w:r>
    </w:p>
    <w:p w14:paraId="2AC88640" w14:textId="77777777" w:rsidR="000F4365" w:rsidRPr="00AC1297" w:rsidRDefault="000F4365" w:rsidP="00AC1297">
      <w:pPr>
        <w:spacing w:after="120"/>
        <w:jc w:val="both"/>
        <w:rPr>
          <w:bCs/>
          <w:sz w:val="24"/>
          <w:szCs w:val="24"/>
        </w:rPr>
      </w:pPr>
      <w:proofErr w:type="gramStart"/>
      <w:r w:rsidRPr="00AC1297">
        <w:rPr>
          <w:color w:val="1A1A1A"/>
          <w:sz w:val="24"/>
          <w:szCs w:val="24"/>
        </w:rPr>
        <w:t>Workman, R. K., &amp; Hart, S. R. (2005).</w:t>
      </w:r>
      <w:proofErr w:type="gramEnd"/>
      <w:r w:rsidRPr="00AC1297">
        <w:rPr>
          <w:color w:val="1A1A1A"/>
          <w:sz w:val="24"/>
          <w:szCs w:val="24"/>
        </w:rPr>
        <w:t xml:space="preserve"> Major and trace element composition of the depleted MORB mantle (DMM). </w:t>
      </w:r>
      <w:r w:rsidRPr="00AC1297">
        <w:rPr>
          <w:i/>
          <w:iCs/>
          <w:color w:val="1A1A1A"/>
          <w:sz w:val="24"/>
          <w:szCs w:val="24"/>
        </w:rPr>
        <w:t>Earth and Planetary Science Letters</w:t>
      </w:r>
      <w:r w:rsidRPr="00AC1297">
        <w:rPr>
          <w:color w:val="1A1A1A"/>
          <w:sz w:val="24"/>
          <w:szCs w:val="24"/>
        </w:rPr>
        <w:t xml:space="preserve">, </w:t>
      </w:r>
      <w:r w:rsidRPr="00AC1297">
        <w:rPr>
          <w:i/>
          <w:iCs/>
          <w:color w:val="1A1A1A"/>
          <w:sz w:val="24"/>
          <w:szCs w:val="24"/>
        </w:rPr>
        <w:t>231</w:t>
      </w:r>
      <w:r w:rsidRPr="00AC1297">
        <w:rPr>
          <w:color w:val="1A1A1A"/>
          <w:sz w:val="24"/>
          <w:szCs w:val="24"/>
        </w:rPr>
        <w:t>(1), 53-72.</w:t>
      </w:r>
    </w:p>
    <w:p w14:paraId="78775546" w14:textId="77777777" w:rsidR="00DE04B3" w:rsidRPr="00022B05" w:rsidRDefault="00DE04B3" w:rsidP="00C81368">
      <w:pPr>
        <w:pStyle w:val="Reference"/>
        <w:rPr>
          <w:bCs/>
          <w:kern w:val="28"/>
        </w:rPr>
      </w:pPr>
    </w:p>
    <w:p w14:paraId="150F5BDD" w14:textId="77777777" w:rsidR="00DE04B3" w:rsidRPr="00022B05" w:rsidRDefault="00DE04B3" w:rsidP="00C81368">
      <w:pPr>
        <w:pStyle w:val="Reference"/>
        <w:rPr>
          <w:bCs/>
          <w:kern w:val="28"/>
        </w:rPr>
      </w:pPr>
    </w:p>
    <w:p w14:paraId="2B7C9A8E" w14:textId="77777777" w:rsidR="00BF0028" w:rsidRPr="00022B05" w:rsidRDefault="00BF0028"/>
    <w:sectPr w:rsidR="00BF0028" w:rsidRPr="00022B05" w:rsidSect="00685D45">
      <w:pgSz w:w="12240" w:h="15840"/>
      <w:pgMar w:top="1440" w:right="1440" w:bottom="1440" w:left="1440" w:header="432"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5" w:author="Daniele" w:date="2016-04-04T10:21:00Z" w:initials="D">
    <w:p w14:paraId="78473FA1" w14:textId="48B6DC2F" w:rsidR="002B1DB5" w:rsidRPr="002B1DB5" w:rsidRDefault="002B1DB5">
      <w:pPr>
        <w:pStyle w:val="CommentText"/>
        <w:rPr>
          <w:lang w:val="en-GB"/>
        </w:rPr>
      </w:pPr>
      <w:r>
        <w:rPr>
          <w:rStyle w:val="CommentReference"/>
        </w:rPr>
        <w:annotationRef/>
      </w:r>
      <w:r w:rsidRPr="002B1DB5">
        <w:rPr>
          <w:lang w:val="en-GB"/>
        </w:rPr>
        <w:t>K menas nothing with EMPA analyses, these are bdl values</w:t>
      </w:r>
    </w:p>
  </w:comment>
  <w:comment w:id="49" w:author="Daniele" w:date="2016-04-04T10:21:00Z" w:initials="D">
    <w:p w14:paraId="2A29D244" w14:textId="11DBB86A" w:rsidR="002B1DB5" w:rsidRDefault="002B1DB5">
      <w:pPr>
        <w:pStyle w:val="CommentText"/>
      </w:pPr>
      <w:r>
        <w:rPr>
          <w:rStyle w:val="CommentReference"/>
        </w:rPr>
        <w:annotationRef/>
      </w:r>
      <w:r>
        <w:t>Cut this</w:t>
      </w:r>
    </w:p>
  </w:comment>
  <w:comment w:id="50" w:author="Daniele" w:date="2016-04-04T10:22:00Z" w:initials="D">
    <w:p w14:paraId="353E86DC" w14:textId="2E54398D" w:rsidR="002B1DB5" w:rsidRPr="002B1DB5" w:rsidRDefault="002B1DB5">
      <w:pPr>
        <w:pStyle w:val="CommentText"/>
        <w:rPr>
          <w:lang w:val="en-GB"/>
        </w:rPr>
      </w:pPr>
      <w:r>
        <w:rPr>
          <w:rStyle w:val="CommentReference"/>
        </w:rPr>
        <w:annotationRef/>
      </w:r>
      <w:proofErr w:type="gramStart"/>
      <w:r w:rsidRPr="002B1DB5">
        <w:rPr>
          <w:lang w:val="en-GB"/>
        </w:rPr>
        <w:t>Usually  significant</w:t>
      </w:r>
      <w:proofErr w:type="gramEnd"/>
      <w:r w:rsidRPr="002B1DB5">
        <w:rPr>
          <w:lang w:val="en-GB"/>
        </w:rPr>
        <w:t xml:space="preserve"> digits</w:t>
      </w:r>
    </w:p>
  </w:comment>
  <w:comment w:id="53" w:author="Daniele" w:date="2016-04-04T10:22:00Z" w:initials="D">
    <w:p w14:paraId="703094C9" w14:textId="4BCC3247" w:rsidR="002B1DB5" w:rsidRPr="002B1DB5" w:rsidRDefault="002B1DB5">
      <w:pPr>
        <w:pStyle w:val="CommentText"/>
        <w:rPr>
          <w:lang w:val="en-GB"/>
        </w:rPr>
      </w:pPr>
      <w:r>
        <w:rPr>
          <w:rStyle w:val="CommentReference"/>
        </w:rPr>
        <w:annotationRef/>
      </w:r>
      <w:r w:rsidRPr="002B1DB5">
        <w:rPr>
          <w:lang w:val="en-GB"/>
        </w:rPr>
        <w:t>Cut the K figure.</w:t>
      </w:r>
    </w:p>
  </w:comment>
  <w:comment w:id="54" w:author="Daniele" w:date="2016-04-04T10:23:00Z" w:initials="D">
    <w:p w14:paraId="73B1B052" w14:textId="5A6C2BDB" w:rsidR="002B1DB5" w:rsidRDefault="002B1DB5">
      <w:pPr>
        <w:pStyle w:val="CommentText"/>
      </w:pPr>
      <w:r>
        <w:rPr>
          <w:rStyle w:val="CommentReference"/>
        </w:rPr>
        <w:annotationRef/>
      </w:r>
      <w:r>
        <w:t>No K discussion</w:t>
      </w:r>
    </w:p>
  </w:comment>
  <w:comment w:id="65" w:author="Daniele" w:date="2016-04-04T10:28:00Z" w:initials="D">
    <w:p w14:paraId="5313A70F" w14:textId="77777777" w:rsidR="002B1DB5" w:rsidRPr="002B1DB5" w:rsidRDefault="002B1DB5">
      <w:pPr>
        <w:pStyle w:val="CommentText"/>
        <w:rPr>
          <w:lang w:val="en-GB"/>
        </w:rPr>
      </w:pPr>
      <w:r>
        <w:rPr>
          <w:rStyle w:val="CommentReference"/>
        </w:rPr>
        <w:annotationRef/>
      </w:r>
      <w:r w:rsidRPr="002B1DB5">
        <w:rPr>
          <w:lang w:val="en-GB"/>
        </w:rPr>
        <w:t>Only absolute value for Sc, Ti, V, Cr, Mn, Co, Ni,</w:t>
      </w:r>
    </w:p>
    <w:p w14:paraId="02DB52DE" w14:textId="3274848B" w:rsidR="002B1DB5" w:rsidRPr="002B1DB5" w:rsidRDefault="002B1DB5">
      <w:pPr>
        <w:pStyle w:val="CommentText"/>
        <w:rPr>
          <w:lang w:val="en-GB"/>
        </w:rPr>
      </w:pPr>
      <w:r>
        <w:rPr>
          <w:lang w:val="en-GB"/>
        </w:rPr>
        <w:t>All other one significant digit</w:t>
      </w:r>
      <w:r w:rsidRPr="002B1DB5">
        <w:rPr>
          <w:lang w:val="en-GB"/>
        </w:rPr>
        <w:t xml:space="preserve">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8ADAA5" w14:textId="77777777" w:rsidR="00907C49" w:rsidRDefault="00907C49" w:rsidP="000379AB">
      <w:r>
        <w:separator/>
      </w:r>
    </w:p>
  </w:endnote>
  <w:endnote w:type="continuationSeparator" w:id="0">
    <w:p w14:paraId="170AF8D1" w14:textId="77777777" w:rsidR="00907C49" w:rsidRDefault="00907C49" w:rsidP="00037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ucida Grande">
    <w:altName w:val="Arial"/>
    <w:charset w:val="00"/>
    <w:family w:val="auto"/>
    <w:pitch w:val="variable"/>
    <w:sig w:usb0="00000000" w:usb1="5000A1FF" w:usb2="00000000" w:usb3="00000000" w:csb0="000001BF" w:csb1="00000000"/>
  </w:font>
  <w:font w:name="Noteworthy Light">
    <w:altName w:val="Arial Unicode MS"/>
    <w:charset w:val="00"/>
    <w:family w:val="auto"/>
    <w:pitch w:val="variable"/>
    <w:sig w:usb0="00000001" w:usb1="08000048" w:usb2="14600000" w:usb3="00000000" w:csb0="00000111" w:csb1="00000000"/>
  </w:font>
  <w:font w:name="Calibri Light">
    <w:altName w:val="Consolas"/>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ED28E" w14:textId="2FE9AD18" w:rsidR="00DD1950" w:rsidRDefault="00DD1950" w:rsidP="00B719C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F89400" w14:textId="77777777" w:rsidR="00907C49" w:rsidRDefault="00907C49" w:rsidP="000379AB">
      <w:r>
        <w:separator/>
      </w:r>
    </w:p>
  </w:footnote>
  <w:footnote w:type="continuationSeparator" w:id="0">
    <w:p w14:paraId="4C7B0765" w14:textId="77777777" w:rsidR="00907C49" w:rsidRDefault="00907C49" w:rsidP="000379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25FE63" w14:textId="454CBB77" w:rsidR="00DD1950" w:rsidRDefault="00DD1950" w:rsidP="007778ED">
    <w:pPr>
      <w:pStyle w:val="Header"/>
      <w:jc w:val="center"/>
    </w:pPr>
    <w:r>
      <w:t xml:space="preserve">Confidential manuscript submitted to </w:t>
    </w:r>
    <w:r>
      <w:rPr>
        <w:i/>
      </w:rPr>
      <w:t>Geochemistry, Geophysics and Geosystems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B75CCC" w14:textId="2816AD77" w:rsidR="00DD1950" w:rsidRDefault="00DD1950" w:rsidP="00E31404">
    <w:pPr>
      <w:pStyle w:val="Header"/>
      <w:jc w:val="center"/>
    </w:pPr>
    <w:r>
      <w:t xml:space="preserve">Confidential manuscript submitted to </w:t>
    </w:r>
    <w:r>
      <w:rPr>
        <w:i/>
      </w:rPr>
      <w:t xml:space="preserve">replace this text with name of </w:t>
    </w:r>
    <w:r w:rsidRPr="007778ED">
      <w:rPr>
        <w:i/>
      </w:rPr>
      <w:t>AGU journal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5E64BC"/>
    <w:multiLevelType w:val="hybridMultilevel"/>
    <w:tmpl w:val="A4B06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478067D"/>
    <w:multiLevelType w:val="hybridMultilevel"/>
    <w:tmpl w:val="9FB67F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4A61D63"/>
    <w:multiLevelType w:val="hybridMultilevel"/>
    <w:tmpl w:val="36769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A680FC6"/>
    <w:multiLevelType w:val="hybridMultilevel"/>
    <w:tmpl w:val="59429E58"/>
    <w:lvl w:ilvl="0" w:tplc="73F4BF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5483E42"/>
    <w:multiLevelType w:val="multilevel"/>
    <w:tmpl w:val="45D69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C9B5536"/>
    <w:multiLevelType w:val="hybridMultilevel"/>
    <w:tmpl w:val="CBCCF77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4E3973"/>
    <w:multiLevelType w:val="hybridMultilevel"/>
    <w:tmpl w:val="8C6689B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C811597"/>
    <w:multiLevelType w:val="hybridMultilevel"/>
    <w:tmpl w:val="4E48B8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14302B0"/>
    <w:multiLevelType w:val="hybridMultilevel"/>
    <w:tmpl w:val="BEF43830"/>
    <w:lvl w:ilvl="0" w:tplc="0282A150">
      <w:start w:val="1"/>
      <w:numFmt w:val="upperRoman"/>
      <w:lvlText w:val="%1."/>
      <w:lvlJc w:val="left"/>
      <w:pPr>
        <w:ind w:left="720" w:hanging="360"/>
      </w:pPr>
      <w:rPr>
        <w:rFonts w:hint="default"/>
        <w:i w:val="0"/>
      </w:rPr>
    </w:lvl>
    <w:lvl w:ilvl="1" w:tplc="3B40536E">
      <w:start w:val="1"/>
      <w:numFmt w:val="lowerLetter"/>
      <w:lvlText w:val="%2."/>
      <w:lvlJc w:val="left"/>
      <w:pPr>
        <w:ind w:left="1440" w:hanging="360"/>
      </w:pPr>
      <w:rPr>
        <w:color w:val="auto"/>
      </w:rPr>
    </w:lvl>
    <w:lvl w:ilvl="2" w:tplc="AAFC2D9C">
      <w:start w:val="1"/>
      <w:numFmt w:val="decimal"/>
      <w:lvlText w:val="%3."/>
      <w:lvlJc w:val="left"/>
      <w:pPr>
        <w:ind w:left="2340" w:hanging="360"/>
      </w:pPr>
      <w:rPr>
        <w:rFont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40D0A31"/>
    <w:multiLevelType w:val="multilevel"/>
    <w:tmpl w:val="65BEA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4351C9F"/>
    <w:multiLevelType w:val="multilevel"/>
    <w:tmpl w:val="8196B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B5208B2"/>
    <w:multiLevelType w:val="hybridMultilevel"/>
    <w:tmpl w:val="EF94B784"/>
    <w:lvl w:ilvl="0" w:tplc="9B9AD5D6">
      <w:start w:val="1"/>
      <w:numFmt w:val="upperLetter"/>
      <w:lvlText w:val="%1t"/>
      <w:lvlJc w:val="left"/>
      <w:pPr>
        <w:ind w:left="440" w:hanging="360"/>
      </w:pPr>
      <w:rPr>
        <w:rFonts w:hint="default"/>
      </w:rPr>
    </w:lvl>
    <w:lvl w:ilvl="1" w:tplc="04090019" w:tentative="1">
      <w:start w:val="1"/>
      <w:numFmt w:val="lowerLetter"/>
      <w:lvlText w:val="%2."/>
      <w:lvlJc w:val="left"/>
      <w:pPr>
        <w:ind w:left="1160" w:hanging="360"/>
      </w:pPr>
    </w:lvl>
    <w:lvl w:ilvl="2" w:tplc="0409001B" w:tentative="1">
      <w:start w:val="1"/>
      <w:numFmt w:val="lowerRoman"/>
      <w:lvlText w:val="%3."/>
      <w:lvlJc w:val="right"/>
      <w:pPr>
        <w:ind w:left="1880" w:hanging="180"/>
      </w:pPr>
    </w:lvl>
    <w:lvl w:ilvl="3" w:tplc="0409000F" w:tentative="1">
      <w:start w:val="1"/>
      <w:numFmt w:val="decimal"/>
      <w:lvlText w:val="%4."/>
      <w:lvlJc w:val="left"/>
      <w:pPr>
        <w:ind w:left="2600" w:hanging="360"/>
      </w:pPr>
    </w:lvl>
    <w:lvl w:ilvl="4" w:tplc="04090019" w:tentative="1">
      <w:start w:val="1"/>
      <w:numFmt w:val="lowerLetter"/>
      <w:lvlText w:val="%5."/>
      <w:lvlJc w:val="left"/>
      <w:pPr>
        <w:ind w:left="3320" w:hanging="360"/>
      </w:pPr>
    </w:lvl>
    <w:lvl w:ilvl="5" w:tplc="0409001B" w:tentative="1">
      <w:start w:val="1"/>
      <w:numFmt w:val="lowerRoman"/>
      <w:lvlText w:val="%6."/>
      <w:lvlJc w:val="right"/>
      <w:pPr>
        <w:ind w:left="4040" w:hanging="180"/>
      </w:pPr>
    </w:lvl>
    <w:lvl w:ilvl="6" w:tplc="0409000F" w:tentative="1">
      <w:start w:val="1"/>
      <w:numFmt w:val="decimal"/>
      <w:lvlText w:val="%7."/>
      <w:lvlJc w:val="left"/>
      <w:pPr>
        <w:ind w:left="4760" w:hanging="360"/>
      </w:pPr>
    </w:lvl>
    <w:lvl w:ilvl="7" w:tplc="04090019" w:tentative="1">
      <w:start w:val="1"/>
      <w:numFmt w:val="lowerLetter"/>
      <w:lvlText w:val="%8."/>
      <w:lvlJc w:val="left"/>
      <w:pPr>
        <w:ind w:left="5480" w:hanging="360"/>
      </w:pPr>
    </w:lvl>
    <w:lvl w:ilvl="8" w:tplc="0409001B" w:tentative="1">
      <w:start w:val="1"/>
      <w:numFmt w:val="lowerRoman"/>
      <w:lvlText w:val="%9."/>
      <w:lvlJc w:val="right"/>
      <w:pPr>
        <w:ind w:left="6200" w:hanging="180"/>
      </w:pPr>
    </w:lvl>
  </w:abstractNum>
  <w:abstractNum w:abstractNumId="12">
    <w:nsid w:val="7DB25A3F"/>
    <w:multiLevelType w:val="hybridMultilevel"/>
    <w:tmpl w:val="E86C2644"/>
    <w:lvl w:ilvl="0" w:tplc="35E03CE0">
      <w:start w:val="3"/>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1"/>
  </w:num>
  <w:num w:numId="4">
    <w:abstractNumId w:val="5"/>
  </w:num>
  <w:num w:numId="5">
    <w:abstractNumId w:val="6"/>
  </w:num>
  <w:num w:numId="6">
    <w:abstractNumId w:val="7"/>
  </w:num>
  <w:num w:numId="7">
    <w:abstractNumId w:val="9"/>
  </w:num>
  <w:num w:numId="8">
    <w:abstractNumId w:val="10"/>
  </w:num>
  <w:num w:numId="9">
    <w:abstractNumId w:val="2"/>
  </w:num>
  <w:num w:numId="10">
    <w:abstractNumId w:val="8"/>
  </w:num>
  <w:num w:numId="11">
    <w:abstractNumId w:val="3"/>
  </w:num>
  <w:num w:numId="12">
    <w:abstractNumId w:val="4"/>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6077"/>
    <w:rsid w:val="00006355"/>
    <w:rsid w:val="00010020"/>
    <w:rsid w:val="00012197"/>
    <w:rsid w:val="00022A7A"/>
    <w:rsid w:val="00022B05"/>
    <w:rsid w:val="00026BB4"/>
    <w:rsid w:val="00031829"/>
    <w:rsid w:val="00034720"/>
    <w:rsid w:val="000379AB"/>
    <w:rsid w:val="000408C4"/>
    <w:rsid w:val="0004799A"/>
    <w:rsid w:val="00050E43"/>
    <w:rsid w:val="00056FF2"/>
    <w:rsid w:val="000600BD"/>
    <w:rsid w:val="00076C30"/>
    <w:rsid w:val="00082937"/>
    <w:rsid w:val="000A1093"/>
    <w:rsid w:val="000A3182"/>
    <w:rsid w:val="000A39B6"/>
    <w:rsid w:val="000B00BA"/>
    <w:rsid w:val="000B3369"/>
    <w:rsid w:val="000B52EF"/>
    <w:rsid w:val="000C2C83"/>
    <w:rsid w:val="000C65EF"/>
    <w:rsid w:val="000E5D04"/>
    <w:rsid w:val="000F4365"/>
    <w:rsid w:val="000F5E4E"/>
    <w:rsid w:val="000F7CDE"/>
    <w:rsid w:val="001123EC"/>
    <w:rsid w:val="0011523A"/>
    <w:rsid w:val="00116AA4"/>
    <w:rsid w:val="0011787F"/>
    <w:rsid w:val="001206C3"/>
    <w:rsid w:val="00120CA5"/>
    <w:rsid w:val="00120E5F"/>
    <w:rsid w:val="00124DC4"/>
    <w:rsid w:val="00127D27"/>
    <w:rsid w:val="0013283A"/>
    <w:rsid w:val="0013503F"/>
    <w:rsid w:val="00141250"/>
    <w:rsid w:val="00141488"/>
    <w:rsid w:val="00142ABB"/>
    <w:rsid w:val="00144CCA"/>
    <w:rsid w:val="001565A8"/>
    <w:rsid w:val="00163A6C"/>
    <w:rsid w:val="00172C13"/>
    <w:rsid w:val="0019080E"/>
    <w:rsid w:val="001A2E97"/>
    <w:rsid w:val="001A6CAD"/>
    <w:rsid w:val="001A70F6"/>
    <w:rsid w:val="001A721C"/>
    <w:rsid w:val="001B0A23"/>
    <w:rsid w:val="001B4C30"/>
    <w:rsid w:val="001C0C0A"/>
    <w:rsid w:val="001C6136"/>
    <w:rsid w:val="001D0C5C"/>
    <w:rsid w:val="001D4A1B"/>
    <w:rsid w:val="001D711C"/>
    <w:rsid w:val="001E0EA2"/>
    <w:rsid w:val="001E1E5C"/>
    <w:rsid w:val="001E50AA"/>
    <w:rsid w:val="001E5972"/>
    <w:rsid w:val="001E66AE"/>
    <w:rsid w:val="001F2164"/>
    <w:rsid w:val="001F2B1D"/>
    <w:rsid w:val="001F338C"/>
    <w:rsid w:val="00201D6B"/>
    <w:rsid w:val="002047A3"/>
    <w:rsid w:val="002063D3"/>
    <w:rsid w:val="00207895"/>
    <w:rsid w:val="002112B8"/>
    <w:rsid w:val="00213B42"/>
    <w:rsid w:val="00214C2E"/>
    <w:rsid w:val="00216CD7"/>
    <w:rsid w:val="00217607"/>
    <w:rsid w:val="002356E0"/>
    <w:rsid w:val="00237FA4"/>
    <w:rsid w:val="00240069"/>
    <w:rsid w:val="00247852"/>
    <w:rsid w:val="00254186"/>
    <w:rsid w:val="00254AC7"/>
    <w:rsid w:val="0026724A"/>
    <w:rsid w:val="00271A9A"/>
    <w:rsid w:val="00277F6E"/>
    <w:rsid w:val="0028682E"/>
    <w:rsid w:val="00290D4D"/>
    <w:rsid w:val="00290FD2"/>
    <w:rsid w:val="002A2933"/>
    <w:rsid w:val="002A4624"/>
    <w:rsid w:val="002B1DB5"/>
    <w:rsid w:val="002B34CE"/>
    <w:rsid w:val="002B6F74"/>
    <w:rsid w:val="002C0992"/>
    <w:rsid w:val="002C3263"/>
    <w:rsid w:val="002E1499"/>
    <w:rsid w:val="002E76EF"/>
    <w:rsid w:val="002F1034"/>
    <w:rsid w:val="002F2289"/>
    <w:rsid w:val="002F3A3A"/>
    <w:rsid w:val="002F3B11"/>
    <w:rsid w:val="002F4B63"/>
    <w:rsid w:val="002F6D6F"/>
    <w:rsid w:val="002F7F13"/>
    <w:rsid w:val="00310350"/>
    <w:rsid w:val="003137C3"/>
    <w:rsid w:val="00313C86"/>
    <w:rsid w:val="0031526C"/>
    <w:rsid w:val="00321596"/>
    <w:rsid w:val="003242CB"/>
    <w:rsid w:val="00331BA1"/>
    <w:rsid w:val="0033385E"/>
    <w:rsid w:val="00333CF0"/>
    <w:rsid w:val="00341277"/>
    <w:rsid w:val="00341503"/>
    <w:rsid w:val="00341CDA"/>
    <w:rsid w:val="00342945"/>
    <w:rsid w:val="0034315F"/>
    <w:rsid w:val="0034485E"/>
    <w:rsid w:val="00345D39"/>
    <w:rsid w:val="003468FC"/>
    <w:rsid w:val="00352AD3"/>
    <w:rsid w:val="00362D52"/>
    <w:rsid w:val="0037466A"/>
    <w:rsid w:val="00375C2A"/>
    <w:rsid w:val="00377761"/>
    <w:rsid w:val="00377E8D"/>
    <w:rsid w:val="0038783F"/>
    <w:rsid w:val="00396B2C"/>
    <w:rsid w:val="003B1D8C"/>
    <w:rsid w:val="003B3804"/>
    <w:rsid w:val="003C037B"/>
    <w:rsid w:val="003C3D2D"/>
    <w:rsid w:val="003D69E8"/>
    <w:rsid w:val="003E51E3"/>
    <w:rsid w:val="003F199B"/>
    <w:rsid w:val="00400425"/>
    <w:rsid w:val="004009A6"/>
    <w:rsid w:val="00401AB6"/>
    <w:rsid w:val="0040545A"/>
    <w:rsid w:val="00406D52"/>
    <w:rsid w:val="00406F10"/>
    <w:rsid w:val="00410BE0"/>
    <w:rsid w:val="004113BA"/>
    <w:rsid w:val="00415096"/>
    <w:rsid w:val="00422273"/>
    <w:rsid w:val="00427707"/>
    <w:rsid w:val="00430D4A"/>
    <w:rsid w:val="00435AAA"/>
    <w:rsid w:val="004418C8"/>
    <w:rsid w:val="00444E6F"/>
    <w:rsid w:val="004470BC"/>
    <w:rsid w:val="00460F1C"/>
    <w:rsid w:val="00461C9E"/>
    <w:rsid w:val="00470F7C"/>
    <w:rsid w:val="004760EF"/>
    <w:rsid w:val="00490639"/>
    <w:rsid w:val="00491C37"/>
    <w:rsid w:val="004A5CDD"/>
    <w:rsid w:val="004A6642"/>
    <w:rsid w:val="004A6896"/>
    <w:rsid w:val="004C7984"/>
    <w:rsid w:val="004D21C7"/>
    <w:rsid w:val="004D3922"/>
    <w:rsid w:val="004E193A"/>
    <w:rsid w:val="004F6EFD"/>
    <w:rsid w:val="00501935"/>
    <w:rsid w:val="00504409"/>
    <w:rsid w:val="00522181"/>
    <w:rsid w:val="005227D8"/>
    <w:rsid w:val="00526478"/>
    <w:rsid w:val="00532A9A"/>
    <w:rsid w:val="005358D5"/>
    <w:rsid w:val="0053730C"/>
    <w:rsid w:val="005376F3"/>
    <w:rsid w:val="00545B6C"/>
    <w:rsid w:val="00545F92"/>
    <w:rsid w:val="00552E86"/>
    <w:rsid w:val="005619A3"/>
    <w:rsid w:val="00566AB1"/>
    <w:rsid w:val="00567384"/>
    <w:rsid w:val="00574E03"/>
    <w:rsid w:val="00577960"/>
    <w:rsid w:val="00577A38"/>
    <w:rsid w:val="00582964"/>
    <w:rsid w:val="00585F22"/>
    <w:rsid w:val="00586DA8"/>
    <w:rsid w:val="005A0B14"/>
    <w:rsid w:val="005A7C9F"/>
    <w:rsid w:val="005B18AE"/>
    <w:rsid w:val="005C2748"/>
    <w:rsid w:val="005E0624"/>
    <w:rsid w:val="005E20CA"/>
    <w:rsid w:val="005E40E6"/>
    <w:rsid w:val="005F2154"/>
    <w:rsid w:val="005F7E11"/>
    <w:rsid w:val="006038B2"/>
    <w:rsid w:val="00613A20"/>
    <w:rsid w:val="00617EB5"/>
    <w:rsid w:val="00620E55"/>
    <w:rsid w:val="00627071"/>
    <w:rsid w:val="0063748C"/>
    <w:rsid w:val="00645D51"/>
    <w:rsid w:val="00646955"/>
    <w:rsid w:val="00663F50"/>
    <w:rsid w:val="006770AC"/>
    <w:rsid w:val="00685D45"/>
    <w:rsid w:val="006C1352"/>
    <w:rsid w:val="006C2510"/>
    <w:rsid w:val="006C5A93"/>
    <w:rsid w:val="006D366E"/>
    <w:rsid w:val="006D6761"/>
    <w:rsid w:val="006D728A"/>
    <w:rsid w:val="006F164E"/>
    <w:rsid w:val="006F5DA8"/>
    <w:rsid w:val="006F662E"/>
    <w:rsid w:val="00702DD7"/>
    <w:rsid w:val="00707F21"/>
    <w:rsid w:val="00710734"/>
    <w:rsid w:val="007110A6"/>
    <w:rsid w:val="0071121C"/>
    <w:rsid w:val="007369CC"/>
    <w:rsid w:val="00737C3A"/>
    <w:rsid w:val="00754846"/>
    <w:rsid w:val="00764773"/>
    <w:rsid w:val="00765BC5"/>
    <w:rsid w:val="00766B19"/>
    <w:rsid w:val="00772142"/>
    <w:rsid w:val="00777711"/>
    <w:rsid w:val="007778ED"/>
    <w:rsid w:val="00791990"/>
    <w:rsid w:val="007A154E"/>
    <w:rsid w:val="007A5F02"/>
    <w:rsid w:val="007C1916"/>
    <w:rsid w:val="007D32AD"/>
    <w:rsid w:val="007D5574"/>
    <w:rsid w:val="007D6D8C"/>
    <w:rsid w:val="007E09C3"/>
    <w:rsid w:val="007E2D54"/>
    <w:rsid w:val="007E7738"/>
    <w:rsid w:val="007F4168"/>
    <w:rsid w:val="0080520D"/>
    <w:rsid w:val="00825F8A"/>
    <w:rsid w:val="00830B65"/>
    <w:rsid w:val="0083107F"/>
    <w:rsid w:val="00832A61"/>
    <w:rsid w:val="00836D0A"/>
    <w:rsid w:val="0084302E"/>
    <w:rsid w:val="0085240C"/>
    <w:rsid w:val="00855702"/>
    <w:rsid w:val="00855B07"/>
    <w:rsid w:val="00862EFA"/>
    <w:rsid w:val="008630DC"/>
    <w:rsid w:val="00867D79"/>
    <w:rsid w:val="00871A3F"/>
    <w:rsid w:val="00871F27"/>
    <w:rsid w:val="00871F9E"/>
    <w:rsid w:val="0087369A"/>
    <w:rsid w:val="00886E6F"/>
    <w:rsid w:val="00893EA2"/>
    <w:rsid w:val="008A10A8"/>
    <w:rsid w:val="008A6077"/>
    <w:rsid w:val="008B1869"/>
    <w:rsid w:val="008B3B35"/>
    <w:rsid w:val="008C00BA"/>
    <w:rsid w:val="008C0901"/>
    <w:rsid w:val="008D4D6D"/>
    <w:rsid w:val="008D522E"/>
    <w:rsid w:val="008E3798"/>
    <w:rsid w:val="008E5227"/>
    <w:rsid w:val="008F1DBE"/>
    <w:rsid w:val="008F535D"/>
    <w:rsid w:val="009010F1"/>
    <w:rsid w:val="0090268F"/>
    <w:rsid w:val="009041CE"/>
    <w:rsid w:val="00907C49"/>
    <w:rsid w:val="00921063"/>
    <w:rsid w:val="00925CC7"/>
    <w:rsid w:val="009268CA"/>
    <w:rsid w:val="009314F7"/>
    <w:rsid w:val="009320E2"/>
    <w:rsid w:val="00934584"/>
    <w:rsid w:val="009407FD"/>
    <w:rsid w:val="009420A9"/>
    <w:rsid w:val="009478EA"/>
    <w:rsid w:val="00947AC3"/>
    <w:rsid w:val="0095430B"/>
    <w:rsid w:val="009567D2"/>
    <w:rsid w:val="00963221"/>
    <w:rsid w:val="0096618A"/>
    <w:rsid w:val="00967214"/>
    <w:rsid w:val="00974161"/>
    <w:rsid w:val="00974A1C"/>
    <w:rsid w:val="0097658B"/>
    <w:rsid w:val="00986634"/>
    <w:rsid w:val="00993233"/>
    <w:rsid w:val="00995E80"/>
    <w:rsid w:val="009A162B"/>
    <w:rsid w:val="009A49BE"/>
    <w:rsid w:val="009A5BC4"/>
    <w:rsid w:val="009B623F"/>
    <w:rsid w:val="009D0333"/>
    <w:rsid w:val="009D1000"/>
    <w:rsid w:val="009D1992"/>
    <w:rsid w:val="009F35FD"/>
    <w:rsid w:val="009F3DE7"/>
    <w:rsid w:val="00A11CC4"/>
    <w:rsid w:val="00A147A0"/>
    <w:rsid w:val="00A17AA5"/>
    <w:rsid w:val="00A22676"/>
    <w:rsid w:val="00A2755C"/>
    <w:rsid w:val="00A40906"/>
    <w:rsid w:val="00A45A86"/>
    <w:rsid w:val="00A467DB"/>
    <w:rsid w:val="00A52F4F"/>
    <w:rsid w:val="00A56E5E"/>
    <w:rsid w:val="00A60942"/>
    <w:rsid w:val="00A77132"/>
    <w:rsid w:val="00A934C8"/>
    <w:rsid w:val="00A93B7A"/>
    <w:rsid w:val="00AA4C4D"/>
    <w:rsid w:val="00AB4970"/>
    <w:rsid w:val="00AB721E"/>
    <w:rsid w:val="00AC1297"/>
    <w:rsid w:val="00AC15C4"/>
    <w:rsid w:val="00AC303B"/>
    <w:rsid w:val="00AC4D88"/>
    <w:rsid w:val="00AC6A91"/>
    <w:rsid w:val="00AD1274"/>
    <w:rsid w:val="00AE3771"/>
    <w:rsid w:val="00AF33DA"/>
    <w:rsid w:val="00B01A9E"/>
    <w:rsid w:val="00B120F3"/>
    <w:rsid w:val="00B151E0"/>
    <w:rsid w:val="00B161A5"/>
    <w:rsid w:val="00B2031C"/>
    <w:rsid w:val="00B20D71"/>
    <w:rsid w:val="00B258F3"/>
    <w:rsid w:val="00B42693"/>
    <w:rsid w:val="00B46AB7"/>
    <w:rsid w:val="00B628D2"/>
    <w:rsid w:val="00B70905"/>
    <w:rsid w:val="00B70CCE"/>
    <w:rsid w:val="00B719C8"/>
    <w:rsid w:val="00B72615"/>
    <w:rsid w:val="00B75657"/>
    <w:rsid w:val="00B776EA"/>
    <w:rsid w:val="00B80F7D"/>
    <w:rsid w:val="00B82177"/>
    <w:rsid w:val="00B841D8"/>
    <w:rsid w:val="00B852D4"/>
    <w:rsid w:val="00B86EDC"/>
    <w:rsid w:val="00B9045E"/>
    <w:rsid w:val="00B97554"/>
    <w:rsid w:val="00BA56C4"/>
    <w:rsid w:val="00BB240A"/>
    <w:rsid w:val="00BB2EAB"/>
    <w:rsid w:val="00BB4D3E"/>
    <w:rsid w:val="00BC0115"/>
    <w:rsid w:val="00BC2846"/>
    <w:rsid w:val="00BC30B4"/>
    <w:rsid w:val="00BC735C"/>
    <w:rsid w:val="00BD293E"/>
    <w:rsid w:val="00BE5C67"/>
    <w:rsid w:val="00BE5E70"/>
    <w:rsid w:val="00BE6F34"/>
    <w:rsid w:val="00BF0028"/>
    <w:rsid w:val="00BF3DAD"/>
    <w:rsid w:val="00BF6259"/>
    <w:rsid w:val="00BF679E"/>
    <w:rsid w:val="00C020CF"/>
    <w:rsid w:val="00C047CC"/>
    <w:rsid w:val="00C0760B"/>
    <w:rsid w:val="00C175E7"/>
    <w:rsid w:val="00C30EC3"/>
    <w:rsid w:val="00C333B8"/>
    <w:rsid w:val="00C45E0A"/>
    <w:rsid w:val="00C53C1C"/>
    <w:rsid w:val="00C600CD"/>
    <w:rsid w:val="00C6522E"/>
    <w:rsid w:val="00C663C5"/>
    <w:rsid w:val="00C71DBC"/>
    <w:rsid w:val="00C74084"/>
    <w:rsid w:val="00C77C96"/>
    <w:rsid w:val="00C81368"/>
    <w:rsid w:val="00C81692"/>
    <w:rsid w:val="00C876A4"/>
    <w:rsid w:val="00C92D23"/>
    <w:rsid w:val="00C94AA5"/>
    <w:rsid w:val="00C9603B"/>
    <w:rsid w:val="00CA06AA"/>
    <w:rsid w:val="00CA36C1"/>
    <w:rsid w:val="00CB6492"/>
    <w:rsid w:val="00CB7BED"/>
    <w:rsid w:val="00CC07B3"/>
    <w:rsid w:val="00CC49FC"/>
    <w:rsid w:val="00CC5328"/>
    <w:rsid w:val="00CD0720"/>
    <w:rsid w:val="00CD3EA6"/>
    <w:rsid w:val="00CE6682"/>
    <w:rsid w:val="00D03150"/>
    <w:rsid w:val="00D03F6C"/>
    <w:rsid w:val="00D07353"/>
    <w:rsid w:val="00D105E5"/>
    <w:rsid w:val="00D13504"/>
    <w:rsid w:val="00D13924"/>
    <w:rsid w:val="00D247B7"/>
    <w:rsid w:val="00D2747F"/>
    <w:rsid w:val="00D405E7"/>
    <w:rsid w:val="00D40BCD"/>
    <w:rsid w:val="00D50932"/>
    <w:rsid w:val="00D55917"/>
    <w:rsid w:val="00D55984"/>
    <w:rsid w:val="00D56EE2"/>
    <w:rsid w:val="00D649EA"/>
    <w:rsid w:val="00D65A51"/>
    <w:rsid w:val="00D67DD3"/>
    <w:rsid w:val="00D71EEB"/>
    <w:rsid w:val="00D758C2"/>
    <w:rsid w:val="00D75E92"/>
    <w:rsid w:val="00D76A65"/>
    <w:rsid w:val="00D83EAE"/>
    <w:rsid w:val="00D844B8"/>
    <w:rsid w:val="00D92765"/>
    <w:rsid w:val="00D966EE"/>
    <w:rsid w:val="00DA4A9E"/>
    <w:rsid w:val="00DB229E"/>
    <w:rsid w:val="00DD1950"/>
    <w:rsid w:val="00DD1FA3"/>
    <w:rsid w:val="00DD3FF2"/>
    <w:rsid w:val="00DE0342"/>
    <w:rsid w:val="00DE04B3"/>
    <w:rsid w:val="00DE3F91"/>
    <w:rsid w:val="00DE47B6"/>
    <w:rsid w:val="00DF38DD"/>
    <w:rsid w:val="00E137B3"/>
    <w:rsid w:val="00E21E6C"/>
    <w:rsid w:val="00E313B9"/>
    <w:rsid w:val="00E31404"/>
    <w:rsid w:val="00E414FC"/>
    <w:rsid w:val="00E44D59"/>
    <w:rsid w:val="00E55178"/>
    <w:rsid w:val="00E62F63"/>
    <w:rsid w:val="00E63ACA"/>
    <w:rsid w:val="00E65E95"/>
    <w:rsid w:val="00E67B96"/>
    <w:rsid w:val="00E71596"/>
    <w:rsid w:val="00E71713"/>
    <w:rsid w:val="00E71FCA"/>
    <w:rsid w:val="00E7207A"/>
    <w:rsid w:val="00E76131"/>
    <w:rsid w:val="00E767FA"/>
    <w:rsid w:val="00E824D1"/>
    <w:rsid w:val="00E827EC"/>
    <w:rsid w:val="00E84C0F"/>
    <w:rsid w:val="00E94CD5"/>
    <w:rsid w:val="00E959A4"/>
    <w:rsid w:val="00EB55E6"/>
    <w:rsid w:val="00EC21E5"/>
    <w:rsid w:val="00EC3A09"/>
    <w:rsid w:val="00EC766E"/>
    <w:rsid w:val="00ED3BE6"/>
    <w:rsid w:val="00EE48F6"/>
    <w:rsid w:val="00EF4F03"/>
    <w:rsid w:val="00F00E9C"/>
    <w:rsid w:val="00F14D37"/>
    <w:rsid w:val="00F15518"/>
    <w:rsid w:val="00F15737"/>
    <w:rsid w:val="00F21F4D"/>
    <w:rsid w:val="00F2478F"/>
    <w:rsid w:val="00F2666A"/>
    <w:rsid w:val="00F33F0C"/>
    <w:rsid w:val="00F37CCA"/>
    <w:rsid w:val="00F43701"/>
    <w:rsid w:val="00F45852"/>
    <w:rsid w:val="00F4779D"/>
    <w:rsid w:val="00F5165C"/>
    <w:rsid w:val="00F56832"/>
    <w:rsid w:val="00F608CE"/>
    <w:rsid w:val="00F7148E"/>
    <w:rsid w:val="00F732F3"/>
    <w:rsid w:val="00F913C1"/>
    <w:rsid w:val="00F93A29"/>
    <w:rsid w:val="00FA060C"/>
    <w:rsid w:val="00FA2E55"/>
    <w:rsid w:val="00FA625F"/>
    <w:rsid w:val="00FB1336"/>
    <w:rsid w:val="00FB17F7"/>
    <w:rsid w:val="00FC2487"/>
    <w:rsid w:val="00FD6D7F"/>
    <w:rsid w:val="00FE3AFF"/>
    <w:rsid w:val="00FE44C1"/>
    <w:rsid w:val="00FE534F"/>
    <w:rsid w:val="00FE59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09C9F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214"/>
    <w:rPr>
      <w:rFonts w:ascii="Times New Roman" w:eastAsia="Calibri"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00425"/>
    <w:pPr>
      <w:contextualSpacing/>
      <w:jc w:val="center"/>
    </w:pPr>
    <w:rPr>
      <w:rFonts w:eastAsiaTheme="majorEastAsia" w:cstheme="majorBidi"/>
      <w:b/>
      <w:spacing w:val="-10"/>
      <w:kern w:val="28"/>
      <w:sz w:val="28"/>
      <w:szCs w:val="56"/>
    </w:rPr>
  </w:style>
  <w:style w:type="character" w:customStyle="1" w:styleId="TitleChar">
    <w:name w:val="Title Char"/>
    <w:basedOn w:val="DefaultParagraphFont"/>
    <w:link w:val="Title"/>
    <w:uiPriority w:val="10"/>
    <w:rsid w:val="00400425"/>
    <w:rPr>
      <w:rFonts w:ascii="Times New Roman" w:eastAsiaTheme="majorEastAsia" w:hAnsi="Times New Roman" w:cstheme="majorBidi"/>
      <w:b/>
      <w:spacing w:val="-10"/>
      <w:kern w:val="28"/>
      <w:sz w:val="28"/>
      <w:szCs w:val="56"/>
    </w:rPr>
  </w:style>
  <w:style w:type="paragraph" w:customStyle="1" w:styleId="Reference">
    <w:name w:val="Reference"/>
    <w:basedOn w:val="Normal"/>
    <w:rsid w:val="008A6077"/>
    <w:pPr>
      <w:spacing w:before="120"/>
      <w:ind w:left="720" w:hanging="720"/>
    </w:pPr>
    <w:rPr>
      <w:rFonts w:eastAsia="Times New Roman"/>
      <w:sz w:val="24"/>
      <w:szCs w:val="24"/>
    </w:rPr>
  </w:style>
  <w:style w:type="paragraph" w:styleId="Header">
    <w:name w:val="header"/>
    <w:basedOn w:val="Normal"/>
    <w:link w:val="HeaderChar"/>
    <w:uiPriority w:val="99"/>
    <w:unhideWhenUsed/>
    <w:rsid w:val="000379AB"/>
    <w:pPr>
      <w:tabs>
        <w:tab w:val="center" w:pos="4680"/>
        <w:tab w:val="right" w:pos="9360"/>
      </w:tabs>
    </w:pPr>
  </w:style>
  <w:style w:type="character" w:customStyle="1" w:styleId="HeaderChar">
    <w:name w:val="Header Char"/>
    <w:basedOn w:val="DefaultParagraphFont"/>
    <w:link w:val="Header"/>
    <w:uiPriority w:val="99"/>
    <w:rsid w:val="000379AB"/>
    <w:rPr>
      <w:rFonts w:ascii="Times New Roman" w:eastAsia="Calibri" w:hAnsi="Times New Roman" w:cs="Times New Roman"/>
      <w:sz w:val="20"/>
      <w:szCs w:val="20"/>
    </w:rPr>
  </w:style>
  <w:style w:type="paragraph" w:customStyle="1" w:styleId="Heading-Secondary">
    <w:name w:val="Heading-Secondary"/>
    <w:basedOn w:val="Heading-Main"/>
    <w:qFormat/>
    <w:rsid w:val="00C81368"/>
    <w:pPr>
      <w:ind w:left="720"/>
    </w:pPr>
    <w:rPr>
      <w:b w:val="0"/>
    </w:rPr>
  </w:style>
  <w:style w:type="paragraph" w:customStyle="1" w:styleId="Heading-Main">
    <w:name w:val="Heading-Main"/>
    <w:basedOn w:val="Normal"/>
    <w:rsid w:val="005358D5"/>
    <w:pPr>
      <w:keepNext/>
      <w:spacing w:before="240" w:after="120"/>
      <w:outlineLvl w:val="0"/>
    </w:pPr>
    <w:rPr>
      <w:rFonts w:eastAsia="Times New Roman"/>
      <w:b/>
      <w:bCs/>
      <w:kern w:val="28"/>
      <w:sz w:val="24"/>
      <w:szCs w:val="24"/>
    </w:rPr>
  </w:style>
  <w:style w:type="paragraph" w:customStyle="1" w:styleId="Authors">
    <w:name w:val="Authors"/>
    <w:basedOn w:val="Normal"/>
    <w:rsid w:val="00B120F3"/>
    <w:pPr>
      <w:spacing w:before="120" w:after="360"/>
    </w:pPr>
    <w:rPr>
      <w:rFonts w:eastAsia="Times New Roman"/>
      <w:b/>
      <w:sz w:val="24"/>
      <w:szCs w:val="24"/>
    </w:rPr>
  </w:style>
  <w:style w:type="paragraph" w:customStyle="1" w:styleId="Text">
    <w:name w:val="Text"/>
    <w:basedOn w:val="Normal"/>
    <w:rsid w:val="008A6077"/>
    <w:pPr>
      <w:spacing w:before="120"/>
      <w:ind w:firstLine="720"/>
    </w:pPr>
    <w:rPr>
      <w:rFonts w:eastAsia="Times New Roman"/>
      <w:sz w:val="24"/>
      <w:szCs w:val="24"/>
    </w:rPr>
  </w:style>
  <w:style w:type="paragraph" w:customStyle="1" w:styleId="FigureorTableCaption">
    <w:name w:val="Figure or Table Caption"/>
    <w:basedOn w:val="Normal"/>
    <w:rsid w:val="008A6077"/>
    <w:pPr>
      <w:keepNext/>
      <w:spacing w:before="240"/>
      <w:outlineLvl w:val="0"/>
    </w:pPr>
    <w:rPr>
      <w:rFonts w:eastAsia="Times New Roman"/>
      <w:kern w:val="28"/>
      <w:sz w:val="24"/>
      <w:szCs w:val="24"/>
    </w:rPr>
  </w:style>
  <w:style w:type="character" w:styleId="Hyperlink">
    <w:name w:val="Hyperlink"/>
    <w:uiPriority w:val="99"/>
    <w:rsid w:val="008A6077"/>
    <w:rPr>
      <w:color w:val="0000FF"/>
      <w:u w:val="single"/>
    </w:rPr>
  </w:style>
  <w:style w:type="paragraph" w:customStyle="1" w:styleId="Affiliation">
    <w:name w:val="Affiliation"/>
    <w:basedOn w:val="Text"/>
    <w:qFormat/>
    <w:rsid w:val="00B719C8"/>
    <w:pPr>
      <w:ind w:firstLine="0"/>
    </w:pPr>
  </w:style>
  <w:style w:type="paragraph" w:customStyle="1" w:styleId="KeyPoints">
    <w:name w:val="Key Points"/>
    <w:basedOn w:val="Normal"/>
    <w:rsid w:val="008A6077"/>
    <w:pPr>
      <w:spacing w:before="120"/>
    </w:pPr>
    <w:rPr>
      <w:rFonts w:eastAsia="Times New Roman"/>
      <w:sz w:val="24"/>
      <w:szCs w:val="24"/>
    </w:rPr>
  </w:style>
  <w:style w:type="paragraph" w:customStyle="1" w:styleId="Abstract">
    <w:name w:val="Abstract"/>
    <w:basedOn w:val="Normal"/>
    <w:qFormat/>
    <w:rsid w:val="00400425"/>
    <w:pPr>
      <w:spacing w:before="120"/>
    </w:pPr>
    <w:rPr>
      <w:rFonts w:eastAsia="Times New Roman"/>
      <w:sz w:val="24"/>
      <w:szCs w:val="24"/>
    </w:rPr>
  </w:style>
  <w:style w:type="paragraph" w:customStyle="1" w:styleId="Note">
    <w:name w:val="Note"/>
    <w:basedOn w:val="Normal"/>
    <w:qFormat/>
    <w:rsid w:val="0037466A"/>
    <w:pPr>
      <w:spacing w:before="240" w:after="240"/>
    </w:pPr>
    <w:rPr>
      <w:color w:val="00B0F0"/>
    </w:rPr>
  </w:style>
  <w:style w:type="paragraph" w:styleId="NormalWeb">
    <w:name w:val="Normal (Web)"/>
    <w:basedOn w:val="Normal"/>
    <w:uiPriority w:val="99"/>
    <w:semiHidden/>
    <w:unhideWhenUsed/>
    <w:rsid w:val="002F3B11"/>
    <w:rPr>
      <w:sz w:val="24"/>
      <w:szCs w:val="24"/>
    </w:rPr>
  </w:style>
  <w:style w:type="paragraph" w:styleId="Footer">
    <w:name w:val="footer"/>
    <w:basedOn w:val="Normal"/>
    <w:link w:val="FooterChar"/>
    <w:uiPriority w:val="99"/>
    <w:unhideWhenUsed/>
    <w:rsid w:val="000379AB"/>
    <w:pPr>
      <w:tabs>
        <w:tab w:val="center" w:pos="4680"/>
        <w:tab w:val="right" w:pos="9360"/>
      </w:tabs>
    </w:pPr>
  </w:style>
  <w:style w:type="character" w:customStyle="1" w:styleId="FooterChar">
    <w:name w:val="Footer Char"/>
    <w:basedOn w:val="DefaultParagraphFont"/>
    <w:link w:val="Footer"/>
    <w:uiPriority w:val="99"/>
    <w:rsid w:val="000379AB"/>
    <w:rPr>
      <w:rFonts w:ascii="Times New Roman" w:eastAsia="Calibri" w:hAnsi="Times New Roman" w:cs="Times New Roman"/>
      <w:sz w:val="20"/>
      <w:szCs w:val="20"/>
    </w:rPr>
  </w:style>
  <w:style w:type="character" w:styleId="FollowedHyperlink">
    <w:name w:val="FollowedHyperlink"/>
    <w:basedOn w:val="DefaultParagraphFont"/>
    <w:uiPriority w:val="99"/>
    <w:semiHidden/>
    <w:unhideWhenUsed/>
    <w:rsid w:val="008D4D6D"/>
    <w:rPr>
      <w:color w:val="954F72" w:themeColor="followedHyperlink"/>
      <w:u w:val="single"/>
    </w:rPr>
  </w:style>
  <w:style w:type="paragraph" w:customStyle="1" w:styleId="BodyText1">
    <w:name w:val="Body Text1"/>
    <w:rsid w:val="002C0992"/>
    <w:pPr>
      <w:tabs>
        <w:tab w:val="left" w:pos="284"/>
      </w:tabs>
      <w:spacing w:line="220" w:lineRule="exact"/>
      <w:ind w:firstLine="284"/>
      <w:jc w:val="both"/>
    </w:pPr>
    <w:rPr>
      <w:rFonts w:ascii="Times" w:eastAsia="Times New Roman" w:hAnsi="Times" w:cs="Times New Roman"/>
      <w:noProof/>
      <w:sz w:val="18"/>
      <w:szCs w:val="20"/>
      <w:lang w:val="en-GB"/>
    </w:rPr>
  </w:style>
  <w:style w:type="paragraph" w:styleId="Revision">
    <w:name w:val="Revision"/>
    <w:hidden/>
    <w:uiPriority w:val="99"/>
    <w:semiHidden/>
    <w:rsid w:val="002C0992"/>
    <w:rPr>
      <w:rFonts w:eastAsiaTheme="minorEastAsia"/>
      <w:lang w:val="fr-FR" w:eastAsia="fr-FR"/>
    </w:rPr>
  </w:style>
  <w:style w:type="paragraph" w:styleId="ListParagraph">
    <w:name w:val="List Paragraph"/>
    <w:basedOn w:val="Normal"/>
    <w:uiPriority w:val="34"/>
    <w:qFormat/>
    <w:rsid w:val="003D69E8"/>
    <w:pPr>
      <w:ind w:left="720"/>
      <w:contextualSpacing/>
    </w:pPr>
    <w:rPr>
      <w:rFonts w:asciiTheme="minorHAnsi" w:eastAsiaTheme="minorEastAsia" w:hAnsiTheme="minorHAnsi" w:cstheme="minorBidi"/>
      <w:sz w:val="24"/>
      <w:szCs w:val="24"/>
      <w:lang w:val="fr-FR" w:eastAsia="fr-FR"/>
    </w:rPr>
  </w:style>
  <w:style w:type="character" w:styleId="BookTitle">
    <w:name w:val="Book Title"/>
    <w:basedOn w:val="DefaultParagraphFont"/>
    <w:uiPriority w:val="33"/>
    <w:qFormat/>
    <w:rsid w:val="003D69E8"/>
    <w:rPr>
      <w:b/>
      <w:bCs/>
      <w:smallCaps/>
      <w:spacing w:val="5"/>
    </w:rPr>
  </w:style>
  <w:style w:type="character" w:styleId="Strong">
    <w:name w:val="Strong"/>
    <w:basedOn w:val="DefaultParagraphFont"/>
    <w:uiPriority w:val="22"/>
    <w:qFormat/>
    <w:rsid w:val="003D69E8"/>
    <w:rPr>
      <w:b/>
      <w:bCs/>
    </w:rPr>
  </w:style>
  <w:style w:type="character" w:styleId="CommentReference">
    <w:name w:val="annotation reference"/>
    <w:basedOn w:val="DefaultParagraphFont"/>
    <w:uiPriority w:val="99"/>
    <w:semiHidden/>
    <w:unhideWhenUsed/>
    <w:rsid w:val="003D69E8"/>
    <w:rPr>
      <w:sz w:val="18"/>
      <w:szCs w:val="18"/>
    </w:rPr>
  </w:style>
  <w:style w:type="paragraph" w:styleId="CommentText">
    <w:name w:val="annotation text"/>
    <w:basedOn w:val="Normal"/>
    <w:link w:val="CommentTextChar"/>
    <w:uiPriority w:val="99"/>
    <w:unhideWhenUsed/>
    <w:rsid w:val="003D69E8"/>
    <w:rPr>
      <w:rFonts w:asciiTheme="minorHAnsi" w:eastAsiaTheme="minorEastAsia" w:hAnsiTheme="minorHAnsi" w:cstheme="minorBidi"/>
      <w:sz w:val="24"/>
      <w:szCs w:val="24"/>
      <w:lang w:val="fr-FR" w:eastAsia="fr-FR"/>
    </w:rPr>
  </w:style>
  <w:style w:type="character" w:customStyle="1" w:styleId="CommentTextChar">
    <w:name w:val="Comment Text Char"/>
    <w:basedOn w:val="DefaultParagraphFont"/>
    <w:link w:val="CommentText"/>
    <w:uiPriority w:val="99"/>
    <w:rsid w:val="003D69E8"/>
    <w:rPr>
      <w:rFonts w:eastAsiaTheme="minorEastAsia"/>
      <w:lang w:val="fr-FR" w:eastAsia="fr-FR"/>
    </w:rPr>
  </w:style>
  <w:style w:type="paragraph" w:styleId="BalloonText">
    <w:name w:val="Balloon Text"/>
    <w:basedOn w:val="Normal"/>
    <w:link w:val="BalloonTextChar"/>
    <w:uiPriority w:val="99"/>
    <w:semiHidden/>
    <w:unhideWhenUsed/>
    <w:rsid w:val="003D69E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69E8"/>
    <w:rPr>
      <w:rFonts w:ascii="Lucida Grande" w:eastAsia="Calibri"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E767FA"/>
    <w:rPr>
      <w:rFonts w:ascii="Times New Roman" w:eastAsia="Calibri" w:hAnsi="Times New Roman" w:cs="Times New Roman"/>
      <w:b/>
      <w:bCs/>
      <w:sz w:val="20"/>
      <w:szCs w:val="20"/>
      <w:lang w:val="en-US" w:eastAsia="en-US"/>
    </w:rPr>
  </w:style>
  <w:style w:type="character" w:customStyle="1" w:styleId="CommentSubjectChar">
    <w:name w:val="Comment Subject Char"/>
    <w:basedOn w:val="CommentTextChar"/>
    <w:link w:val="CommentSubject"/>
    <w:uiPriority w:val="99"/>
    <w:semiHidden/>
    <w:rsid w:val="00E767FA"/>
    <w:rPr>
      <w:rFonts w:ascii="Times New Roman" w:eastAsia="Calibri" w:hAnsi="Times New Roman" w:cs="Times New Roman"/>
      <w:b/>
      <w:bCs/>
      <w:sz w:val="20"/>
      <w:szCs w:val="20"/>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214"/>
    <w:rPr>
      <w:rFonts w:ascii="Times New Roman" w:eastAsia="Calibri"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00425"/>
    <w:pPr>
      <w:contextualSpacing/>
      <w:jc w:val="center"/>
    </w:pPr>
    <w:rPr>
      <w:rFonts w:eastAsiaTheme="majorEastAsia" w:cstheme="majorBidi"/>
      <w:b/>
      <w:spacing w:val="-10"/>
      <w:kern w:val="28"/>
      <w:sz w:val="28"/>
      <w:szCs w:val="56"/>
    </w:rPr>
  </w:style>
  <w:style w:type="character" w:customStyle="1" w:styleId="TitleChar">
    <w:name w:val="Title Char"/>
    <w:basedOn w:val="DefaultParagraphFont"/>
    <w:link w:val="Title"/>
    <w:uiPriority w:val="10"/>
    <w:rsid w:val="00400425"/>
    <w:rPr>
      <w:rFonts w:ascii="Times New Roman" w:eastAsiaTheme="majorEastAsia" w:hAnsi="Times New Roman" w:cstheme="majorBidi"/>
      <w:b/>
      <w:spacing w:val="-10"/>
      <w:kern w:val="28"/>
      <w:sz w:val="28"/>
      <w:szCs w:val="56"/>
    </w:rPr>
  </w:style>
  <w:style w:type="paragraph" w:customStyle="1" w:styleId="Reference">
    <w:name w:val="Reference"/>
    <w:basedOn w:val="Normal"/>
    <w:rsid w:val="008A6077"/>
    <w:pPr>
      <w:spacing w:before="120"/>
      <w:ind w:left="720" w:hanging="720"/>
    </w:pPr>
    <w:rPr>
      <w:rFonts w:eastAsia="Times New Roman"/>
      <w:sz w:val="24"/>
      <w:szCs w:val="24"/>
    </w:rPr>
  </w:style>
  <w:style w:type="paragraph" w:styleId="Header">
    <w:name w:val="header"/>
    <w:basedOn w:val="Normal"/>
    <w:link w:val="HeaderChar"/>
    <w:uiPriority w:val="99"/>
    <w:unhideWhenUsed/>
    <w:rsid w:val="000379AB"/>
    <w:pPr>
      <w:tabs>
        <w:tab w:val="center" w:pos="4680"/>
        <w:tab w:val="right" w:pos="9360"/>
      </w:tabs>
    </w:pPr>
  </w:style>
  <w:style w:type="character" w:customStyle="1" w:styleId="HeaderChar">
    <w:name w:val="Header Char"/>
    <w:basedOn w:val="DefaultParagraphFont"/>
    <w:link w:val="Header"/>
    <w:uiPriority w:val="99"/>
    <w:rsid w:val="000379AB"/>
    <w:rPr>
      <w:rFonts w:ascii="Times New Roman" w:eastAsia="Calibri" w:hAnsi="Times New Roman" w:cs="Times New Roman"/>
      <w:sz w:val="20"/>
      <w:szCs w:val="20"/>
    </w:rPr>
  </w:style>
  <w:style w:type="paragraph" w:customStyle="1" w:styleId="Heading-Secondary">
    <w:name w:val="Heading-Secondary"/>
    <w:basedOn w:val="Heading-Main"/>
    <w:qFormat/>
    <w:rsid w:val="00C81368"/>
    <w:pPr>
      <w:ind w:left="720"/>
    </w:pPr>
    <w:rPr>
      <w:b w:val="0"/>
    </w:rPr>
  </w:style>
  <w:style w:type="paragraph" w:customStyle="1" w:styleId="Heading-Main">
    <w:name w:val="Heading-Main"/>
    <w:basedOn w:val="Normal"/>
    <w:rsid w:val="005358D5"/>
    <w:pPr>
      <w:keepNext/>
      <w:spacing w:before="240" w:after="120"/>
      <w:outlineLvl w:val="0"/>
    </w:pPr>
    <w:rPr>
      <w:rFonts w:eastAsia="Times New Roman"/>
      <w:b/>
      <w:bCs/>
      <w:kern w:val="28"/>
      <w:sz w:val="24"/>
      <w:szCs w:val="24"/>
    </w:rPr>
  </w:style>
  <w:style w:type="paragraph" w:customStyle="1" w:styleId="Authors">
    <w:name w:val="Authors"/>
    <w:basedOn w:val="Normal"/>
    <w:rsid w:val="00B120F3"/>
    <w:pPr>
      <w:spacing w:before="120" w:after="360"/>
    </w:pPr>
    <w:rPr>
      <w:rFonts w:eastAsia="Times New Roman"/>
      <w:b/>
      <w:sz w:val="24"/>
      <w:szCs w:val="24"/>
    </w:rPr>
  </w:style>
  <w:style w:type="paragraph" w:customStyle="1" w:styleId="Text">
    <w:name w:val="Text"/>
    <w:basedOn w:val="Normal"/>
    <w:rsid w:val="008A6077"/>
    <w:pPr>
      <w:spacing w:before="120"/>
      <w:ind w:firstLine="720"/>
    </w:pPr>
    <w:rPr>
      <w:rFonts w:eastAsia="Times New Roman"/>
      <w:sz w:val="24"/>
      <w:szCs w:val="24"/>
    </w:rPr>
  </w:style>
  <w:style w:type="paragraph" w:customStyle="1" w:styleId="FigureorTableCaption">
    <w:name w:val="Figure or Table Caption"/>
    <w:basedOn w:val="Normal"/>
    <w:rsid w:val="008A6077"/>
    <w:pPr>
      <w:keepNext/>
      <w:spacing w:before="240"/>
      <w:outlineLvl w:val="0"/>
    </w:pPr>
    <w:rPr>
      <w:rFonts w:eastAsia="Times New Roman"/>
      <w:kern w:val="28"/>
      <w:sz w:val="24"/>
      <w:szCs w:val="24"/>
    </w:rPr>
  </w:style>
  <w:style w:type="character" w:styleId="Hyperlink">
    <w:name w:val="Hyperlink"/>
    <w:uiPriority w:val="99"/>
    <w:rsid w:val="008A6077"/>
    <w:rPr>
      <w:color w:val="0000FF"/>
      <w:u w:val="single"/>
    </w:rPr>
  </w:style>
  <w:style w:type="paragraph" w:customStyle="1" w:styleId="Affiliation">
    <w:name w:val="Affiliation"/>
    <w:basedOn w:val="Text"/>
    <w:qFormat/>
    <w:rsid w:val="00B719C8"/>
    <w:pPr>
      <w:ind w:firstLine="0"/>
    </w:pPr>
  </w:style>
  <w:style w:type="paragraph" w:customStyle="1" w:styleId="KeyPoints">
    <w:name w:val="Key Points"/>
    <w:basedOn w:val="Normal"/>
    <w:rsid w:val="008A6077"/>
    <w:pPr>
      <w:spacing w:before="120"/>
    </w:pPr>
    <w:rPr>
      <w:rFonts w:eastAsia="Times New Roman"/>
      <w:sz w:val="24"/>
      <w:szCs w:val="24"/>
    </w:rPr>
  </w:style>
  <w:style w:type="paragraph" w:customStyle="1" w:styleId="Abstract">
    <w:name w:val="Abstract"/>
    <w:basedOn w:val="Normal"/>
    <w:qFormat/>
    <w:rsid w:val="00400425"/>
    <w:pPr>
      <w:spacing w:before="120"/>
    </w:pPr>
    <w:rPr>
      <w:rFonts w:eastAsia="Times New Roman"/>
      <w:sz w:val="24"/>
      <w:szCs w:val="24"/>
    </w:rPr>
  </w:style>
  <w:style w:type="paragraph" w:customStyle="1" w:styleId="Note">
    <w:name w:val="Note"/>
    <w:basedOn w:val="Normal"/>
    <w:qFormat/>
    <w:rsid w:val="0037466A"/>
    <w:pPr>
      <w:spacing w:before="240" w:after="240"/>
    </w:pPr>
    <w:rPr>
      <w:color w:val="00B0F0"/>
    </w:rPr>
  </w:style>
  <w:style w:type="paragraph" w:styleId="NormalWeb">
    <w:name w:val="Normal (Web)"/>
    <w:basedOn w:val="Normal"/>
    <w:uiPriority w:val="99"/>
    <w:semiHidden/>
    <w:unhideWhenUsed/>
    <w:rsid w:val="002F3B11"/>
    <w:rPr>
      <w:sz w:val="24"/>
      <w:szCs w:val="24"/>
    </w:rPr>
  </w:style>
  <w:style w:type="paragraph" w:styleId="Footer">
    <w:name w:val="footer"/>
    <w:basedOn w:val="Normal"/>
    <w:link w:val="FooterChar"/>
    <w:uiPriority w:val="99"/>
    <w:unhideWhenUsed/>
    <w:rsid w:val="000379AB"/>
    <w:pPr>
      <w:tabs>
        <w:tab w:val="center" w:pos="4680"/>
        <w:tab w:val="right" w:pos="9360"/>
      </w:tabs>
    </w:pPr>
  </w:style>
  <w:style w:type="character" w:customStyle="1" w:styleId="FooterChar">
    <w:name w:val="Footer Char"/>
    <w:basedOn w:val="DefaultParagraphFont"/>
    <w:link w:val="Footer"/>
    <w:uiPriority w:val="99"/>
    <w:rsid w:val="000379AB"/>
    <w:rPr>
      <w:rFonts w:ascii="Times New Roman" w:eastAsia="Calibri" w:hAnsi="Times New Roman" w:cs="Times New Roman"/>
      <w:sz w:val="20"/>
      <w:szCs w:val="20"/>
    </w:rPr>
  </w:style>
  <w:style w:type="character" w:styleId="FollowedHyperlink">
    <w:name w:val="FollowedHyperlink"/>
    <w:basedOn w:val="DefaultParagraphFont"/>
    <w:uiPriority w:val="99"/>
    <w:semiHidden/>
    <w:unhideWhenUsed/>
    <w:rsid w:val="008D4D6D"/>
    <w:rPr>
      <w:color w:val="954F72" w:themeColor="followedHyperlink"/>
      <w:u w:val="single"/>
    </w:rPr>
  </w:style>
  <w:style w:type="paragraph" w:customStyle="1" w:styleId="BodyText1">
    <w:name w:val="Body Text1"/>
    <w:rsid w:val="002C0992"/>
    <w:pPr>
      <w:tabs>
        <w:tab w:val="left" w:pos="284"/>
      </w:tabs>
      <w:spacing w:line="220" w:lineRule="exact"/>
      <w:ind w:firstLine="284"/>
      <w:jc w:val="both"/>
    </w:pPr>
    <w:rPr>
      <w:rFonts w:ascii="Times" w:eastAsia="Times New Roman" w:hAnsi="Times" w:cs="Times New Roman"/>
      <w:noProof/>
      <w:sz w:val="18"/>
      <w:szCs w:val="20"/>
      <w:lang w:val="en-GB"/>
    </w:rPr>
  </w:style>
  <w:style w:type="paragraph" w:styleId="Revision">
    <w:name w:val="Revision"/>
    <w:hidden/>
    <w:uiPriority w:val="99"/>
    <w:semiHidden/>
    <w:rsid w:val="002C0992"/>
    <w:rPr>
      <w:rFonts w:eastAsiaTheme="minorEastAsia"/>
      <w:lang w:val="fr-FR" w:eastAsia="fr-FR"/>
    </w:rPr>
  </w:style>
  <w:style w:type="paragraph" w:styleId="ListParagraph">
    <w:name w:val="List Paragraph"/>
    <w:basedOn w:val="Normal"/>
    <w:uiPriority w:val="34"/>
    <w:qFormat/>
    <w:rsid w:val="003D69E8"/>
    <w:pPr>
      <w:ind w:left="720"/>
      <w:contextualSpacing/>
    </w:pPr>
    <w:rPr>
      <w:rFonts w:asciiTheme="minorHAnsi" w:eastAsiaTheme="minorEastAsia" w:hAnsiTheme="minorHAnsi" w:cstheme="minorBidi"/>
      <w:sz w:val="24"/>
      <w:szCs w:val="24"/>
      <w:lang w:val="fr-FR" w:eastAsia="fr-FR"/>
    </w:rPr>
  </w:style>
  <w:style w:type="character" w:styleId="BookTitle">
    <w:name w:val="Book Title"/>
    <w:basedOn w:val="DefaultParagraphFont"/>
    <w:uiPriority w:val="33"/>
    <w:qFormat/>
    <w:rsid w:val="003D69E8"/>
    <w:rPr>
      <w:b/>
      <w:bCs/>
      <w:smallCaps/>
      <w:spacing w:val="5"/>
    </w:rPr>
  </w:style>
  <w:style w:type="character" w:styleId="Strong">
    <w:name w:val="Strong"/>
    <w:basedOn w:val="DefaultParagraphFont"/>
    <w:uiPriority w:val="22"/>
    <w:qFormat/>
    <w:rsid w:val="003D69E8"/>
    <w:rPr>
      <w:b/>
      <w:bCs/>
    </w:rPr>
  </w:style>
  <w:style w:type="character" w:styleId="CommentReference">
    <w:name w:val="annotation reference"/>
    <w:basedOn w:val="DefaultParagraphFont"/>
    <w:uiPriority w:val="99"/>
    <w:semiHidden/>
    <w:unhideWhenUsed/>
    <w:rsid w:val="003D69E8"/>
    <w:rPr>
      <w:sz w:val="18"/>
      <w:szCs w:val="18"/>
    </w:rPr>
  </w:style>
  <w:style w:type="paragraph" w:styleId="CommentText">
    <w:name w:val="annotation text"/>
    <w:basedOn w:val="Normal"/>
    <w:link w:val="CommentTextChar"/>
    <w:uiPriority w:val="99"/>
    <w:unhideWhenUsed/>
    <w:rsid w:val="003D69E8"/>
    <w:rPr>
      <w:rFonts w:asciiTheme="minorHAnsi" w:eastAsiaTheme="minorEastAsia" w:hAnsiTheme="minorHAnsi" w:cstheme="minorBidi"/>
      <w:sz w:val="24"/>
      <w:szCs w:val="24"/>
      <w:lang w:val="fr-FR" w:eastAsia="fr-FR"/>
    </w:rPr>
  </w:style>
  <w:style w:type="character" w:customStyle="1" w:styleId="CommentTextChar">
    <w:name w:val="Comment Text Char"/>
    <w:basedOn w:val="DefaultParagraphFont"/>
    <w:link w:val="CommentText"/>
    <w:uiPriority w:val="99"/>
    <w:rsid w:val="003D69E8"/>
    <w:rPr>
      <w:rFonts w:eastAsiaTheme="minorEastAsia"/>
      <w:lang w:val="fr-FR" w:eastAsia="fr-FR"/>
    </w:rPr>
  </w:style>
  <w:style w:type="paragraph" w:styleId="BalloonText">
    <w:name w:val="Balloon Text"/>
    <w:basedOn w:val="Normal"/>
    <w:link w:val="BalloonTextChar"/>
    <w:uiPriority w:val="99"/>
    <w:semiHidden/>
    <w:unhideWhenUsed/>
    <w:rsid w:val="003D69E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69E8"/>
    <w:rPr>
      <w:rFonts w:ascii="Lucida Grande" w:eastAsia="Calibri"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E767FA"/>
    <w:rPr>
      <w:rFonts w:ascii="Times New Roman" w:eastAsia="Calibri" w:hAnsi="Times New Roman" w:cs="Times New Roman"/>
      <w:b/>
      <w:bCs/>
      <w:sz w:val="20"/>
      <w:szCs w:val="20"/>
      <w:lang w:val="en-US" w:eastAsia="en-US"/>
    </w:rPr>
  </w:style>
  <w:style w:type="character" w:customStyle="1" w:styleId="CommentSubjectChar">
    <w:name w:val="Comment Subject Char"/>
    <w:basedOn w:val="CommentTextChar"/>
    <w:link w:val="CommentSubject"/>
    <w:uiPriority w:val="99"/>
    <w:semiHidden/>
    <w:rsid w:val="00E767FA"/>
    <w:rPr>
      <w:rFonts w:ascii="Times New Roman" w:eastAsia="Calibri" w:hAnsi="Times New Roman" w:cs="Times New Roman"/>
      <w:b/>
      <w:bCs/>
      <w:sz w:val="20"/>
      <w:szCs w:val="20"/>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71693">
      <w:bodyDiv w:val="1"/>
      <w:marLeft w:val="0"/>
      <w:marRight w:val="0"/>
      <w:marTop w:val="0"/>
      <w:marBottom w:val="0"/>
      <w:divBdr>
        <w:top w:val="none" w:sz="0" w:space="0" w:color="auto"/>
        <w:left w:val="none" w:sz="0" w:space="0" w:color="auto"/>
        <w:bottom w:val="none" w:sz="0" w:space="0" w:color="auto"/>
        <w:right w:val="none" w:sz="0" w:space="0" w:color="auto"/>
      </w:divBdr>
    </w:div>
    <w:div w:id="35013983">
      <w:bodyDiv w:val="1"/>
      <w:marLeft w:val="0"/>
      <w:marRight w:val="0"/>
      <w:marTop w:val="0"/>
      <w:marBottom w:val="0"/>
      <w:divBdr>
        <w:top w:val="none" w:sz="0" w:space="0" w:color="auto"/>
        <w:left w:val="none" w:sz="0" w:space="0" w:color="auto"/>
        <w:bottom w:val="none" w:sz="0" w:space="0" w:color="auto"/>
        <w:right w:val="none" w:sz="0" w:space="0" w:color="auto"/>
      </w:divBdr>
    </w:div>
    <w:div w:id="49614802">
      <w:bodyDiv w:val="1"/>
      <w:marLeft w:val="0"/>
      <w:marRight w:val="0"/>
      <w:marTop w:val="0"/>
      <w:marBottom w:val="0"/>
      <w:divBdr>
        <w:top w:val="none" w:sz="0" w:space="0" w:color="auto"/>
        <w:left w:val="none" w:sz="0" w:space="0" w:color="auto"/>
        <w:bottom w:val="none" w:sz="0" w:space="0" w:color="auto"/>
        <w:right w:val="none" w:sz="0" w:space="0" w:color="auto"/>
      </w:divBdr>
    </w:div>
    <w:div w:id="59450828">
      <w:bodyDiv w:val="1"/>
      <w:marLeft w:val="0"/>
      <w:marRight w:val="0"/>
      <w:marTop w:val="0"/>
      <w:marBottom w:val="0"/>
      <w:divBdr>
        <w:top w:val="none" w:sz="0" w:space="0" w:color="auto"/>
        <w:left w:val="none" w:sz="0" w:space="0" w:color="auto"/>
        <w:bottom w:val="none" w:sz="0" w:space="0" w:color="auto"/>
        <w:right w:val="none" w:sz="0" w:space="0" w:color="auto"/>
      </w:divBdr>
    </w:div>
    <w:div w:id="87166089">
      <w:bodyDiv w:val="1"/>
      <w:marLeft w:val="0"/>
      <w:marRight w:val="0"/>
      <w:marTop w:val="0"/>
      <w:marBottom w:val="0"/>
      <w:divBdr>
        <w:top w:val="none" w:sz="0" w:space="0" w:color="auto"/>
        <w:left w:val="none" w:sz="0" w:space="0" w:color="auto"/>
        <w:bottom w:val="none" w:sz="0" w:space="0" w:color="auto"/>
        <w:right w:val="none" w:sz="0" w:space="0" w:color="auto"/>
      </w:divBdr>
    </w:div>
    <w:div w:id="156922666">
      <w:bodyDiv w:val="1"/>
      <w:marLeft w:val="0"/>
      <w:marRight w:val="0"/>
      <w:marTop w:val="0"/>
      <w:marBottom w:val="0"/>
      <w:divBdr>
        <w:top w:val="none" w:sz="0" w:space="0" w:color="auto"/>
        <w:left w:val="none" w:sz="0" w:space="0" w:color="auto"/>
        <w:bottom w:val="none" w:sz="0" w:space="0" w:color="auto"/>
        <w:right w:val="none" w:sz="0" w:space="0" w:color="auto"/>
      </w:divBdr>
    </w:div>
    <w:div w:id="167405623">
      <w:bodyDiv w:val="1"/>
      <w:marLeft w:val="0"/>
      <w:marRight w:val="0"/>
      <w:marTop w:val="0"/>
      <w:marBottom w:val="0"/>
      <w:divBdr>
        <w:top w:val="none" w:sz="0" w:space="0" w:color="auto"/>
        <w:left w:val="none" w:sz="0" w:space="0" w:color="auto"/>
        <w:bottom w:val="none" w:sz="0" w:space="0" w:color="auto"/>
        <w:right w:val="none" w:sz="0" w:space="0" w:color="auto"/>
      </w:divBdr>
    </w:div>
    <w:div w:id="207692968">
      <w:bodyDiv w:val="1"/>
      <w:marLeft w:val="0"/>
      <w:marRight w:val="0"/>
      <w:marTop w:val="0"/>
      <w:marBottom w:val="0"/>
      <w:divBdr>
        <w:top w:val="none" w:sz="0" w:space="0" w:color="auto"/>
        <w:left w:val="none" w:sz="0" w:space="0" w:color="auto"/>
        <w:bottom w:val="none" w:sz="0" w:space="0" w:color="auto"/>
        <w:right w:val="none" w:sz="0" w:space="0" w:color="auto"/>
      </w:divBdr>
    </w:div>
    <w:div w:id="228227283">
      <w:bodyDiv w:val="1"/>
      <w:marLeft w:val="0"/>
      <w:marRight w:val="0"/>
      <w:marTop w:val="0"/>
      <w:marBottom w:val="0"/>
      <w:divBdr>
        <w:top w:val="none" w:sz="0" w:space="0" w:color="auto"/>
        <w:left w:val="none" w:sz="0" w:space="0" w:color="auto"/>
        <w:bottom w:val="none" w:sz="0" w:space="0" w:color="auto"/>
        <w:right w:val="none" w:sz="0" w:space="0" w:color="auto"/>
      </w:divBdr>
    </w:div>
    <w:div w:id="241108731">
      <w:bodyDiv w:val="1"/>
      <w:marLeft w:val="0"/>
      <w:marRight w:val="0"/>
      <w:marTop w:val="0"/>
      <w:marBottom w:val="0"/>
      <w:divBdr>
        <w:top w:val="none" w:sz="0" w:space="0" w:color="auto"/>
        <w:left w:val="none" w:sz="0" w:space="0" w:color="auto"/>
        <w:bottom w:val="none" w:sz="0" w:space="0" w:color="auto"/>
        <w:right w:val="none" w:sz="0" w:space="0" w:color="auto"/>
      </w:divBdr>
    </w:div>
    <w:div w:id="336151856">
      <w:bodyDiv w:val="1"/>
      <w:marLeft w:val="0"/>
      <w:marRight w:val="0"/>
      <w:marTop w:val="0"/>
      <w:marBottom w:val="0"/>
      <w:divBdr>
        <w:top w:val="none" w:sz="0" w:space="0" w:color="auto"/>
        <w:left w:val="none" w:sz="0" w:space="0" w:color="auto"/>
        <w:bottom w:val="none" w:sz="0" w:space="0" w:color="auto"/>
        <w:right w:val="none" w:sz="0" w:space="0" w:color="auto"/>
      </w:divBdr>
    </w:div>
    <w:div w:id="345134175">
      <w:bodyDiv w:val="1"/>
      <w:marLeft w:val="0"/>
      <w:marRight w:val="0"/>
      <w:marTop w:val="0"/>
      <w:marBottom w:val="0"/>
      <w:divBdr>
        <w:top w:val="none" w:sz="0" w:space="0" w:color="auto"/>
        <w:left w:val="none" w:sz="0" w:space="0" w:color="auto"/>
        <w:bottom w:val="none" w:sz="0" w:space="0" w:color="auto"/>
        <w:right w:val="none" w:sz="0" w:space="0" w:color="auto"/>
      </w:divBdr>
    </w:div>
    <w:div w:id="378742950">
      <w:bodyDiv w:val="1"/>
      <w:marLeft w:val="0"/>
      <w:marRight w:val="0"/>
      <w:marTop w:val="0"/>
      <w:marBottom w:val="0"/>
      <w:divBdr>
        <w:top w:val="none" w:sz="0" w:space="0" w:color="auto"/>
        <w:left w:val="none" w:sz="0" w:space="0" w:color="auto"/>
        <w:bottom w:val="none" w:sz="0" w:space="0" w:color="auto"/>
        <w:right w:val="none" w:sz="0" w:space="0" w:color="auto"/>
      </w:divBdr>
    </w:div>
    <w:div w:id="407777481">
      <w:bodyDiv w:val="1"/>
      <w:marLeft w:val="0"/>
      <w:marRight w:val="0"/>
      <w:marTop w:val="0"/>
      <w:marBottom w:val="0"/>
      <w:divBdr>
        <w:top w:val="none" w:sz="0" w:space="0" w:color="auto"/>
        <w:left w:val="none" w:sz="0" w:space="0" w:color="auto"/>
        <w:bottom w:val="none" w:sz="0" w:space="0" w:color="auto"/>
        <w:right w:val="none" w:sz="0" w:space="0" w:color="auto"/>
      </w:divBdr>
    </w:div>
    <w:div w:id="433132925">
      <w:bodyDiv w:val="1"/>
      <w:marLeft w:val="0"/>
      <w:marRight w:val="0"/>
      <w:marTop w:val="0"/>
      <w:marBottom w:val="0"/>
      <w:divBdr>
        <w:top w:val="none" w:sz="0" w:space="0" w:color="auto"/>
        <w:left w:val="none" w:sz="0" w:space="0" w:color="auto"/>
        <w:bottom w:val="none" w:sz="0" w:space="0" w:color="auto"/>
        <w:right w:val="none" w:sz="0" w:space="0" w:color="auto"/>
      </w:divBdr>
    </w:div>
    <w:div w:id="486870721">
      <w:bodyDiv w:val="1"/>
      <w:marLeft w:val="0"/>
      <w:marRight w:val="0"/>
      <w:marTop w:val="0"/>
      <w:marBottom w:val="0"/>
      <w:divBdr>
        <w:top w:val="none" w:sz="0" w:space="0" w:color="auto"/>
        <w:left w:val="none" w:sz="0" w:space="0" w:color="auto"/>
        <w:bottom w:val="none" w:sz="0" w:space="0" w:color="auto"/>
        <w:right w:val="none" w:sz="0" w:space="0" w:color="auto"/>
      </w:divBdr>
    </w:div>
    <w:div w:id="502666596">
      <w:bodyDiv w:val="1"/>
      <w:marLeft w:val="0"/>
      <w:marRight w:val="0"/>
      <w:marTop w:val="0"/>
      <w:marBottom w:val="0"/>
      <w:divBdr>
        <w:top w:val="none" w:sz="0" w:space="0" w:color="auto"/>
        <w:left w:val="none" w:sz="0" w:space="0" w:color="auto"/>
        <w:bottom w:val="none" w:sz="0" w:space="0" w:color="auto"/>
        <w:right w:val="none" w:sz="0" w:space="0" w:color="auto"/>
      </w:divBdr>
    </w:div>
    <w:div w:id="535968526">
      <w:bodyDiv w:val="1"/>
      <w:marLeft w:val="0"/>
      <w:marRight w:val="0"/>
      <w:marTop w:val="0"/>
      <w:marBottom w:val="0"/>
      <w:divBdr>
        <w:top w:val="none" w:sz="0" w:space="0" w:color="auto"/>
        <w:left w:val="none" w:sz="0" w:space="0" w:color="auto"/>
        <w:bottom w:val="none" w:sz="0" w:space="0" w:color="auto"/>
        <w:right w:val="none" w:sz="0" w:space="0" w:color="auto"/>
      </w:divBdr>
    </w:div>
    <w:div w:id="538517971">
      <w:bodyDiv w:val="1"/>
      <w:marLeft w:val="0"/>
      <w:marRight w:val="0"/>
      <w:marTop w:val="0"/>
      <w:marBottom w:val="0"/>
      <w:divBdr>
        <w:top w:val="none" w:sz="0" w:space="0" w:color="auto"/>
        <w:left w:val="none" w:sz="0" w:space="0" w:color="auto"/>
        <w:bottom w:val="none" w:sz="0" w:space="0" w:color="auto"/>
        <w:right w:val="none" w:sz="0" w:space="0" w:color="auto"/>
      </w:divBdr>
    </w:div>
    <w:div w:id="550654866">
      <w:bodyDiv w:val="1"/>
      <w:marLeft w:val="0"/>
      <w:marRight w:val="0"/>
      <w:marTop w:val="0"/>
      <w:marBottom w:val="0"/>
      <w:divBdr>
        <w:top w:val="none" w:sz="0" w:space="0" w:color="auto"/>
        <w:left w:val="none" w:sz="0" w:space="0" w:color="auto"/>
        <w:bottom w:val="none" w:sz="0" w:space="0" w:color="auto"/>
        <w:right w:val="none" w:sz="0" w:space="0" w:color="auto"/>
      </w:divBdr>
    </w:div>
    <w:div w:id="630554453">
      <w:bodyDiv w:val="1"/>
      <w:marLeft w:val="0"/>
      <w:marRight w:val="0"/>
      <w:marTop w:val="0"/>
      <w:marBottom w:val="0"/>
      <w:divBdr>
        <w:top w:val="none" w:sz="0" w:space="0" w:color="auto"/>
        <w:left w:val="none" w:sz="0" w:space="0" w:color="auto"/>
        <w:bottom w:val="none" w:sz="0" w:space="0" w:color="auto"/>
        <w:right w:val="none" w:sz="0" w:space="0" w:color="auto"/>
      </w:divBdr>
    </w:div>
    <w:div w:id="659501777">
      <w:bodyDiv w:val="1"/>
      <w:marLeft w:val="0"/>
      <w:marRight w:val="0"/>
      <w:marTop w:val="0"/>
      <w:marBottom w:val="0"/>
      <w:divBdr>
        <w:top w:val="none" w:sz="0" w:space="0" w:color="auto"/>
        <w:left w:val="none" w:sz="0" w:space="0" w:color="auto"/>
        <w:bottom w:val="none" w:sz="0" w:space="0" w:color="auto"/>
        <w:right w:val="none" w:sz="0" w:space="0" w:color="auto"/>
      </w:divBdr>
    </w:div>
    <w:div w:id="704406528">
      <w:bodyDiv w:val="1"/>
      <w:marLeft w:val="0"/>
      <w:marRight w:val="0"/>
      <w:marTop w:val="0"/>
      <w:marBottom w:val="0"/>
      <w:divBdr>
        <w:top w:val="none" w:sz="0" w:space="0" w:color="auto"/>
        <w:left w:val="none" w:sz="0" w:space="0" w:color="auto"/>
        <w:bottom w:val="none" w:sz="0" w:space="0" w:color="auto"/>
        <w:right w:val="none" w:sz="0" w:space="0" w:color="auto"/>
      </w:divBdr>
    </w:div>
    <w:div w:id="706952833">
      <w:bodyDiv w:val="1"/>
      <w:marLeft w:val="0"/>
      <w:marRight w:val="0"/>
      <w:marTop w:val="0"/>
      <w:marBottom w:val="0"/>
      <w:divBdr>
        <w:top w:val="none" w:sz="0" w:space="0" w:color="auto"/>
        <w:left w:val="none" w:sz="0" w:space="0" w:color="auto"/>
        <w:bottom w:val="none" w:sz="0" w:space="0" w:color="auto"/>
        <w:right w:val="none" w:sz="0" w:space="0" w:color="auto"/>
      </w:divBdr>
    </w:div>
    <w:div w:id="712273703">
      <w:bodyDiv w:val="1"/>
      <w:marLeft w:val="0"/>
      <w:marRight w:val="0"/>
      <w:marTop w:val="0"/>
      <w:marBottom w:val="0"/>
      <w:divBdr>
        <w:top w:val="none" w:sz="0" w:space="0" w:color="auto"/>
        <w:left w:val="none" w:sz="0" w:space="0" w:color="auto"/>
        <w:bottom w:val="none" w:sz="0" w:space="0" w:color="auto"/>
        <w:right w:val="none" w:sz="0" w:space="0" w:color="auto"/>
      </w:divBdr>
    </w:div>
    <w:div w:id="740517017">
      <w:bodyDiv w:val="1"/>
      <w:marLeft w:val="0"/>
      <w:marRight w:val="0"/>
      <w:marTop w:val="0"/>
      <w:marBottom w:val="0"/>
      <w:divBdr>
        <w:top w:val="none" w:sz="0" w:space="0" w:color="auto"/>
        <w:left w:val="none" w:sz="0" w:space="0" w:color="auto"/>
        <w:bottom w:val="none" w:sz="0" w:space="0" w:color="auto"/>
        <w:right w:val="none" w:sz="0" w:space="0" w:color="auto"/>
      </w:divBdr>
    </w:div>
    <w:div w:id="746920085">
      <w:bodyDiv w:val="1"/>
      <w:marLeft w:val="0"/>
      <w:marRight w:val="0"/>
      <w:marTop w:val="0"/>
      <w:marBottom w:val="0"/>
      <w:divBdr>
        <w:top w:val="none" w:sz="0" w:space="0" w:color="auto"/>
        <w:left w:val="none" w:sz="0" w:space="0" w:color="auto"/>
        <w:bottom w:val="none" w:sz="0" w:space="0" w:color="auto"/>
        <w:right w:val="none" w:sz="0" w:space="0" w:color="auto"/>
      </w:divBdr>
    </w:div>
    <w:div w:id="756177371">
      <w:bodyDiv w:val="1"/>
      <w:marLeft w:val="0"/>
      <w:marRight w:val="0"/>
      <w:marTop w:val="0"/>
      <w:marBottom w:val="0"/>
      <w:divBdr>
        <w:top w:val="none" w:sz="0" w:space="0" w:color="auto"/>
        <w:left w:val="none" w:sz="0" w:space="0" w:color="auto"/>
        <w:bottom w:val="none" w:sz="0" w:space="0" w:color="auto"/>
        <w:right w:val="none" w:sz="0" w:space="0" w:color="auto"/>
      </w:divBdr>
    </w:div>
    <w:div w:id="777337990">
      <w:bodyDiv w:val="1"/>
      <w:marLeft w:val="0"/>
      <w:marRight w:val="0"/>
      <w:marTop w:val="0"/>
      <w:marBottom w:val="0"/>
      <w:divBdr>
        <w:top w:val="none" w:sz="0" w:space="0" w:color="auto"/>
        <w:left w:val="none" w:sz="0" w:space="0" w:color="auto"/>
        <w:bottom w:val="none" w:sz="0" w:space="0" w:color="auto"/>
        <w:right w:val="none" w:sz="0" w:space="0" w:color="auto"/>
      </w:divBdr>
    </w:div>
    <w:div w:id="793255224">
      <w:bodyDiv w:val="1"/>
      <w:marLeft w:val="0"/>
      <w:marRight w:val="0"/>
      <w:marTop w:val="0"/>
      <w:marBottom w:val="0"/>
      <w:divBdr>
        <w:top w:val="none" w:sz="0" w:space="0" w:color="auto"/>
        <w:left w:val="none" w:sz="0" w:space="0" w:color="auto"/>
        <w:bottom w:val="none" w:sz="0" w:space="0" w:color="auto"/>
        <w:right w:val="none" w:sz="0" w:space="0" w:color="auto"/>
      </w:divBdr>
    </w:div>
    <w:div w:id="812676312">
      <w:bodyDiv w:val="1"/>
      <w:marLeft w:val="0"/>
      <w:marRight w:val="0"/>
      <w:marTop w:val="0"/>
      <w:marBottom w:val="0"/>
      <w:divBdr>
        <w:top w:val="none" w:sz="0" w:space="0" w:color="auto"/>
        <w:left w:val="none" w:sz="0" w:space="0" w:color="auto"/>
        <w:bottom w:val="none" w:sz="0" w:space="0" w:color="auto"/>
        <w:right w:val="none" w:sz="0" w:space="0" w:color="auto"/>
      </w:divBdr>
    </w:div>
    <w:div w:id="816531929">
      <w:bodyDiv w:val="1"/>
      <w:marLeft w:val="0"/>
      <w:marRight w:val="0"/>
      <w:marTop w:val="0"/>
      <w:marBottom w:val="0"/>
      <w:divBdr>
        <w:top w:val="none" w:sz="0" w:space="0" w:color="auto"/>
        <w:left w:val="none" w:sz="0" w:space="0" w:color="auto"/>
        <w:bottom w:val="none" w:sz="0" w:space="0" w:color="auto"/>
        <w:right w:val="none" w:sz="0" w:space="0" w:color="auto"/>
      </w:divBdr>
    </w:div>
    <w:div w:id="850997137">
      <w:bodyDiv w:val="1"/>
      <w:marLeft w:val="0"/>
      <w:marRight w:val="0"/>
      <w:marTop w:val="0"/>
      <w:marBottom w:val="0"/>
      <w:divBdr>
        <w:top w:val="none" w:sz="0" w:space="0" w:color="auto"/>
        <w:left w:val="none" w:sz="0" w:space="0" w:color="auto"/>
        <w:bottom w:val="none" w:sz="0" w:space="0" w:color="auto"/>
        <w:right w:val="none" w:sz="0" w:space="0" w:color="auto"/>
      </w:divBdr>
    </w:div>
    <w:div w:id="869031971">
      <w:bodyDiv w:val="1"/>
      <w:marLeft w:val="0"/>
      <w:marRight w:val="0"/>
      <w:marTop w:val="0"/>
      <w:marBottom w:val="0"/>
      <w:divBdr>
        <w:top w:val="none" w:sz="0" w:space="0" w:color="auto"/>
        <w:left w:val="none" w:sz="0" w:space="0" w:color="auto"/>
        <w:bottom w:val="none" w:sz="0" w:space="0" w:color="auto"/>
        <w:right w:val="none" w:sz="0" w:space="0" w:color="auto"/>
      </w:divBdr>
    </w:div>
    <w:div w:id="874467787">
      <w:bodyDiv w:val="1"/>
      <w:marLeft w:val="0"/>
      <w:marRight w:val="0"/>
      <w:marTop w:val="0"/>
      <w:marBottom w:val="0"/>
      <w:divBdr>
        <w:top w:val="none" w:sz="0" w:space="0" w:color="auto"/>
        <w:left w:val="none" w:sz="0" w:space="0" w:color="auto"/>
        <w:bottom w:val="none" w:sz="0" w:space="0" w:color="auto"/>
        <w:right w:val="none" w:sz="0" w:space="0" w:color="auto"/>
      </w:divBdr>
    </w:div>
    <w:div w:id="877201397">
      <w:bodyDiv w:val="1"/>
      <w:marLeft w:val="0"/>
      <w:marRight w:val="0"/>
      <w:marTop w:val="0"/>
      <w:marBottom w:val="0"/>
      <w:divBdr>
        <w:top w:val="none" w:sz="0" w:space="0" w:color="auto"/>
        <w:left w:val="none" w:sz="0" w:space="0" w:color="auto"/>
        <w:bottom w:val="none" w:sz="0" w:space="0" w:color="auto"/>
        <w:right w:val="none" w:sz="0" w:space="0" w:color="auto"/>
      </w:divBdr>
    </w:div>
    <w:div w:id="925306190">
      <w:bodyDiv w:val="1"/>
      <w:marLeft w:val="0"/>
      <w:marRight w:val="0"/>
      <w:marTop w:val="0"/>
      <w:marBottom w:val="0"/>
      <w:divBdr>
        <w:top w:val="none" w:sz="0" w:space="0" w:color="auto"/>
        <w:left w:val="none" w:sz="0" w:space="0" w:color="auto"/>
        <w:bottom w:val="none" w:sz="0" w:space="0" w:color="auto"/>
        <w:right w:val="none" w:sz="0" w:space="0" w:color="auto"/>
      </w:divBdr>
    </w:div>
    <w:div w:id="1017734784">
      <w:bodyDiv w:val="1"/>
      <w:marLeft w:val="0"/>
      <w:marRight w:val="0"/>
      <w:marTop w:val="0"/>
      <w:marBottom w:val="0"/>
      <w:divBdr>
        <w:top w:val="none" w:sz="0" w:space="0" w:color="auto"/>
        <w:left w:val="none" w:sz="0" w:space="0" w:color="auto"/>
        <w:bottom w:val="none" w:sz="0" w:space="0" w:color="auto"/>
        <w:right w:val="none" w:sz="0" w:space="0" w:color="auto"/>
      </w:divBdr>
    </w:div>
    <w:div w:id="1053381888">
      <w:bodyDiv w:val="1"/>
      <w:marLeft w:val="0"/>
      <w:marRight w:val="0"/>
      <w:marTop w:val="0"/>
      <w:marBottom w:val="0"/>
      <w:divBdr>
        <w:top w:val="none" w:sz="0" w:space="0" w:color="auto"/>
        <w:left w:val="none" w:sz="0" w:space="0" w:color="auto"/>
        <w:bottom w:val="none" w:sz="0" w:space="0" w:color="auto"/>
        <w:right w:val="none" w:sz="0" w:space="0" w:color="auto"/>
      </w:divBdr>
    </w:div>
    <w:div w:id="1112164861">
      <w:bodyDiv w:val="1"/>
      <w:marLeft w:val="0"/>
      <w:marRight w:val="0"/>
      <w:marTop w:val="0"/>
      <w:marBottom w:val="0"/>
      <w:divBdr>
        <w:top w:val="none" w:sz="0" w:space="0" w:color="auto"/>
        <w:left w:val="none" w:sz="0" w:space="0" w:color="auto"/>
        <w:bottom w:val="none" w:sz="0" w:space="0" w:color="auto"/>
        <w:right w:val="none" w:sz="0" w:space="0" w:color="auto"/>
      </w:divBdr>
    </w:div>
    <w:div w:id="1132988216">
      <w:bodyDiv w:val="1"/>
      <w:marLeft w:val="0"/>
      <w:marRight w:val="0"/>
      <w:marTop w:val="0"/>
      <w:marBottom w:val="0"/>
      <w:divBdr>
        <w:top w:val="none" w:sz="0" w:space="0" w:color="auto"/>
        <w:left w:val="none" w:sz="0" w:space="0" w:color="auto"/>
        <w:bottom w:val="none" w:sz="0" w:space="0" w:color="auto"/>
        <w:right w:val="none" w:sz="0" w:space="0" w:color="auto"/>
      </w:divBdr>
    </w:div>
    <w:div w:id="1173569619">
      <w:bodyDiv w:val="1"/>
      <w:marLeft w:val="0"/>
      <w:marRight w:val="0"/>
      <w:marTop w:val="0"/>
      <w:marBottom w:val="0"/>
      <w:divBdr>
        <w:top w:val="none" w:sz="0" w:space="0" w:color="auto"/>
        <w:left w:val="none" w:sz="0" w:space="0" w:color="auto"/>
        <w:bottom w:val="none" w:sz="0" w:space="0" w:color="auto"/>
        <w:right w:val="none" w:sz="0" w:space="0" w:color="auto"/>
      </w:divBdr>
      <w:divsChild>
        <w:div w:id="782699332">
          <w:marLeft w:val="0"/>
          <w:marRight w:val="0"/>
          <w:marTop w:val="0"/>
          <w:marBottom w:val="0"/>
          <w:divBdr>
            <w:top w:val="none" w:sz="0" w:space="0" w:color="auto"/>
            <w:left w:val="none" w:sz="0" w:space="0" w:color="auto"/>
            <w:bottom w:val="none" w:sz="0" w:space="0" w:color="auto"/>
            <w:right w:val="none" w:sz="0" w:space="0" w:color="auto"/>
          </w:divBdr>
          <w:divsChild>
            <w:div w:id="1221556847">
              <w:marLeft w:val="0"/>
              <w:marRight w:val="0"/>
              <w:marTop w:val="0"/>
              <w:marBottom w:val="0"/>
              <w:divBdr>
                <w:top w:val="none" w:sz="0" w:space="0" w:color="auto"/>
                <w:left w:val="none" w:sz="0" w:space="0" w:color="auto"/>
                <w:bottom w:val="none" w:sz="0" w:space="0" w:color="auto"/>
                <w:right w:val="none" w:sz="0" w:space="0" w:color="auto"/>
              </w:divBdr>
              <w:divsChild>
                <w:div w:id="1842966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880604">
      <w:bodyDiv w:val="1"/>
      <w:marLeft w:val="0"/>
      <w:marRight w:val="0"/>
      <w:marTop w:val="0"/>
      <w:marBottom w:val="0"/>
      <w:divBdr>
        <w:top w:val="none" w:sz="0" w:space="0" w:color="auto"/>
        <w:left w:val="none" w:sz="0" w:space="0" w:color="auto"/>
        <w:bottom w:val="none" w:sz="0" w:space="0" w:color="auto"/>
        <w:right w:val="none" w:sz="0" w:space="0" w:color="auto"/>
      </w:divBdr>
    </w:div>
    <w:div w:id="1254120579">
      <w:bodyDiv w:val="1"/>
      <w:marLeft w:val="0"/>
      <w:marRight w:val="0"/>
      <w:marTop w:val="0"/>
      <w:marBottom w:val="0"/>
      <w:divBdr>
        <w:top w:val="none" w:sz="0" w:space="0" w:color="auto"/>
        <w:left w:val="none" w:sz="0" w:space="0" w:color="auto"/>
        <w:bottom w:val="none" w:sz="0" w:space="0" w:color="auto"/>
        <w:right w:val="none" w:sz="0" w:space="0" w:color="auto"/>
      </w:divBdr>
    </w:div>
    <w:div w:id="1296177514">
      <w:bodyDiv w:val="1"/>
      <w:marLeft w:val="0"/>
      <w:marRight w:val="0"/>
      <w:marTop w:val="0"/>
      <w:marBottom w:val="0"/>
      <w:divBdr>
        <w:top w:val="none" w:sz="0" w:space="0" w:color="auto"/>
        <w:left w:val="none" w:sz="0" w:space="0" w:color="auto"/>
        <w:bottom w:val="none" w:sz="0" w:space="0" w:color="auto"/>
        <w:right w:val="none" w:sz="0" w:space="0" w:color="auto"/>
      </w:divBdr>
    </w:div>
    <w:div w:id="1313411351">
      <w:bodyDiv w:val="1"/>
      <w:marLeft w:val="0"/>
      <w:marRight w:val="0"/>
      <w:marTop w:val="0"/>
      <w:marBottom w:val="0"/>
      <w:divBdr>
        <w:top w:val="none" w:sz="0" w:space="0" w:color="auto"/>
        <w:left w:val="none" w:sz="0" w:space="0" w:color="auto"/>
        <w:bottom w:val="none" w:sz="0" w:space="0" w:color="auto"/>
        <w:right w:val="none" w:sz="0" w:space="0" w:color="auto"/>
      </w:divBdr>
    </w:div>
    <w:div w:id="1335262947">
      <w:bodyDiv w:val="1"/>
      <w:marLeft w:val="0"/>
      <w:marRight w:val="0"/>
      <w:marTop w:val="0"/>
      <w:marBottom w:val="0"/>
      <w:divBdr>
        <w:top w:val="none" w:sz="0" w:space="0" w:color="auto"/>
        <w:left w:val="none" w:sz="0" w:space="0" w:color="auto"/>
        <w:bottom w:val="none" w:sz="0" w:space="0" w:color="auto"/>
        <w:right w:val="none" w:sz="0" w:space="0" w:color="auto"/>
      </w:divBdr>
    </w:div>
    <w:div w:id="1350522798">
      <w:bodyDiv w:val="1"/>
      <w:marLeft w:val="0"/>
      <w:marRight w:val="0"/>
      <w:marTop w:val="0"/>
      <w:marBottom w:val="0"/>
      <w:divBdr>
        <w:top w:val="none" w:sz="0" w:space="0" w:color="auto"/>
        <w:left w:val="none" w:sz="0" w:space="0" w:color="auto"/>
        <w:bottom w:val="none" w:sz="0" w:space="0" w:color="auto"/>
        <w:right w:val="none" w:sz="0" w:space="0" w:color="auto"/>
      </w:divBdr>
    </w:div>
    <w:div w:id="1400177258">
      <w:bodyDiv w:val="1"/>
      <w:marLeft w:val="0"/>
      <w:marRight w:val="0"/>
      <w:marTop w:val="0"/>
      <w:marBottom w:val="0"/>
      <w:divBdr>
        <w:top w:val="none" w:sz="0" w:space="0" w:color="auto"/>
        <w:left w:val="none" w:sz="0" w:space="0" w:color="auto"/>
        <w:bottom w:val="none" w:sz="0" w:space="0" w:color="auto"/>
        <w:right w:val="none" w:sz="0" w:space="0" w:color="auto"/>
      </w:divBdr>
    </w:div>
    <w:div w:id="1418281393">
      <w:bodyDiv w:val="1"/>
      <w:marLeft w:val="0"/>
      <w:marRight w:val="0"/>
      <w:marTop w:val="0"/>
      <w:marBottom w:val="0"/>
      <w:divBdr>
        <w:top w:val="none" w:sz="0" w:space="0" w:color="auto"/>
        <w:left w:val="none" w:sz="0" w:space="0" w:color="auto"/>
        <w:bottom w:val="none" w:sz="0" w:space="0" w:color="auto"/>
        <w:right w:val="none" w:sz="0" w:space="0" w:color="auto"/>
      </w:divBdr>
    </w:div>
    <w:div w:id="1436750662">
      <w:bodyDiv w:val="1"/>
      <w:marLeft w:val="0"/>
      <w:marRight w:val="0"/>
      <w:marTop w:val="0"/>
      <w:marBottom w:val="0"/>
      <w:divBdr>
        <w:top w:val="none" w:sz="0" w:space="0" w:color="auto"/>
        <w:left w:val="none" w:sz="0" w:space="0" w:color="auto"/>
        <w:bottom w:val="none" w:sz="0" w:space="0" w:color="auto"/>
        <w:right w:val="none" w:sz="0" w:space="0" w:color="auto"/>
      </w:divBdr>
    </w:div>
    <w:div w:id="1438407860">
      <w:bodyDiv w:val="1"/>
      <w:marLeft w:val="0"/>
      <w:marRight w:val="0"/>
      <w:marTop w:val="0"/>
      <w:marBottom w:val="0"/>
      <w:divBdr>
        <w:top w:val="none" w:sz="0" w:space="0" w:color="auto"/>
        <w:left w:val="none" w:sz="0" w:space="0" w:color="auto"/>
        <w:bottom w:val="none" w:sz="0" w:space="0" w:color="auto"/>
        <w:right w:val="none" w:sz="0" w:space="0" w:color="auto"/>
      </w:divBdr>
    </w:div>
    <w:div w:id="1438912832">
      <w:bodyDiv w:val="1"/>
      <w:marLeft w:val="0"/>
      <w:marRight w:val="0"/>
      <w:marTop w:val="0"/>
      <w:marBottom w:val="0"/>
      <w:divBdr>
        <w:top w:val="none" w:sz="0" w:space="0" w:color="auto"/>
        <w:left w:val="none" w:sz="0" w:space="0" w:color="auto"/>
        <w:bottom w:val="none" w:sz="0" w:space="0" w:color="auto"/>
        <w:right w:val="none" w:sz="0" w:space="0" w:color="auto"/>
      </w:divBdr>
    </w:div>
    <w:div w:id="1457020806">
      <w:bodyDiv w:val="1"/>
      <w:marLeft w:val="0"/>
      <w:marRight w:val="0"/>
      <w:marTop w:val="0"/>
      <w:marBottom w:val="0"/>
      <w:divBdr>
        <w:top w:val="none" w:sz="0" w:space="0" w:color="auto"/>
        <w:left w:val="none" w:sz="0" w:space="0" w:color="auto"/>
        <w:bottom w:val="none" w:sz="0" w:space="0" w:color="auto"/>
        <w:right w:val="none" w:sz="0" w:space="0" w:color="auto"/>
      </w:divBdr>
    </w:div>
    <w:div w:id="1465389203">
      <w:bodyDiv w:val="1"/>
      <w:marLeft w:val="0"/>
      <w:marRight w:val="0"/>
      <w:marTop w:val="0"/>
      <w:marBottom w:val="0"/>
      <w:divBdr>
        <w:top w:val="none" w:sz="0" w:space="0" w:color="auto"/>
        <w:left w:val="none" w:sz="0" w:space="0" w:color="auto"/>
        <w:bottom w:val="none" w:sz="0" w:space="0" w:color="auto"/>
        <w:right w:val="none" w:sz="0" w:space="0" w:color="auto"/>
      </w:divBdr>
    </w:div>
    <w:div w:id="1493444728">
      <w:bodyDiv w:val="1"/>
      <w:marLeft w:val="0"/>
      <w:marRight w:val="0"/>
      <w:marTop w:val="0"/>
      <w:marBottom w:val="0"/>
      <w:divBdr>
        <w:top w:val="none" w:sz="0" w:space="0" w:color="auto"/>
        <w:left w:val="none" w:sz="0" w:space="0" w:color="auto"/>
        <w:bottom w:val="none" w:sz="0" w:space="0" w:color="auto"/>
        <w:right w:val="none" w:sz="0" w:space="0" w:color="auto"/>
      </w:divBdr>
    </w:div>
    <w:div w:id="1524050897">
      <w:bodyDiv w:val="1"/>
      <w:marLeft w:val="0"/>
      <w:marRight w:val="0"/>
      <w:marTop w:val="0"/>
      <w:marBottom w:val="0"/>
      <w:divBdr>
        <w:top w:val="none" w:sz="0" w:space="0" w:color="auto"/>
        <w:left w:val="none" w:sz="0" w:space="0" w:color="auto"/>
        <w:bottom w:val="none" w:sz="0" w:space="0" w:color="auto"/>
        <w:right w:val="none" w:sz="0" w:space="0" w:color="auto"/>
      </w:divBdr>
    </w:div>
    <w:div w:id="1553736128">
      <w:bodyDiv w:val="1"/>
      <w:marLeft w:val="0"/>
      <w:marRight w:val="0"/>
      <w:marTop w:val="0"/>
      <w:marBottom w:val="0"/>
      <w:divBdr>
        <w:top w:val="none" w:sz="0" w:space="0" w:color="auto"/>
        <w:left w:val="none" w:sz="0" w:space="0" w:color="auto"/>
        <w:bottom w:val="none" w:sz="0" w:space="0" w:color="auto"/>
        <w:right w:val="none" w:sz="0" w:space="0" w:color="auto"/>
      </w:divBdr>
    </w:div>
    <w:div w:id="1556427967">
      <w:bodyDiv w:val="1"/>
      <w:marLeft w:val="0"/>
      <w:marRight w:val="0"/>
      <w:marTop w:val="0"/>
      <w:marBottom w:val="0"/>
      <w:divBdr>
        <w:top w:val="none" w:sz="0" w:space="0" w:color="auto"/>
        <w:left w:val="none" w:sz="0" w:space="0" w:color="auto"/>
        <w:bottom w:val="none" w:sz="0" w:space="0" w:color="auto"/>
        <w:right w:val="none" w:sz="0" w:space="0" w:color="auto"/>
      </w:divBdr>
    </w:div>
    <w:div w:id="1572689984">
      <w:bodyDiv w:val="1"/>
      <w:marLeft w:val="0"/>
      <w:marRight w:val="0"/>
      <w:marTop w:val="0"/>
      <w:marBottom w:val="0"/>
      <w:divBdr>
        <w:top w:val="none" w:sz="0" w:space="0" w:color="auto"/>
        <w:left w:val="none" w:sz="0" w:space="0" w:color="auto"/>
        <w:bottom w:val="none" w:sz="0" w:space="0" w:color="auto"/>
        <w:right w:val="none" w:sz="0" w:space="0" w:color="auto"/>
      </w:divBdr>
    </w:div>
    <w:div w:id="1593591157">
      <w:bodyDiv w:val="1"/>
      <w:marLeft w:val="0"/>
      <w:marRight w:val="0"/>
      <w:marTop w:val="0"/>
      <w:marBottom w:val="0"/>
      <w:divBdr>
        <w:top w:val="none" w:sz="0" w:space="0" w:color="auto"/>
        <w:left w:val="none" w:sz="0" w:space="0" w:color="auto"/>
        <w:bottom w:val="none" w:sz="0" w:space="0" w:color="auto"/>
        <w:right w:val="none" w:sz="0" w:space="0" w:color="auto"/>
      </w:divBdr>
    </w:div>
    <w:div w:id="1653018542">
      <w:bodyDiv w:val="1"/>
      <w:marLeft w:val="0"/>
      <w:marRight w:val="0"/>
      <w:marTop w:val="0"/>
      <w:marBottom w:val="0"/>
      <w:divBdr>
        <w:top w:val="none" w:sz="0" w:space="0" w:color="auto"/>
        <w:left w:val="none" w:sz="0" w:space="0" w:color="auto"/>
        <w:bottom w:val="none" w:sz="0" w:space="0" w:color="auto"/>
        <w:right w:val="none" w:sz="0" w:space="0" w:color="auto"/>
      </w:divBdr>
    </w:div>
    <w:div w:id="1673677810">
      <w:bodyDiv w:val="1"/>
      <w:marLeft w:val="0"/>
      <w:marRight w:val="0"/>
      <w:marTop w:val="0"/>
      <w:marBottom w:val="0"/>
      <w:divBdr>
        <w:top w:val="none" w:sz="0" w:space="0" w:color="auto"/>
        <w:left w:val="none" w:sz="0" w:space="0" w:color="auto"/>
        <w:bottom w:val="none" w:sz="0" w:space="0" w:color="auto"/>
        <w:right w:val="none" w:sz="0" w:space="0" w:color="auto"/>
      </w:divBdr>
    </w:div>
    <w:div w:id="1685938468">
      <w:bodyDiv w:val="1"/>
      <w:marLeft w:val="0"/>
      <w:marRight w:val="0"/>
      <w:marTop w:val="0"/>
      <w:marBottom w:val="0"/>
      <w:divBdr>
        <w:top w:val="none" w:sz="0" w:space="0" w:color="auto"/>
        <w:left w:val="none" w:sz="0" w:space="0" w:color="auto"/>
        <w:bottom w:val="none" w:sz="0" w:space="0" w:color="auto"/>
        <w:right w:val="none" w:sz="0" w:space="0" w:color="auto"/>
      </w:divBdr>
    </w:div>
    <w:div w:id="1698267108">
      <w:bodyDiv w:val="1"/>
      <w:marLeft w:val="0"/>
      <w:marRight w:val="0"/>
      <w:marTop w:val="0"/>
      <w:marBottom w:val="0"/>
      <w:divBdr>
        <w:top w:val="none" w:sz="0" w:space="0" w:color="auto"/>
        <w:left w:val="none" w:sz="0" w:space="0" w:color="auto"/>
        <w:bottom w:val="none" w:sz="0" w:space="0" w:color="auto"/>
        <w:right w:val="none" w:sz="0" w:space="0" w:color="auto"/>
      </w:divBdr>
    </w:div>
    <w:div w:id="1699696663">
      <w:bodyDiv w:val="1"/>
      <w:marLeft w:val="0"/>
      <w:marRight w:val="0"/>
      <w:marTop w:val="0"/>
      <w:marBottom w:val="0"/>
      <w:divBdr>
        <w:top w:val="none" w:sz="0" w:space="0" w:color="auto"/>
        <w:left w:val="none" w:sz="0" w:space="0" w:color="auto"/>
        <w:bottom w:val="none" w:sz="0" w:space="0" w:color="auto"/>
        <w:right w:val="none" w:sz="0" w:space="0" w:color="auto"/>
      </w:divBdr>
    </w:div>
    <w:div w:id="1713731618">
      <w:bodyDiv w:val="1"/>
      <w:marLeft w:val="0"/>
      <w:marRight w:val="0"/>
      <w:marTop w:val="0"/>
      <w:marBottom w:val="0"/>
      <w:divBdr>
        <w:top w:val="none" w:sz="0" w:space="0" w:color="auto"/>
        <w:left w:val="none" w:sz="0" w:space="0" w:color="auto"/>
        <w:bottom w:val="none" w:sz="0" w:space="0" w:color="auto"/>
        <w:right w:val="none" w:sz="0" w:space="0" w:color="auto"/>
      </w:divBdr>
    </w:div>
    <w:div w:id="1726371179">
      <w:bodyDiv w:val="1"/>
      <w:marLeft w:val="0"/>
      <w:marRight w:val="0"/>
      <w:marTop w:val="0"/>
      <w:marBottom w:val="0"/>
      <w:divBdr>
        <w:top w:val="none" w:sz="0" w:space="0" w:color="auto"/>
        <w:left w:val="none" w:sz="0" w:space="0" w:color="auto"/>
        <w:bottom w:val="none" w:sz="0" w:space="0" w:color="auto"/>
        <w:right w:val="none" w:sz="0" w:space="0" w:color="auto"/>
      </w:divBdr>
    </w:div>
    <w:div w:id="1742215806">
      <w:bodyDiv w:val="1"/>
      <w:marLeft w:val="0"/>
      <w:marRight w:val="0"/>
      <w:marTop w:val="0"/>
      <w:marBottom w:val="0"/>
      <w:divBdr>
        <w:top w:val="none" w:sz="0" w:space="0" w:color="auto"/>
        <w:left w:val="none" w:sz="0" w:space="0" w:color="auto"/>
        <w:bottom w:val="none" w:sz="0" w:space="0" w:color="auto"/>
        <w:right w:val="none" w:sz="0" w:space="0" w:color="auto"/>
      </w:divBdr>
    </w:div>
    <w:div w:id="1815486312">
      <w:bodyDiv w:val="1"/>
      <w:marLeft w:val="0"/>
      <w:marRight w:val="0"/>
      <w:marTop w:val="0"/>
      <w:marBottom w:val="0"/>
      <w:divBdr>
        <w:top w:val="none" w:sz="0" w:space="0" w:color="auto"/>
        <w:left w:val="none" w:sz="0" w:space="0" w:color="auto"/>
        <w:bottom w:val="none" w:sz="0" w:space="0" w:color="auto"/>
        <w:right w:val="none" w:sz="0" w:space="0" w:color="auto"/>
      </w:divBdr>
    </w:div>
    <w:div w:id="1858538578">
      <w:bodyDiv w:val="1"/>
      <w:marLeft w:val="0"/>
      <w:marRight w:val="0"/>
      <w:marTop w:val="0"/>
      <w:marBottom w:val="0"/>
      <w:divBdr>
        <w:top w:val="none" w:sz="0" w:space="0" w:color="auto"/>
        <w:left w:val="none" w:sz="0" w:space="0" w:color="auto"/>
        <w:bottom w:val="none" w:sz="0" w:space="0" w:color="auto"/>
        <w:right w:val="none" w:sz="0" w:space="0" w:color="auto"/>
      </w:divBdr>
    </w:div>
    <w:div w:id="1862546553">
      <w:bodyDiv w:val="1"/>
      <w:marLeft w:val="0"/>
      <w:marRight w:val="0"/>
      <w:marTop w:val="0"/>
      <w:marBottom w:val="0"/>
      <w:divBdr>
        <w:top w:val="none" w:sz="0" w:space="0" w:color="auto"/>
        <w:left w:val="none" w:sz="0" w:space="0" w:color="auto"/>
        <w:bottom w:val="none" w:sz="0" w:space="0" w:color="auto"/>
        <w:right w:val="none" w:sz="0" w:space="0" w:color="auto"/>
      </w:divBdr>
    </w:div>
    <w:div w:id="1893540171">
      <w:bodyDiv w:val="1"/>
      <w:marLeft w:val="0"/>
      <w:marRight w:val="0"/>
      <w:marTop w:val="0"/>
      <w:marBottom w:val="0"/>
      <w:divBdr>
        <w:top w:val="none" w:sz="0" w:space="0" w:color="auto"/>
        <w:left w:val="none" w:sz="0" w:space="0" w:color="auto"/>
        <w:bottom w:val="none" w:sz="0" w:space="0" w:color="auto"/>
        <w:right w:val="none" w:sz="0" w:space="0" w:color="auto"/>
      </w:divBdr>
    </w:div>
    <w:div w:id="1916501935">
      <w:bodyDiv w:val="1"/>
      <w:marLeft w:val="0"/>
      <w:marRight w:val="0"/>
      <w:marTop w:val="0"/>
      <w:marBottom w:val="0"/>
      <w:divBdr>
        <w:top w:val="none" w:sz="0" w:space="0" w:color="auto"/>
        <w:left w:val="none" w:sz="0" w:space="0" w:color="auto"/>
        <w:bottom w:val="none" w:sz="0" w:space="0" w:color="auto"/>
        <w:right w:val="none" w:sz="0" w:space="0" w:color="auto"/>
      </w:divBdr>
    </w:div>
    <w:div w:id="1963421686">
      <w:bodyDiv w:val="1"/>
      <w:marLeft w:val="0"/>
      <w:marRight w:val="0"/>
      <w:marTop w:val="0"/>
      <w:marBottom w:val="0"/>
      <w:divBdr>
        <w:top w:val="none" w:sz="0" w:space="0" w:color="auto"/>
        <w:left w:val="none" w:sz="0" w:space="0" w:color="auto"/>
        <w:bottom w:val="none" w:sz="0" w:space="0" w:color="auto"/>
        <w:right w:val="none" w:sz="0" w:space="0" w:color="auto"/>
      </w:divBdr>
    </w:div>
    <w:div w:id="1965890585">
      <w:bodyDiv w:val="1"/>
      <w:marLeft w:val="0"/>
      <w:marRight w:val="0"/>
      <w:marTop w:val="0"/>
      <w:marBottom w:val="0"/>
      <w:divBdr>
        <w:top w:val="none" w:sz="0" w:space="0" w:color="auto"/>
        <w:left w:val="none" w:sz="0" w:space="0" w:color="auto"/>
        <w:bottom w:val="none" w:sz="0" w:space="0" w:color="auto"/>
        <w:right w:val="none" w:sz="0" w:space="0" w:color="auto"/>
      </w:divBdr>
    </w:div>
    <w:div w:id="2000302705">
      <w:bodyDiv w:val="1"/>
      <w:marLeft w:val="0"/>
      <w:marRight w:val="0"/>
      <w:marTop w:val="0"/>
      <w:marBottom w:val="0"/>
      <w:divBdr>
        <w:top w:val="none" w:sz="0" w:space="0" w:color="auto"/>
        <w:left w:val="none" w:sz="0" w:space="0" w:color="auto"/>
        <w:bottom w:val="none" w:sz="0" w:space="0" w:color="auto"/>
        <w:right w:val="none" w:sz="0" w:space="0" w:color="auto"/>
      </w:divBdr>
    </w:div>
    <w:div w:id="2008942667">
      <w:bodyDiv w:val="1"/>
      <w:marLeft w:val="0"/>
      <w:marRight w:val="0"/>
      <w:marTop w:val="0"/>
      <w:marBottom w:val="0"/>
      <w:divBdr>
        <w:top w:val="none" w:sz="0" w:space="0" w:color="auto"/>
        <w:left w:val="none" w:sz="0" w:space="0" w:color="auto"/>
        <w:bottom w:val="none" w:sz="0" w:space="0" w:color="auto"/>
        <w:right w:val="none" w:sz="0" w:space="0" w:color="auto"/>
      </w:divBdr>
      <w:divsChild>
        <w:div w:id="278142708">
          <w:marLeft w:val="0"/>
          <w:marRight w:val="0"/>
          <w:marTop w:val="0"/>
          <w:marBottom w:val="0"/>
          <w:divBdr>
            <w:top w:val="none" w:sz="0" w:space="0" w:color="auto"/>
            <w:left w:val="none" w:sz="0" w:space="0" w:color="auto"/>
            <w:bottom w:val="none" w:sz="0" w:space="0" w:color="auto"/>
            <w:right w:val="none" w:sz="0" w:space="0" w:color="auto"/>
          </w:divBdr>
        </w:div>
      </w:divsChild>
    </w:div>
    <w:div w:id="2037660624">
      <w:bodyDiv w:val="1"/>
      <w:marLeft w:val="0"/>
      <w:marRight w:val="0"/>
      <w:marTop w:val="0"/>
      <w:marBottom w:val="0"/>
      <w:divBdr>
        <w:top w:val="none" w:sz="0" w:space="0" w:color="auto"/>
        <w:left w:val="none" w:sz="0" w:space="0" w:color="auto"/>
        <w:bottom w:val="none" w:sz="0" w:space="0" w:color="auto"/>
        <w:right w:val="none" w:sz="0" w:space="0" w:color="auto"/>
      </w:divBdr>
    </w:div>
    <w:div w:id="2060743093">
      <w:bodyDiv w:val="1"/>
      <w:marLeft w:val="0"/>
      <w:marRight w:val="0"/>
      <w:marTop w:val="0"/>
      <w:marBottom w:val="0"/>
      <w:divBdr>
        <w:top w:val="none" w:sz="0" w:space="0" w:color="auto"/>
        <w:left w:val="none" w:sz="0" w:space="0" w:color="auto"/>
        <w:bottom w:val="none" w:sz="0" w:space="0" w:color="auto"/>
        <w:right w:val="none" w:sz="0" w:space="0" w:color="auto"/>
      </w:divBdr>
    </w:div>
    <w:div w:id="2086684072">
      <w:bodyDiv w:val="1"/>
      <w:marLeft w:val="0"/>
      <w:marRight w:val="0"/>
      <w:marTop w:val="0"/>
      <w:marBottom w:val="0"/>
      <w:divBdr>
        <w:top w:val="none" w:sz="0" w:space="0" w:color="auto"/>
        <w:left w:val="none" w:sz="0" w:space="0" w:color="auto"/>
        <w:bottom w:val="none" w:sz="0" w:space="0" w:color="auto"/>
        <w:right w:val="none" w:sz="0" w:space="0" w:color="auto"/>
      </w:divBdr>
    </w:div>
    <w:div w:id="213956986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6.jpe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comments" Target="comments.xml"/><Relationship Id="rId29" Type="http://schemas.openxmlformats.org/officeDocument/2006/relationships/hyperlink" Target="http://doi.org/10.1029/2007GC00167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1.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earthchem.org/petdb" TargetMode="External"/><Relationship Id="rId23" Type="http://schemas.openxmlformats.org/officeDocument/2006/relationships/image" Target="media/image10.jpeg"/><Relationship Id="rId28" Type="http://schemas.openxmlformats.org/officeDocument/2006/relationships/image" Target="media/image15.jpeg"/><Relationship Id="rId10" Type="http://schemas.openxmlformats.org/officeDocument/2006/relationships/image" Target="media/image2.jpeg"/><Relationship Id="rId19" Type="http://schemas.openxmlformats.org/officeDocument/2006/relationships/image" Target="media/image7.jpe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jpe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hyperlink" Target="http://doi.org/10.1029/2011GC0035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82690A-30B5-4130-9CF1-9CFAEC230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1739</TotalTime>
  <Pages>56</Pages>
  <Words>20574</Words>
  <Characters>117277</Characters>
  <Application>Microsoft Office Word</Application>
  <DocSecurity>0</DocSecurity>
  <Lines>977</Lines>
  <Paragraphs>275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Brooks Hanson</dc:creator>
  <cp:lastModifiedBy>Daniele</cp:lastModifiedBy>
  <cp:revision>127</cp:revision>
  <cp:lastPrinted>2016-04-03T16:30:00Z</cp:lastPrinted>
  <dcterms:created xsi:type="dcterms:W3CDTF">2016-03-24T17:21:00Z</dcterms:created>
  <dcterms:modified xsi:type="dcterms:W3CDTF">2016-04-04T08:40:00Z</dcterms:modified>
</cp:coreProperties>
</file>