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FFFFFF"/>
          <w:sz w:val="24"/>
          <w:szCs w:val="24"/>
          <w:lang w:val="en-US"/>
        </w:rPr>
      </w:pPr>
      <w:r w:rsidRPr="004579F0">
        <w:rPr>
          <w:rFonts w:ascii="TimesNewRomanPS-BoldMT" w:hAnsi="TimesNewRomanPS-BoldMT" w:cs="TimesNewRomanPS-BoldMT"/>
          <w:b/>
          <w:bCs/>
          <w:color w:val="FFFFFF"/>
          <w:sz w:val="24"/>
          <w:szCs w:val="24"/>
          <w:lang w:val="en-US"/>
        </w:rPr>
        <w:t>P-2.2-04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8"/>
          <w:szCs w:val="28"/>
          <w:lang w:val="en-US"/>
        </w:rPr>
      </w:pPr>
      <w:r w:rsidRPr="004579F0">
        <w:rPr>
          <w:rFonts w:ascii="TimesNewRomanPS-BoldMT" w:hAnsi="TimesNewRomanPS-BoldMT" w:cs="TimesNewRomanPS-BoldMT"/>
          <w:b/>
          <w:bCs/>
          <w:color w:val="000000"/>
          <w:sz w:val="28"/>
          <w:szCs w:val="28"/>
          <w:lang w:val="en-US"/>
        </w:rPr>
        <w:t xml:space="preserve">Structural characterization of </w:t>
      </w:r>
      <w:proofErr w:type="spellStart"/>
      <w:r w:rsidRPr="004579F0">
        <w:rPr>
          <w:rFonts w:ascii="TimesNewRomanPS-BoldMT" w:hAnsi="TimesNewRomanPS-BoldMT" w:cs="TimesNewRomanPS-BoldMT"/>
          <w:b/>
          <w:bCs/>
          <w:color w:val="000000"/>
          <w:sz w:val="28"/>
          <w:szCs w:val="28"/>
          <w:lang w:val="en-US"/>
        </w:rPr>
        <w:t>fluorenone</w:t>
      </w:r>
      <w:proofErr w:type="spellEnd"/>
      <w:r w:rsidRPr="004579F0">
        <w:rPr>
          <w:rFonts w:ascii="TimesNewRomanPS-BoldMT" w:hAnsi="TimesNewRomanPS-BoldMT" w:cs="TimesNewRomanPS-BoldMT"/>
          <w:b/>
          <w:bCs/>
          <w:color w:val="000000"/>
          <w:sz w:val="28"/>
          <w:szCs w:val="28"/>
          <w:lang w:val="en-US"/>
        </w:rPr>
        <w:t xml:space="preserve"> dye in zeolite L</w:t>
      </w: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16"/>
          <w:szCs w:val="16"/>
        </w:rPr>
      </w:pPr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>L. Gigli</w:t>
      </w:r>
      <w:r>
        <w:rPr>
          <w:rFonts w:ascii="TimesNewRomanPS-BoldMT" w:hAnsi="TimesNewRomanPS-BoldMT" w:cs="TimesNewRomanPS-BoldMT"/>
          <w:b/>
          <w:bCs/>
          <w:color w:val="000000"/>
          <w:sz w:val="16"/>
          <w:szCs w:val="16"/>
        </w:rPr>
        <w:t>1</w:t>
      </w:r>
      <w:r>
        <w:rPr>
          <w:rFonts w:ascii="TimesNewRomanPSMT" w:hAnsi="TimesNewRomanPSMT" w:cs="TimesNewRomanPSMT"/>
          <w:color w:val="000000"/>
          <w:sz w:val="24"/>
          <w:szCs w:val="24"/>
        </w:rPr>
        <w:t>, G. Agostini</w:t>
      </w:r>
      <w:r>
        <w:rPr>
          <w:rFonts w:ascii="TimesNewRomanPSMT" w:hAnsi="TimesNewRomanPSMT" w:cs="TimesNewRomanPSMT"/>
          <w:color w:val="000000"/>
          <w:sz w:val="16"/>
          <w:szCs w:val="16"/>
        </w:rPr>
        <w:t>2</w:t>
      </w:r>
      <w:r>
        <w:rPr>
          <w:rFonts w:ascii="TimesNewRomanPSMT" w:hAnsi="TimesNewRomanPSMT" w:cs="TimesNewRomanPSMT"/>
          <w:color w:val="000000"/>
          <w:sz w:val="24"/>
          <w:szCs w:val="24"/>
        </w:rPr>
        <w:t>, R. Arletti</w:t>
      </w:r>
      <w:r>
        <w:rPr>
          <w:rFonts w:ascii="TimesNewRomanPSMT" w:hAnsi="TimesNewRomanPSMT" w:cs="TimesNewRomanPSMT"/>
          <w:color w:val="000000"/>
          <w:sz w:val="16"/>
          <w:szCs w:val="16"/>
        </w:rPr>
        <w:t>3</w:t>
      </w:r>
      <w:r>
        <w:rPr>
          <w:rFonts w:ascii="TimesNewRomanPSMT" w:hAnsi="TimesNewRomanPSMT" w:cs="TimesNewRomanPSMT"/>
          <w:color w:val="000000"/>
          <w:sz w:val="24"/>
          <w:szCs w:val="24"/>
        </w:rPr>
        <w:t>, E. Fois</w:t>
      </w:r>
      <w:r>
        <w:rPr>
          <w:rFonts w:ascii="TimesNewRomanPSMT" w:hAnsi="TimesNewRomanPSMT" w:cs="TimesNewRomanPSMT"/>
          <w:color w:val="000000"/>
          <w:sz w:val="16"/>
          <w:szCs w:val="16"/>
        </w:rPr>
        <w:t>4</w:t>
      </w:r>
      <w:r>
        <w:rPr>
          <w:rFonts w:ascii="TimesNewRomanPSMT" w:hAnsi="TimesNewRomanPSMT" w:cs="TimesNewRomanPSMT"/>
          <w:color w:val="000000"/>
          <w:sz w:val="24"/>
          <w:szCs w:val="24"/>
        </w:rPr>
        <w:t>, C. Lamberti</w:t>
      </w:r>
      <w:r>
        <w:rPr>
          <w:rFonts w:ascii="TimesNewRomanPSMT" w:hAnsi="TimesNewRomanPSMT" w:cs="TimesNewRomanPSMT"/>
          <w:color w:val="000000"/>
          <w:sz w:val="16"/>
          <w:szCs w:val="16"/>
        </w:rPr>
        <w:t>2</w:t>
      </w:r>
      <w:r>
        <w:rPr>
          <w:rFonts w:ascii="TimesNewRomanPSMT" w:hAnsi="TimesNewRomanPSMT" w:cs="TimesNewRomanPSMT"/>
          <w:color w:val="000000"/>
          <w:sz w:val="24"/>
          <w:szCs w:val="24"/>
        </w:rPr>
        <w:t>, G. Tabacchi</w:t>
      </w:r>
      <w:r>
        <w:rPr>
          <w:rFonts w:ascii="TimesNewRomanPSMT" w:hAnsi="TimesNewRomanPSMT" w:cs="TimesNewRomanPSMT"/>
          <w:color w:val="000000"/>
          <w:sz w:val="16"/>
          <w:szCs w:val="16"/>
        </w:rPr>
        <w:t>4</w:t>
      </w:r>
      <w:r>
        <w:rPr>
          <w:rFonts w:ascii="TimesNewRomanPSMT" w:hAnsi="TimesNewRomanPSMT" w:cs="TimesNewRomanPSMT"/>
          <w:color w:val="000000"/>
          <w:sz w:val="24"/>
          <w:szCs w:val="24"/>
        </w:rPr>
        <w:t>, S. Quartieri</w:t>
      </w:r>
      <w:r>
        <w:rPr>
          <w:rFonts w:ascii="TimesNewRomanPSMT" w:hAnsi="TimesNewRomanPSMT" w:cs="TimesNewRomanPSMT"/>
          <w:color w:val="000000"/>
          <w:sz w:val="16"/>
          <w:szCs w:val="16"/>
        </w:rPr>
        <w:t>5</w:t>
      </w:r>
      <w:r>
        <w:rPr>
          <w:rFonts w:ascii="TimesNewRomanPSMT" w:hAnsi="TimesNewRomanPSMT" w:cs="TimesNewRomanPSMT"/>
          <w:color w:val="000000"/>
          <w:sz w:val="24"/>
          <w:szCs w:val="24"/>
        </w:rPr>
        <w:t>, G. Vezzalini</w:t>
      </w:r>
      <w:r>
        <w:rPr>
          <w:rFonts w:ascii="TimesNewRomanPSMT" w:hAnsi="TimesNewRomanPSMT" w:cs="TimesNewRomanPSMT"/>
          <w:color w:val="000000"/>
          <w:sz w:val="16"/>
          <w:szCs w:val="16"/>
        </w:rPr>
        <w:t>1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</w:pPr>
      <w:r w:rsidRPr="004579F0">
        <w:rPr>
          <w:rFonts w:ascii="TimesNewRomanPS-ItalicMT" w:hAnsi="TimesNewRomanPS-ItalicMT" w:cs="TimesNewRomanPS-ItalicMT"/>
          <w:i/>
          <w:iCs/>
          <w:color w:val="000000"/>
          <w:sz w:val="16"/>
          <w:szCs w:val="16"/>
          <w:lang w:val="en-US"/>
        </w:rPr>
        <w:t xml:space="preserve">1 </w:t>
      </w:r>
      <w:r w:rsidRPr="004579F0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Chemical and Geological Sciences Department, UNIMORE, Lar</w:t>
      </w:r>
      <w:r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 xml:space="preserve">go S. </w:t>
      </w:r>
      <w:proofErr w:type="spellStart"/>
      <w:r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Eufemia</w:t>
      </w:r>
      <w:proofErr w:type="spellEnd"/>
      <w:r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 xml:space="preserve"> 19, 41121 Modena 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</w:pPr>
      <w:r w:rsidRPr="004579F0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Italy, lara.gigli@unimore.it.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</w:pPr>
      <w:r w:rsidRPr="004579F0">
        <w:rPr>
          <w:rFonts w:ascii="TimesNewRomanPS-ItalicMT" w:hAnsi="TimesNewRomanPS-ItalicMT" w:cs="TimesNewRomanPS-ItalicMT"/>
          <w:i/>
          <w:iCs/>
          <w:color w:val="000000"/>
          <w:sz w:val="16"/>
          <w:szCs w:val="16"/>
          <w:lang w:val="en-US"/>
        </w:rPr>
        <w:t xml:space="preserve">2 </w:t>
      </w:r>
      <w:r w:rsidRPr="004579F0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Department of Inorganic, Physical, Materials Chemistry, NIS Center of Excellence, and INSTM Unit,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</w:pPr>
      <w:r w:rsidRPr="004579F0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UNITO, Torino, Italy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</w:pPr>
      <w:r w:rsidRPr="004579F0">
        <w:rPr>
          <w:rFonts w:ascii="TimesNewRomanPS-ItalicMT" w:hAnsi="TimesNewRomanPS-ItalicMT" w:cs="TimesNewRomanPS-ItalicMT"/>
          <w:i/>
          <w:iCs/>
          <w:color w:val="000000"/>
          <w:sz w:val="16"/>
          <w:szCs w:val="16"/>
          <w:lang w:val="en-US"/>
        </w:rPr>
        <w:t xml:space="preserve">3 </w:t>
      </w:r>
      <w:r w:rsidRPr="004579F0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Earth Sciences Department, UNITO, Torino, Italy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</w:pPr>
      <w:r w:rsidRPr="004579F0">
        <w:rPr>
          <w:rFonts w:ascii="TimesNewRomanPS-ItalicMT" w:hAnsi="TimesNewRomanPS-ItalicMT" w:cs="TimesNewRomanPS-ItalicMT"/>
          <w:i/>
          <w:iCs/>
          <w:color w:val="000000"/>
          <w:sz w:val="16"/>
          <w:szCs w:val="16"/>
          <w:lang w:val="en-US"/>
        </w:rPr>
        <w:t xml:space="preserve">4 </w:t>
      </w:r>
      <w:r w:rsidRPr="004579F0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DSAT and INSTM, UNINSUBRIA, Como, Italy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</w:pPr>
      <w:r w:rsidRPr="004579F0">
        <w:rPr>
          <w:rFonts w:ascii="TimesNewRomanPS-ItalicMT" w:hAnsi="TimesNewRomanPS-ItalicMT" w:cs="TimesNewRomanPS-ItalicMT"/>
          <w:i/>
          <w:iCs/>
          <w:color w:val="000000"/>
          <w:sz w:val="16"/>
          <w:szCs w:val="16"/>
          <w:lang w:val="en-US"/>
        </w:rPr>
        <w:t xml:space="preserve">5 </w:t>
      </w:r>
      <w:r w:rsidRPr="004579F0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Physics and Earth Sciences Department, UNIME, Messina, Italy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4579F0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 xml:space="preserve">Keywords: 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Zeolite L, dye incorporation, in situ synchrotron XRPD, structure refinement.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  <w:r w:rsidRPr="004579F0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>Introduction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Zeolite L (ZL) [K</w:t>
      </w:r>
      <w:r w:rsidRPr="004579F0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>8.46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(Al</w:t>
      </w:r>
      <w:r w:rsidRPr="004579F0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>8.35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Si</w:t>
      </w:r>
      <w:r w:rsidRPr="004579F0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>27.53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)O</w:t>
      </w:r>
      <w:r w:rsidRPr="004579F0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 xml:space="preserve">72 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•17.91H</w:t>
      </w:r>
      <w:r w:rsidRPr="004579F0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>2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O, framework type LTL, </w:t>
      </w:r>
      <w:proofErr w:type="spellStart"/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s.g</w:t>
      </w:r>
      <w:proofErr w:type="spellEnd"/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. P6/mmm] is an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appealing and excellent host for the supramolecular organization of different kinds of molecules and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complexes. The capacity of this zeolite, characterized by </w:t>
      </w:r>
      <w:proofErr w:type="spellStart"/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monodimensional</w:t>
      </w:r>
      <w:proofErr w:type="spellEnd"/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12-ring channels, to induce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an ordered geometrical arrangement of dye molecules, is used for the design of antenna systems and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charge-transfer complexes [1-3] Relatively few experimental structural information is available about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the orientation and alignment of the dye molecules in the zeolite pores, hence a detailed structural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characterization is of great importance for understanding the functionality of these host-guest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systems.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  <w:r w:rsidRPr="004579F0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>Experimental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In this study, the neutral dye </w:t>
      </w:r>
      <w:proofErr w:type="spellStart"/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fluorenone</w:t>
      </w:r>
      <w:proofErr w:type="spellEnd"/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(C</w:t>
      </w:r>
      <w:r w:rsidRPr="004579F0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>13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H</w:t>
      </w:r>
      <w:r w:rsidRPr="004579F0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>8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O) (FL) was inserted from the gas phase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(sublimation temperature 130 °C) into ZL dehydrated at 200 °C for 12 h under vacuum (10</w:t>
      </w:r>
      <w:r w:rsidRPr="004579F0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 xml:space="preserve">-4 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mbar), so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to assure that water molecules did not block the pathway for molecule entering [4]. Synchrotron X-ray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powder diffraction experiment were performed at Gilda </w:t>
      </w:r>
      <w:proofErr w:type="spellStart"/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beamline</w:t>
      </w:r>
      <w:proofErr w:type="spellEnd"/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(ESRF, Grenoble) on both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dehydrated and FL-loaded zeolite L (FL-ZL). The diffraction data clearly evidenced the embedding of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the dye into the channels, as well as the minor presence (6.9 %) of </w:t>
      </w:r>
      <w:proofErr w:type="spellStart"/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fluorenone</w:t>
      </w:r>
      <w:proofErr w:type="spellEnd"/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molecules on the zeolite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surface. As a consequence, the structure of FL-ZL was determined by a two-phases </w:t>
      </w:r>
      <w:proofErr w:type="spellStart"/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Rietveld</w:t>
      </w:r>
      <w:proofErr w:type="spellEnd"/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refinement in the hexagonal space group P6/mmm [5]. The background was empirically fitted using a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proofErr w:type="spellStart"/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Chebyschev</w:t>
      </w:r>
      <w:proofErr w:type="spellEnd"/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polynomial with 15 variable coefficients and the peak profiles were modeled by a pseudo-</w:t>
      </w:r>
      <w:proofErr w:type="spellStart"/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Voight</w:t>
      </w:r>
      <w:proofErr w:type="spellEnd"/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function.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  <w:r w:rsidRPr="004579F0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>Results and discussion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The incorporation of FL into the channels of dehydrated ZL was confirmed by a significant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change of the unit cell parameters (Table 1). 1.7 FL molecules per unit cell were located in the large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12-membered ring channel running parallel to </w:t>
      </w:r>
      <w:r w:rsidRPr="004579F0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 xml:space="preserve">c 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axis. The strong interaction between FL carbonyl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group and the </w:t>
      </w:r>
      <w:proofErr w:type="spellStart"/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extraframework</w:t>
      </w:r>
      <w:proofErr w:type="spellEnd"/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potassium </w:t>
      </w:r>
      <w:proofErr w:type="spellStart"/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cation</w:t>
      </w:r>
      <w:proofErr w:type="spellEnd"/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, predicted by theoretical modeling [6], is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experimentally confirmed by the short bond distances (2.77 Å)(Figure 1). Such an interaction explains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why FL molecules are not displaced by water molecules when FL-ZL hybrid is re-exposed to the air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[6].</w:t>
      </w: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  <w:r w:rsidRPr="004579F0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>Table 1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lang w:val="en-US"/>
        </w:rPr>
      </w:pPr>
      <w:r w:rsidRPr="004579F0">
        <w:rPr>
          <w:rFonts w:ascii="TimesNewRomanPS-BoldMT" w:hAnsi="TimesNewRomanPS-BoldMT" w:cs="TimesNewRomanPS-BoldMT"/>
          <w:b/>
          <w:bCs/>
          <w:color w:val="000000"/>
          <w:lang w:val="en-US"/>
        </w:rPr>
        <w:t>RIETVEL</w:t>
      </w:r>
      <w:r>
        <w:rPr>
          <w:rFonts w:ascii="TimesNewRomanPS-BoldMT" w:hAnsi="TimesNewRomanPS-BoldMT" w:cs="TimesNewRomanPS-BoldMT"/>
          <w:b/>
          <w:bCs/>
          <w:color w:val="000000"/>
          <w:lang w:val="en-US"/>
        </w:rPr>
        <w:t>D</w:t>
      </w:r>
      <w:r w:rsidRPr="004579F0">
        <w:rPr>
          <w:rFonts w:ascii="TimesNewRomanPS-BoldMT" w:hAnsi="TimesNewRomanPS-BoldMT" w:cs="TimesNewRomanPS-BoldMT"/>
          <w:b/>
          <w:bCs/>
          <w:color w:val="000000"/>
          <w:lang w:val="en-US"/>
        </w:rPr>
        <w:t xml:space="preserve"> RESULTS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lang w:val="en-US"/>
        </w:rPr>
      </w:pPr>
      <w:r w:rsidRPr="004579F0">
        <w:rPr>
          <w:rFonts w:ascii="TimesNewRomanPS-BoldMT" w:hAnsi="TimesNewRomanPS-BoldMT" w:cs="TimesNewRomanPS-BoldMT"/>
          <w:b/>
          <w:bCs/>
          <w:color w:val="000000"/>
          <w:lang w:val="en-US"/>
        </w:rPr>
        <w:t xml:space="preserve">ZL as synthetized 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lang w:val="en-US"/>
        </w:rPr>
      </w:pPr>
      <w:r w:rsidRPr="004579F0">
        <w:rPr>
          <w:rFonts w:ascii="TimesNewRomanPSMT" w:hAnsi="TimesNewRomanPSMT" w:cs="TimesNewRomanPSMT"/>
          <w:color w:val="000000"/>
          <w:lang w:val="en-US"/>
        </w:rPr>
        <w:t>Unit cell a= 18.3059(2)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lang w:val="en-US"/>
        </w:rPr>
      </w:pPr>
      <w:r w:rsidRPr="004579F0">
        <w:rPr>
          <w:rFonts w:ascii="TimesNewRomanPSMT" w:hAnsi="TimesNewRomanPSMT" w:cs="TimesNewRomanPSMT"/>
          <w:color w:val="000000"/>
          <w:lang w:val="en-US"/>
        </w:rPr>
        <w:t>c=7.5116(1)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lang w:val="en-US"/>
        </w:rPr>
      </w:pPr>
      <w:r w:rsidRPr="004579F0">
        <w:rPr>
          <w:rFonts w:ascii="TimesNewRomanPSMT" w:hAnsi="TimesNewRomanPSMT" w:cs="TimesNewRomanPSMT"/>
          <w:color w:val="000000"/>
          <w:lang w:val="en-US"/>
        </w:rPr>
        <w:t>V= 2177.08(6)</w:t>
      </w: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lang w:val="en-US"/>
        </w:rPr>
      </w:pPr>
      <w:r w:rsidRPr="004579F0">
        <w:rPr>
          <w:rFonts w:ascii="TimesNewRomanPS-BoldMT" w:hAnsi="TimesNewRomanPS-BoldMT" w:cs="TimesNewRomanPS-BoldMT"/>
          <w:b/>
          <w:bCs/>
          <w:color w:val="000000"/>
          <w:lang w:val="en-US"/>
        </w:rPr>
        <w:t xml:space="preserve">Dehydrated ZL 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lang w:val="en-US"/>
        </w:rPr>
      </w:pPr>
      <w:r w:rsidRPr="004579F0">
        <w:rPr>
          <w:rFonts w:ascii="TimesNewRomanPSMT" w:hAnsi="TimesNewRomanPSMT" w:cs="TimesNewRomanPSMT"/>
          <w:color w:val="000000"/>
          <w:lang w:val="en-US"/>
        </w:rPr>
        <w:t>a= 18.3802(2)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lang w:val="en-US"/>
        </w:rPr>
      </w:pPr>
      <w:r w:rsidRPr="004579F0">
        <w:rPr>
          <w:rFonts w:ascii="TimesNewRomanPSMT" w:hAnsi="TimesNewRomanPSMT" w:cs="TimesNewRomanPSMT"/>
          <w:color w:val="000000"/>
          <w:lang w:val="en-US"/>
        </w:rPr>
        <w:t>c=7.5017(1)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lang w:val="en-US"/>
        </w:rPr>
      </w:pPr>
      <w:r w:rsidRPr="004579F0">
        <w:rPr>
          <w:rFonts w:ascii="TimesNewRomanPSMT" w:hAnsi="TimesNewRomanPSMT" w:cs="TimesNewRomanPSMT"/>
          <w:color w:val="000000"/>
          <w:lang w:val="en-US"/>
        </w:rPr>
        <w:t>V= 2194.81(4)</w:t>
      </w: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lang w:val="en-US"/>
        </w:rPr>
      </w:pPr>
      <w:r w:rsidRPr="004579F0">
        <w:rPr>
          <w:rFonts w:ascii="TimesNewRomanPS-BoldMT" w:hAnsi="TimesNewRomanPS-BoldMT" w:cs="TimesNewRomanPS-BoldMT"/>
          <w:b/>
          <w:bCs/>
          <w:color w:val="000000"/>
          <w:lang w:val="en-US"/>
        </w:rPr>
        <w:lastRenderedPageBreak/>
        <w:t>Dehydrated ZL/FL</w:t>
      </w:r>
      <w:r w:rsidRPr="004579F0">
        <w:rPr>
          <w:rFonts w:ascii="TimesNewRomanPSMT" w:hAnsi="TimesNewRomanPSMT" w:cs="TimesNewRomanPSMT"/>
          <w:color w:val="000000"/>
          <w:lang w:val="en-US"/>
        </w:rPr>
        <w:t xml:space="preserve"> 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lang w:val="en-US"/>
        </w:rPr>
      </w:pPr>
      <w:r w:rsidRPr="004579F0">
        <w:rPr>
          <w:rFonts w:ascii="TimesNewRomanPSMT" w:hAnsi="TimesNewRomanPSMT" w:cs="TimesNewRomanPSMT"/>
          <w:color w:val="000000"/>
          <w:lang w:val="en-US"/>
        </w:rPr>
        <w:t>a= 18.3416(2)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lang w:val="en-US"/>
        </w:rPr>
      </w:pPr>
      <w:r w:rsidRPr="004579F0">
        <w:rPr>
          <w:rFonts w:ascii="TimesNewRomanPSMT" w:hAnsi="TimesNewRomanPSMT" w:cs="TimesNewRomanPSMT"/>
          <w:color w:val="000000"/>
          <w:lang w:val="en-US"/>
        </w:rPr>
        <w:t>c=7.5164(1)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lang w:val="en-US"/>
        </w:rPr>
      </w:pPr>
      <w:r w:rsidRPr="004579F0">
        <w:rPr>
          <w:rFonts w:ascii="TimesNewRomanPSMT" w:hAnsi="TimesNewRomanPSMT" w:cs="TimesNewRomanPSMT"/>
          <w:color w:val="000000"/>
          <w:lang w:val="en-US"/>
        </w:rPr>
        <w:t>V=2189.89(7)</w:t>
      </w: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4579F0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 xml:space="preserve">Figure 1 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Projection along </w:t>
      </w:r>
      <w:r w:rsidRPr="004579F0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 xml:space="preserve">c 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axis of the hybrid-FL-ZL structure. Dark grey: K sites; light grey: C sites;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black: FL carbonyl oxygen atoms.</w:t>
      </w: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>
        <w:rPr>
          <w:rFonts w:ascii="TimesNewRomanPSMT" w:hAnsi="TimesNewRomanPSMT" w:cs="TimesNewRomanPSMT"/>
          <w:noProof/>
          <w:color w:val="000000"/>
          <w:sz w:val="24"/>
          <w:szCs w:val="24"/>
          <w:lang w:eastAsia="it-IT"/>
        </w:rPr>
        <w:drawing>
          <wp:inline distT="0" distB="0" distL="0" distR="0">
            <wp:extent cx="6120130" cy="5207016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52070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  <w:bookmarkStart w:id="0" w:name="_GoBack"/>
      <w:bookmarkEnd w:id="0"/>
      <w:r w:rsidRPr="004579F0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lastRenderedPageBreak/>
        <w:t>Conclusions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The structural refinement of FL-ZL hybrid allowed to localize 1.7 FL molecules in the 12-ring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channels. The strong interaction of FL carbonyl oxygen with K atoms is in line with the stability of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4579F0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this material under ambient conditions.</w:t>
      </w: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</w:pPr>
      <w:proofErr w:type="spellStart"/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>References</w:t>
      </w:r>
      <w:proofErr w:type="spellEnd"/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</w:rPr>
      </w:pPr>
      <w:r>
        <w:rPr>
          <w:rFonts w:ascii="TimesNewRomanPSMT" w:hAnsi="TimesNewRomanPSMT" w:cs="TimesNewRomanPSMT"/>
          <w:color w:val="000000"/>
          <w:sz w:val="20"/>
          <w:szCs w:val="20"/>
        </w:rPr>
        <w:t xml:space="preserve">[1] G. </w:t>
      </w:r>
      <w:proofErr w:type="spellStart"/>
      <w:r>
        <w:rPr>
          <w:rFonts w:ascii="TimesNewRomanPSMT" w:hAnsi="TimesNewRomanPSMT" w:cs="TimesNewRomanPSMT"/>
          <w:color w:val="000000"/>
          <w:sz w:val="20"/>
          <w:szCs w:val="20"/>
        </w:rPr>
        <w:t>Calzaferri</w:t>
      </w:r>
      <w:proofErr w:type="spellEnd"/>
      <w:r>
        <w:rPr>
          <w:rFonts w:ascii="TimesNewRomanPSMT" w:hAnsi="TimesNewRomanPSMT" w:cs="TimesNewRomanPSMT"/>
          <w:color w:val="000000"/>
          <w:sz w:val="20"/>
          <w:szCs w:val="20"/>
        </w:rPr>
        <w:t xml:space="preserve"> (2012) </w:t>
      </w:r>
      <w:proofErr w:type="spellStart"/>
      <w:r>
        <w:rPr>
          <w:rFonts w:ascii="TimesNewRomanPSMT" w:hAnsi="TimesNewRomanPSMT" w:cs="TimesNewRomanPSMT"/>
          <w:color w:val="000000"/>
          <w:sz w:val="20"/>
          <w:szCs w:val="20"/>
        </w:rPr>
        <w:t>Langmuir</w:t>
      </w:r>
      <w:proofErr w:type="spellEnd"/>
      <w:r>
        <w:rPr>
          <w:rFonts w:ascii="TimesNewRomanPS-BoldMT" w:hAnsi="TimesNewRomanPS-BoldMT" w:cs="TimesNewRomanPS-BoldMT"/>
          <w:b/>
          <w:bCs/>
          <w:color w:val="000000"/>
          <w:sz w:val="20"/>
          <w:szCs w:val="20"/>
        </w:rPr>
        <w:t xml:space="preserve">, </w:t>
      </w:r>
      <w:r>
        <w:rPr>
          <w:rFonts w:ascii="TimesNewRomanPS-ItalicMT" w:hAnsi="TimesNewRomanPS-ItalicMT" w:cs="TimesNewRomanPS-ItalicMT"/>
          <w:i/>
          <w:iCs/>
          <w:color w:val="000000"/>
          <w:sz w:val="20"/>
          <w:szCs w:val="20"/>
        </w:rPr>
        <w:t>28</w:t>
      </w:r>
      <w:r>
        <w:rPr>
          <w:rFonts w:ascii="TimesNewRomanPSMT" w:hAnsi="TimesNewRomanPSMT" w:cs="TimesNewRomanPSMT"/>
          <w:color w:val="000000"/>
          <w:sz w:val="20"/>
          <w:szCs w:val="20"/>
        </w:rPr>
        <w:t>, 6216-6231.</w:t>
      </w:r>
    </w:p>
    <w:p w:rsid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</w:rPr>
      </w:pPr>
      <w:r>
        <w:rPr>
          <w:rFonts w:ascii="TimesNewRomanPSMT" w:hAnsi="TimesNewRomanPSMT" w:cs="TimesNewRomanPSMT"/>
          <w:color w:val="000000"/>
          <w:sz w:val="20"/>
          <w:szCs w:val="20"/>
        </w:rPr>
        <w:t xml:space="preserve">[2] C. Botta, S. Destri , M. </w:t>
      </w:r>
      <w:proofErr w:type="spellStart"/>
      <w:r>
        <w:rPr>
          <w:rFonts w:ascii="TimesNewRomanPSMT" w:hAnsi="TimesNewRomanPSMT" w:cs="TimesNewRomanPSMT"/>
          <w:color w:val="000000"/>
          <w:sz w:val="20"/>
          <w:szCs w:val="20"/>
        </w:rPr>
        <w:t>Pasini</w:t>
      </w:r>
      <w:proofErr w:type="spellEnd"/>
      <w:r>
        <w:rPr>
          <w:rFonts w:ascii="TimesNewRomanPSMT" w:hAnsi="TimesNewRomanPSMT" w:cs="TimesNewRomanPSMT"/>
          <w:color w:val="000000"/>
          <w:sz w:val="20"/>
          <w:szCs w:val="20"/>
        </w:rPr>
        <w:t xml:space="preserve">, P. </w:t>
      </w:r>
      <w:proofErr w:type="spellStart"/>
      <w:r>
        <w:rPr>
          <w:rFonts w:ascii="TimesNewRomanPSMT" w:hAnsi="TimesNewRomanPSMT" w:cs="TimesNewRomanPSMT"/>
          <w:color w:val="000000"/>
          <w:sz w:val="20"/>
          <w:szCs w:val="20"/>
        </w:rPr>
        <w:t>Picouet</w:t>
      </w:r>
      <w:proofErr w:type="spellEnd"/>
      <w:r>
        <w:rPr>
          <w:rFonts w:ascii="TimesNewRomanPSMT" w:hAnsi="TimesNewRomanPSMT" w:cs="TimesNewRomanPSMT"/>
          <w:color w:val="000000"/>
          <w:sz w:val="20"/>
          <w:szCs w:val="20"/>
        </w:rPr>
        <w:t xml:space="preserve"> , G. Bongiovanni, A. Mura , M. </w:t>
      </w:r>
      <w:proofErr w:type="spellStart"/>
      <w:r>
        <w:rPr>
          <w:rFonts w:ascii="TimesNewRomanPSMT" w:hAnsi="TimesNewRomanPSMT" w:cs="TimesNewRomanPSMT"/>
          <w:color w:val="000000"/>
          <w:sz w:val="20"/>
          <w:szCs w:val="20"/>
        </w:rPr>
        <w:t>Uslenghi</w:t>
      </w:r>
      <w:proofErr w:type="spellEnd"/>
      <w:r>
        <w:rPr>
          <w:rFonts w:ascii="TimesNewRomanPSMT" w:hAnsi="TimesNewRomanPSMT" w:cs="TimesNewRomanPSMT"/>
          <w:color w:val="000000"/>
          <w:sz w:val="20"/>
          <w:szCs w:val="20"/>
        </w:rPr>
        <w:t>, G. Di Silvestro , R. Tubino.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  <w:lang w:val="en-US"/>
        </w:rPr>
      </w:pPr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(2003) Synthetic Metals 139, 791–794.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  <w:lang w:val="en-US"/>
        </w:rPr>
      </w:pPr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 xml:space="preserve">[3] N. </w:t>
      </w:r>
      <w:proofErr w:type="spellStart"/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Gfeller</w:t>
      </w:r>
      <w:proofErr w:type="spellEnd"/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 xml:space="preserve">, S. </w:t>
      </w:r>
      <w:proofErr w:type="spellStart"/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Megelski</w:t>
      </w:r>
      <w:proofErr w:type="spellEnd"/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 xml:space="preserve">, G. </w:t>
      </w:r>
      <w:proofErr w:type="spellStart"/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Calzaferri</w:t>
      </w:r>
      <w:proofErr w:type="spellEnd"/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. (1999) J. Phys. Chem. B, 103, 1250-1257.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  <w:lang w:val="en-US"/>
        </w:rPr>
      </w:pPr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 xml:space="preserve">[4] A. </w:t>
      </w:r>
      <w:proofErr w:type="spellStart"/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Devaux</w:t>
      </w:r>
      <w:proofErr w:type="spellEnd"/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 xml:space="preserve">, C. </w:t>
      </w:r>
      <w:proofErr w:type="spellStart"/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Minkowski</w:t>
      </w:r>
      <w:proofErr w:type="spellEnd"/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 xml:space="preserve">, G. </w:t>
      </w:r>
      <w:proofErr w:type="spellStart"/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Calzaferri</w:t>
      </w:r>
      <w:proofErr w:type="spellEnd"/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 xml:space="preserve"> (2004) Chem. Eur. J. 10, 2391- 2408.</w:t>
      </w:r>
    </w:p>
    <w:p w:rsidR="004579F0" w:rsidRPr="004579F0" w:rsidRDefault="004579F0" w:rsidP="004579F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  <w:lang w:val="en-US"/>
        </w:rPr>
      </w:pPr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 xml:space="preserve">[5] R. M. </w:t>
      </w:r>
      <w:proofErr w:type="spellStart"/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Barrj</w:t>
      </w:r>
      <w:proofErr w:type="spellEnd"/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 xml:space="preserve">, R and H. </w:t>
      </w:r>
      <w:proofErr w:type="spellStart"/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Villigj</w:t>
      </w:r>
      <w:proofErr w:type="spellEnd"/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 xml:space="preserve"> (1969) </w:t>
      </w:r>
      <w:proofErr w:type="spellStart"/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Zeitschrift</w:t>
      </w:r>
      <w:proofErr w:type="spellEnd"/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 xml:space="preserve"> fur </w:t>
      </w:r>
      <w:proofErr w:type="spellStart"/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Kristallographie</w:t>
      </w:r>
      <w:proofErr w:type="spellEnd"/>
      <w:r w:rsidRPr="004579F0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, Bd. 128, S. 352-370</w:t>
      </w:r>
    </w:p>
    <w:p w:rsidR="00185536" w:rsidRDefault="004579F0" w:rsidP="004579F0">
      <w:r>
        <w:rPr>
          <w:rFonts w:ascii="TimesNewRomanPSMT" w:hAnsi="TimesNewRomanPSMT" w:cs="TimesNewRomanPSMT"/>
          <w:color w:val="000000"/>
          <w:sz w:val="20"/>
          <w:szCs w:val="20"/>
        </w:rPr>
        <w:t xml:space="preserve">[6] E. Fois, G. Tabacchi, G. </w:t>
      </w:r>
      <w:proofErr w:type="spellStart"/>
      <w:r>
        <w:rPr>
          <w:rFonts w:ascii="TimesNewRomanPSMT" w:hAnsi="TimesNewRomanPSMT" w:cs="TimesNewRomanPSMT"/>
          <w:color w:val="000000"/>
          <w:sz w:val="20"/>
          <w:szCs w:val="20"/>
        </w:rPr>
        <w:t>Calzaferri</w:t>
      </w:r>
      <w:proofErr w:type="spellEnd"/>
      <w:r>
        <w:rPr>
          <w:rFonts w:ascii="TimesNewRomanPSMT" w:hAnsi="TimesNewRomanPSMT" w:cs="TimesNewRomanPSMT"/>
          <w:color w:val="000000"/>
          <w:sz w:val="20"/>
          <w:szCs w:val="20"/>
        </w:rPr>
        <w:t xml:space="preserve">. 2010 J. </w:t>
      </w:r>
      <w:proofErr w:type="spellStart"/>
      <w:r>
        <w:rPr>
          <w:rFonts w:ascii="TimesNewRomanPSMT" w:hAnsi="TimesNewRomanPSMT" w:cs="TimesNewRomanPSMT"/>
          <w:color w:val="000000"/>
          <w:sz w:val="20"/>
          <w:szCs w:val="20"/>
        </w:rPr>
        <w:t>Phys</w:t>
      </w:r>
      <w:proofErr w:type="spellEnd"/>
      <w:r>
        <w:rPr>
          <w:rFonts w:ascii="TimesNewRomanPSMT" w:hAnsi="TimesNewRomanPSMT" w:cs="TimesNewRomanPSMT"/>
          <w:color w:val="000000"/>
          <w:sz w:val="20"/>
          <w:szCs w:val="20"/>
        </w:rPr>
        <w:t xml:space="preserve">. </w:t>
      </w:r>
      <w:proofErr w:type="spellStart"/>
      <w:r>
        <w:rPr>
          <w:rFonts w:ascii="TimesNewRomanPSMT" w:hAnsi="TimesNewRomanPSMT" w:cs="TimesNewRomanPSMT"/>
          <w:color w:val="000000"/>
          <w:sz w:val="20"/>
          <w:szCs w:val="20"/>
        </w:rPr>
        <w:t>Chem</w:t>
      </w:r>
      <w:proofErr w:type="spellEnd"/>
      <w:r>
        <w:rPr>
          <w:rFonts w:ascii="TimesNewRomanPSMT" w:hAnsi="TimesNewRomanPSMT" w:cs="TimesNewRomanPSMT"/>
          <w:color w:val="000000"/>
          <w:sz w:val="20"/>
          <w:szCs w:val="20"/>
        </w:rPr>
        <w:t>. C, 114, 10572–10579</w:t>
      </w:r>
    </w:p>
    <w:sectPr w:rsidR="0018553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-Bold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">
    <w:panose1 w:val="00000000000000000000"/>
    <w:charset w:val="00"/>
    <w:family w:val="roman"/>
    <w:notTrueType/>
    <w:pitch w:val="default"/>
    <w:sig w:usb0="00000003" w:usb1="08070000" w:usb2="00000010" w:usb3="00000000" w:csb0="00020001" w:csb1="00000000"/>
  </w:font>
  <w:font w:name="TimesNewRomanPS-Italic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79F0"/>
    <w:rsid w:val="004579F0"/>
    <w:rsid w:val="007B5B34"/>
    <w:rsid w:val="00800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579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579F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579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579F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603</Words>
  <Characters>3440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Giovanna VEZZALINI</dc:creator>
  <cp:lastModifiedBy>Maria Giovanna VEZZALINI</cp:lastModifiedBy>
  <cp:revision>1</cp:revision>
  <dcterms:created xsi:type="dcterms:W3CDTF">2015-01-15T17:11:00Z</dcterms:created>
  <dcterms:modified xsi:type="dcterms:W3CDTF">2015-01-15T17:15:00Z</dcterms:modified>
</cp:coreProperties>
</file>