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5A3A8B9" w14:textId="77777777" w:rsidR="00B6104F" w:rsidRPr="00900188" w:rsidRDefault="00B6104F" w:rsidP="00AC134D">
      <w:pPr>
        <w:spacing w:line="480" w:lineRule="auto"/>
        <w:jc w:val="both"/>
        <w:rPr>
          <w:rFonts w:cs="Segoe UI"/>
          <w:color w:val="212121"/>
          <w:shd w:val="clear" w:color="auto" w:fill="FFFFFF"/>
          <w:lang w:val="en-US"/>
        </w:rPr>
      </w:pPr>
      <w:bookmarkStart w:id="0" w:name="_GoBack"/>
      <w:bookmarkEnd w:id="0"/>
    </w:p>
    <w:p w14:paraId="06DD2573" w14:textId="77777777" w:rsidR="00441D4A" w:rsidRDefault="00441D4A" w:rsidP="00441D4A">
      <w:pPr>
        <w:spacing w:line="480" w:lineRule="auto"/>
        <w:jc w:val="both"/>
        <w:rPr>
          <w:b/>
          <w:lang w:val="en-US"/>
        </w:rPr>
      </w:pPr>
      <w:r>
        <w:rPr>
          <w:b/>
          <w:lang w:val="en-US"/>
        </w:rPr>
        <w:t xml:space="preserve">TDM-1 efficacy in trastuzumab-pertuzumab pre-treated HER2 positive metastatic breast cancer patients: a meta-analysis </w:t>
      </w:r>
    </w:p>
    <w:p w14:paraId="4839B9E7" w14:textId="77777777" w:rsidR="00441D4A" w:rsidRDefault="00441D4A" w:rsidP="00441D4A">
      <w:pPr>
        <w:spacing w:line="480" w:lineRule="auto"/>
        <w:jc w:val="both"/>
        <w:rPr>
          <w:i/>
        </w:rPr>
      </w:pPr>
    </w:p>
    <w:p w14:paraId="6CF2601A" w14:textId="00B91E9E" w:rsidR="00441D4A" w:rsidRDefault="00441D4A" w:rsidP="00441D4A">
      <w:pPr>
        <w:spacing w:line="480" w:lineRule="auto"/>
        <w:jc w:val="both"/>
        <w:rPr>
          <w:i/>
        </w:rPr>
      </w:pPr>
      <w:r w:rsidRPr="00441D4A">
        <w:rPr>
          <w:i/>
        </w:rPr>
        <w:t>Claudia Omarini, Federico Piacentini, Isabella Sperduti, Krisida Cerma, Monica Barbolini, Fabio Canino, Cecilia Nasso, Massimo Dominici, Luca Moscetti</w:t>
      </w:r>
    </w:p>
    <w:p w14:paraId="699DBF0A" w14:textId="77777777" w:rsidR="00441D4A" w:rsidRDefault="00441D4A" w:rsidP="00441D4A">
      <w:pPr>
        <w:spacing w:line="480" w:lineRule="auto"/>
        <w:jc w:val="both"/>
        <w:rPr>
          <w:i/>
        </w:rPr>
      </w:pPr>
    </w:p>
    <w:p w14:paraId="2D164477" w14:textId="35DB9CDD" w:rsidR="00441D4A" w:rsidRDefault="00441D4A" w:rsidP="00441D4A">
      <w:pPr>
        <w:rPr>
          <w:b/>
          <w:sz w:val="24"/>
          <w:szCs w:val="24"/>
          <w:lang w:val="en-US"/>
        </w:rPr>
      </w:pPr>
      <w:r>
        <w:rPr>
          <w:b/>
          <w:sz w:val="24"/>
          <w:szCs w:val="24"/>
          <w:lang w:val="en-US"/>
        </w:rPr>
        <w:t>Background</w:t>
      </w:r>
    </w:p>
    <w:p w14:paraId="451DAD1E" w14:textId="77777777" w:rsidR="00441D4A" w:rsidRPr="00441D4A" w:rsidRDefault="00441D4A" w:rsidP="00441D4A">
      <w:pPr>
        <w:rPr>
          <w:b/>
        </w:rPr>
      </w:pPr>
    </w:p>
    <w:p w14:paraId="4A4D5C07" w14:textId="77777777" w:rsidR="00441D4A" w:rsidRDefault="00441D4A" w:rsidP="00441D4A">
      <w:pPr>
        <w:spacing w:line="480" w:lineRule="auto"/>
        <w:jc w:val="both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Based on the results reported in Emilia trial population, current guidelines consider TDM-1 the standard 2</w:t>
      </w:r>
      <w:r>
        <w:rPr>
          <w:sz w:val="24"/>
          <w:szCs w:val="24"/>
          <w:vertAlign w:val="superscript"/>
          <w:lang w:val="en-US"/>
        </w:rPr>
        <w:t>nd</w:t>
      </w:r>
      <w:r>
        <w:rPr>
          <w:sz w:val="24"/>
          <w:szCs w:val="24"/>
          <w:lang w:val="en-US"/>
        </w:rPr>
        <w:t xml:space="preserve"> line therapy for HER2 positive metastatic breast cancer (MBC) patients. Despite that, there are no prospective studies supporting the efficacy of TDM-1 following trastuzumab (T) + pertuzumab (P) and taxane 1</w:t>
      </w:r>
      <w:r>
        <w:rPr>
          <w:sz w:val="24"/>
          <w:szCs w:val="24"/>
          <w:vertAlign w:val="superscript"/>
          <w:lang w:val="en-US"/>
        </w:rPr>
        <w:t>st</w:t>
      </w:r>
      <w:r>
        <w:rPr>
          <w:sz w:val="24"/>
          <w:szCs w:val="24"/>
          <w:lang w:val="en-US"/>
        </w:rPr>
        <w:t xml:space="preserve"> line treatment. Currently, only real-world data have investigated this sequence with controversial results.</w:t>
      </w:r>
    </w:p>
    <w:p w14:paraId="14D0475F" w14:textId="77777777" w:rsidR="00441D4A" w:rsidRDefault="00441D4A" w:rsidP="00441D4A">
      <w:pPr>
        <w:spacing w:line="480" w:lineRule="auto"/>
        <w:jc w:val="both"/>
        <w:rPr>
          <w:b/>
          <w:sz w:val="24"/>
          <w:szCs w:val="24"/>
          <w:lang w:val="en-US"/>
        </w:rPr>
      </w:pPr>
    </w:p>
    <w:p w14:paraId="154EBE4A" w14:textId="77777777" w:rsidR="00441D4A" w:rsidRDefault="00441D4A" w:rsidP="00441D4A">
      <w:pPr>
        <w:spacing w:line="480" w:lineRule="auto"/>
        <w:jc w:val="both"/>
        <w:rPr>
          <w:sz w:val="24"/>
          <w:szCs w:val="24"/>
          <w:lang w:val="en-US"/>
        </w:rPr>
      </w:pPr>
      <w:r>
        <w:rPr>
          <w:b/>
          <w:sz w:val="24"/>
          <w:szCs w:val="24"/>
          <w:lang w:val="en-US"/>
        </w:rPr>
        <w:t>Methods</w:t>
      </w:r>
    </w:p>
    <w:p w14:paraId="08E6C7E5" w14:textId="77777777" w:rsidR="00441D4A" w:rsidRDefault="00441D4A" w:rsidP="00441D4A">
      <w:pPr>
        <w:spacing w:line="480" w:lineRule="auto"/>
        <w:jc w:val="both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We performed a meta-analysis of the available real world data to determine the efficacy of T-DM1 after 1</w:t>
      </w:r>
      <w:r>
        <w:rPr>
          <w:sz w:val="24"/>
          <w:szCs w:val="24"/>
          <w:vertAlign w:val="superscript"/>
          <w:lang w:val="en-US"/>
        </w:rPr>
        <w:t>st</w:t>
      </w:r>
      <w:r>
        <w:rPr>
          <w:sz w:val="24"/>
          <w:szCs w:val="24"/>
          <w:lang w:val="en-US"/>
        </w:rPr>
        <w:t xml:space="preserve"> line TP in HER2 positive MBC patients. We used a random-effect model to find differences in the rate of 1-year progression free survival (PFS) between TP pre-treated population and the phase III Emilia trial (T pre-treated population). </w:t>
      </w:r>
    </w:p>
    <w:p w14:paraId="188F59B6" w14:textId="77777777" w:rsidR="00441D4A" w:rsidRDefault="00441D4A" w:rsidP="00441D4A">
      <w:pPr>
        <w:spacing w:line="480" w:lineRule="auto"/>
        <w:jc w:val="both"/>
        <w:rPr>
          <w:sz w:val="24"/>
          <w:szCs w:val="24"/>
          <w:lang w:val="en-US"/>
        </w:rPr>
      </w:pPr>
    </w:p>
    <w:p w14:paraId="4E715376" w14:textId="77777777" w:rsidR="00441D4A" w:rsidRDefault="00441D4A" w:rsidP="00441D4A">
      <w:pPr>
        <w:spacing w:line="480" w:lineRule="auto"/>
        <w:jc w:val="both"/>
        <w:rPr>
          <w:b/>
          <w:sz w:val="24"/>
          <w:szCs w:val="24"/>
          <w:lang w:val="en-US"/>
        </w:rPr>
      </w:pPr>
      <w:r>
        <w:rPr>
          <w:b/>
          <w:sz w:val="24"/>
          <w:szCs w:val="24"/>
          <w:lang w:val="en-US"/>
        </w:rPr>
        <w:t xml:space="preserve">Results </w:t>
      </w:r>
    </w:p>
    <w:p w14:paraId="6C9BC67B" w14:textId="77777777" w:rsidR="00441D4A" w:rsidRDefault="00441D4A" w:rsidP="00441D4A">
      <w:pPr>
        <w:spacing w:line="480" w:lineRule="auto"/>
        <w:jc w:val="both"/>
        <w:rPr>
          <w:rFonts w:cs="Segoe UI"/>
          <w:color w:val="212121"/>
          <w:sz w:val="24"/>
          <w:szCs w:val="24"/>
          <w:shd w:val="clear" w:color="auto" w:fill="FFFFFF"/>
          <w:lang w:val="en-US"/>
        </w:rPr>
      </w:pPr>
      <w:r>
        <w:rPr>
          <w:rFonts w:cs="Segoe UI"/>
          <w:color w:val="212121"/>
          <w:sz w:val="24"/>
          <w:szCs w:val="24"/>
          <w:shd w:val="clear" w:color="auto" w:fill="FFFFFF"/>
          <w:lang w:val="en-US"/>
        </w:rPr>
        <w:lastRenderedPageBreak/>
        <w:t>Seven studies were eligible, in three of them data were from sub-group population analysis. The meta-analysis showed a combined 1-years PFS risk difference for TDM-1 efficacy after TP in 2</w:t>
      </w:r>
      <w:r>
        <w:rPr>
          <w:rFonts w:cs="Segoe UI"/>
          <w:color w:val="212121"/>
          <w:sz w:val="24"/>
          <w:szCs w:val="24"/>
          <w:shd w:val="clear" w:color="auto" w:fill="FFFFFF"/>
          <w:vertAlign w:val="superscript"/>
          <w:lang w:val="en-US"/>
        </w:rPr>
        <w:t>nd</w:t>
      </w:r>
      <w:r>
        <w:rPr>
          <w:rFonts w:cs="Segoe UI"/>
          <w:color w:val="212121"/>
          <w:sz w:val="24"/>
          <w:szCs w:val="24"/>
          <w:shd w:val="clear" w:color="auto" w:fill="FFFFFF"/>
          <w:lang w:val="en-US"/>
        </w:rPr>
        <w:t xml:space="preserve"> or more lines of -0.122, with lower and upper limits of -0.253 and 0.010, respectively (p=0.07) , with low heterogeneity among studies (I</w:t>
      </w:r>
      <w:r>
        <w:rPr>
          <w:rFonts w:cs="Segoe UI"/>
          <w:color w:val="212121"/>
          <w:sz w:val="24"/>
          <w:szCs w:val="24"/>
          <w:shd w:val="clear" w:color="auto" w:fill="FFFFFF"/>
          <w:vertAlign w:val="superscript"/>
          <w:lang w:val="en-US"/>
        </w:rPr>
        <w:t xml:space="preserve">2 </w:t>
      </w:r>
      <w:r>
        <w:rPr>
          <w:rFonts w:cs="Segoe UI"/>
          <w:color w:val="212121"/>
          <w:sz w:val="24"/>
          <w:szCs w:val="24"/>
          <w:shd w:val="clear" w:color="auto" w:fill="FFFFFF"/>
          <w:lang w:val="en-US"/>
        </w:rPr>
        <w:t>&lt; 0.0001, p =0.836). Considering the four studies on TDM-1 in 2</w:t>
      </w:r>
      <w:r>
        <w:rPr>
          <w:rFonts w:cs="Segoe UI"/>
          <w:color w:val="212121"/>
          <w:sz w:val="24"/>
          <w:szCs w:val="24"/>
          <w:shd w:val="clear" w:color="auto" w:fill="FFFFFF"/>
          <w:vertAlign w:val="superscript"/>
          <w:lang w:val="en-US"/>
        </w:rPr>
        <w:t>nd</w:t>
      </w:r>
      <w:r>
        <w:rPr>
          <w:rFonts w:cs="Segoe UI"/>
          <w:color w:val="212121"/>
          <w:sz w:val="24"/>
          <w:szCs w:val="24"/>
          <w:shd w:val="clear" w:color="auto" w:fill="FFFFFF"/>
          <w:lang w:val="en-US"/>
        </w:rPr>
        <w:t xml:space="preserve"> line setting, 1-years PFS risk was -0.034 (95% CI -0.207 – 0,139; p=0.701) (I</w:t>
      </w:r>
      <w:r>
        <w:rPr>
          <w:rFonts w:cs="Segoe UI"/>
          <w:color w:val="212121"/>
          <w:sz w:val="24"/>
          <w:szCs w:val="24"/>
          <w:shd w:val="clear" w:color="auto" w:fill="FFFFFF"/>
          <w:vertAlign w:val="superscript"/>
          <w:lang w:val="en-US"/>
        </w:rPr>
        <w:t xml:space="preserve">2 </w:t>
      </w:r>
      <w:r>
        <w:rPr>
          <w:rFonts w:cs="Segoe UI"/>
          <w:color w:val="212121"/>
          <w:sz w:val="24"/>
          <w:szCs w:val="24"/>
          <w:shd w:val="clear" w:color="auto" w:fill="FFFFFF"/>
          <w:lang w:val="en-US"/>
        </w:rPr>
        <w:t xml:space="preserve">&lt; 0.0001, p =0.91). </w:t>
      </w:r>
    </w:p>
    <w:p w14:paraId="2F1A5D1D" w14:textId="77777777" w:rsidR="00441D4A" w:rsidRDefault="00441D4A" w:rsidP="00441D4A">
      <w:pPr>
        <w:spacing w:line="480" w:lineRule="auto"/>
        <w:jc w:val="both"/>
        <w:rPr>
          <w:rFonts w:cs="Segoe UI"/>
          <w:b/>
          <w:color w:val="212121"/>
          <w:sz w:val="24"/>
          <w:szCs w:val="24"/>
          <w:shd w:val="clear" w:color="auto" w:fill="FFFFFF"/>
          <w:lang w:val="en-US"/>
        </w:rPr>
      </w:pPr>
    </w:p>
    <w:p w14:paraId="2172E1E7" w14:textId="77777777" w:rsidR="00441D4A" w:rsidRDefault="00441D4A" w:rsidP="00441D4A">
      <w:pPr>
        <w:spacing w:line="480" w:lineRule="auto"/>
        <w:jc w:val="both"/>
        <w:rPr>
          <w:rFonts w:cs="Segoe UI"/>
          <w:b/>
          <w:color w:val="212121"/>
          <w:sz w:val="24"/>
          <w:szCs w:val="24"/>
          <w:shd w:val="clear" w:color="auto" w:fill="FFFFFF"/>
          <w:lang w:val="en-US"/>
        </w:rPr>
      </w:pPr>
      <w:r>
        <w:rPr>
          <w:rFonts w:cs="Segoe UI"/>
          <w:b/>
          <w:color w:val="212121"/>
          <w:sz w:val="24"/>
          <w:szCs w:val="24"/>
          <w:shd w:val="clear" w:color="auto" w:fill="FFFFFF"/>
          <w:lang w:val="en-US"/>
        </w:rPr>
        <w:t>Conclusion</w:t>
      </w:r>
    </w:p>
    <w:p w14:paraId="61724A8B" w14:textId="4F510F84" w:rsidR="00501771" w:rsidRPr="00501771" w:rsidRDefault="00441D4A" w:rsidP="00441D4A">
      <w:pPr>
        <w:spacing w:line="480" w:lineRule="auto"/>
        <w:jc w:val="both"/>
        <w:rPr>
          <w:sz w:val="24"/>
          <w:szCs w:val="24"/>
          <w:lang w:val="en-US"/>
        </w:rPr>
      </w:pPr>
      <w:r>
        <w:rPr>
          <w:rFonts w:cs="Segoe UI"/>
          <w:color w:val="212121"/>
          <w:sz w:val="24"/>
          <w:szCs w:val="24"/>
          <w:shd w:val="clear" w:color="auto" w:fill="FFFFFF"/>
          <w:lang w:val="en-US"/>
        </w:rPr>
        <w:t xml:space="preserve">Results from the meta-analysis show that the efficacy of TDM-1 after </w:t>
      </w:r>
      <w:r>
        <w:rPr>
          <w:sz w:val="24"/>
          <w:szCs w:val="24"/>
          <w:lang w:val="en-US"/>
        </w:rPr>
        <w:t xml:space="preserve">TP </w:t>
      </w:r>
      <w:r>
        <w:rPr>
          <w:rFonts w:cs="Segoe UI"/>
          <w:color w:val="212121"/>
          <w:sz w:val="24"/>
          <w:szCs w:val="24"/>
          <w:shd w:val="clear" w:color="auto" w:fill="FFFFFF"/>
          <w:lang w:val="en-US"/>
        </w:rPr>
        <w:t>double-block seems to be similar to the previously reported in Emilia trial. In the second line setting, available data are not mature enough to confirm TDM-1 efficacy in TP pre-treated population. Currently, TP pretreated patients should receive T-DM1 as indicated in the guidelines.</w:t>
      </w:r>
    </w:p>
    <w:sectPr w:rsidR="00501771" w:rsidRPr="0050177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45C4EE6"/>
    <w:multiLevelType w:val="hybridMultilevel"/>
    <w:tmpl w:val="3D567CDC"/>
    <w:lvl w:ilvl="0" w:tplc="62049A2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57EC49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85ED4F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DC010D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C629C7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632E22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258B86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37009B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30804A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3ED8"/>
    <w:rsid w:val="001611CA"/>
    <w:rsid w:val="00180499"/>
    <w:rsid w:val="00187263"/>
    <w:rsid w:val="001A769B"/>
    <w:rsid w:val="001E7BC2"/>
    <w:rsid w:val="0020194B"/>
    <w:rsid w:val="00300853"/>
    <w:rsid w:val="00376BA2"/>
    <w:rsid w:val="003D7FDD"/>
    <w:rsid w:val="00441D4A"/>
    <w:rsid w:val="00501771"/>
    <w:rsid w:val="006A3DA4"/>
    <w:rsid w:val="00731AD1"/>
    <w:rsid w:val="00733ED8"/>
    <w:rsid w:val="0073681C"/>
    <w:rsid w:val="00814B7C"/>
    <w:rsid w:val="00826711"/>
    <w:rsid w:val="008516B9"/>
    <w:rsid w:val="00900188"/>
    <w:rsid w:val="009118ED"/>
    <w:rsid w:val="00956DED"/>
    <w:rsid w:val="00975FE7"/>
    <w:rsid w:val="00A31F29"/>
    <w:rsid w:val="00AC134D"/>
    <w:rsid w:val="00B313BF"/>
    <w:rsid w:val="00B6104F"/>
    <w:rsid w:val="00BE1946"/>
    <w:rsid w:val="00C130A2"/>
    <w:rsid w:val="00D14288"/>
    <w:rsid w:val="00D34A18"/>
    <w:rsid w:val="00D562F1"/>
    <w:rsid w:val="00DB30C5"/>
    <w:rsid w:val="00DE66D2"/>
    <w:rsid w:val="00DF4D14"/>
    <w:rsid w:val="00F31B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46F0DE"/>
  <w15:chartTrackingRefBased/>
  <w15:docId w15:val="{7998D979-A42D-4B8B-87E4-CBA4654972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441D4A"/>
    <w:pPr>
      <w:spacing w:line="25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commento">
    <w:name w:val="annotation reference"/>
    <w:basedOn w:val="Carpredefinitoparagrafo"/>
    <w:uiPriority w:val="99"/>
    <w:semiHidden/>
    <w:unhideWhenUsed/>
    <w:rsid w:val="00BE194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BE1946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BE1946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E1946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E1946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E19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E194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424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807550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028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90448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2366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49445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40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67D372-0FD4-4D7F-AADB-02BC32E031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289</Words>
  <Characters>1651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provaxp</dc:creator>
  <cp:keywords/>
  <dc:description/>
  <cp:lastModifiedBy>provaxp</cp:lastModifiedBy>
  <cp:revision>2</cp:revision>
  <dcterms:created xsi:type="dcterms:W3CDTF">2021-02-11T16:39:00Z</dcterms:created>
  <dcterms:modified xsi:type="dcterms:W3CDTF">2021-02-11T16:39:00Z</dcterms:modified>
</cp:coreProperties>
</file>