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pPr>
      <w:r>
        <mc:AlternateContent>
          <mc:Choice Requires="wps">
            <w:drawing>
              <wp:anchor behindDoc="0" distT="0" distB="0" distL="0" distR="0" simplePos="0" locked="0" layoutInCell="1" allowOverlap="1" relativeHeight="2">
                <wp:simplePos x="0" y="0"/>
                <wp:positionH relativeFrom="column">
                  <wp:posOffset>0</wp:posOffset>
                </wp:positionH>
                <wp:positionV relativeFrom="paragraph">
                  <wp:posOffset>153035</wp:posOffset>
                </wp:positionV>
                <wp:extent cx="4171950" cy="2540"/>
                <wp:effectExtent l="0" t="0" r="0" b="0"/>
                <wp:wrapNone/>
                <wp:docPr id="1" name="Immagine1"/>
                <a:graphic xmlns:a="http://schemas.openxmlformats.org/drawingml/2006/main">
                  <a:graphicData uri="http://schemas.microsoft.com/office/word/2010/wordprocessingShape">
                    <wps:wsp>
                      <wps:cNvSpPr/>
                      <wps:spPr>
                        <a:xfrm flipV="1">
                          <a:off x="0" y="0"/>
                          <a:ext cx="4171320" cy="720"/>
                        </a:xfrm>
                        <a:prstGeom prst="line">
                          <a:avLst/>
                        </a:prstGeom>
                        <a:ln w="22320">
                          <a:solidFill>
                            <a:srgbClr val="d4d4d4"/>
                          </a:solidFill>
                          <a:round/>
                        </a:ln>
                      </wps:spPr>
                      <wps:style>
                        <a:lnRef idx="0"/>
                        <a:fillRef idx="0"/>
                        <a:effectRef idx="0"/>
                        <a:fontRef idx="minor"/>
                      </wps:style>
                      <wps:bodyPr/>
                    </wps:wsp>
                  </a:graphicData>
                </a:graphic>
              </wp:anchor>
            </w:drawing>
          </mc:Choice>
          <mc:Fallback>
            <w:pict>
              <v:line id="shape_0" from="0pt,12.05pt" to="328.4pt,12.05pt" ID="Immagine1" stroked="t" style="position:absolute;flip:y">
                <v:stroke color="#d4d4d4" weight="22320" joinstyle="round" endcap="flat"/>
                <v:fill o:detectmouseclick="t" on="false"/>
              </v:line>
            </w:pict>
          </mc:Fallback>
        </mc:AlternateContent>
      </w:r>
      <w:r>
        <w:rPr>
          <w:rFonts w:ascii="Times New Roman" w:hAnsi="Times New Roman"/>
          <w:sz w:val="24"/>
        </w:rPr>
        <w:t xml:space="preserve">FRI0085 (2020) </w:t>
      </w:r>
    </w:p>
    <w:p>
      <w:pPr>
        <w:pStyle w:val="Normal"/>
        <w:ind w:left="0" w:hanging="0"/>
        <w:rPr/>
      </w:pPr>
      <w:r>
        <w:rPr>
          <w:rFonts w:ascii="Times New Roman" w:hAnsi="Times New Roman"/>
          <w:sz w:val="24"/>
        </w:rPr>
        <w:t xml:space="preserve">RETENTION RATE OF ADALIMUMAB AND ABP 501 IN THE TREATMENT OF A LARGE COHORT OF PATIENTS WITH INFLAMMATORY ARTHRITIS: A REAL LIFE RETROSPECTIVE ANALYSIS </w:t>
      </w:r>
    </w:p>
    <w:p>
      <w:pPr>
        <w:pStyle w:val="Normal"/>
        <w:ind w:left="0" w:hanging="0"/>
        <w:rPr/>
      </w:pPr>
      <w:r>
        <w:rPr>
          <w:rFonts w:ascii="Times New Roman" w:hAnsi="Times New Roman"/>
          <w:sz w:val="24"/>
          <w:u w:val="single"/>
        </w:rPr>
        <w:t>A. Becciolini</w:t>
      </w:r>
      <w:r>
        <w:rPr>
          <w:rFonts w:ascii="Times New Roman" w:hAnsi="Times New Roman"/>
          <w:b/>
          <w:sz w:val="24"/>
        </w:rPr>
        <w:t xml:space="preserve">Background: </w:t>
      </w:r>
      <w:r>
        <w:rPr>
          <w:rFonts w:ascii="Times New Roman" w:hAnsi="Times New Roman"/>
          <w:sz w:val="24"/>
        </w:rPr>
        <w:t xml:space="preserve">The recent introduction of ABP 501, an adalimumab biosimilar, in treatment of rheumatic diseases was supported by a comprehensive comparability exercise with its originator. On the other hand observational studies comparing adalimumab and ABP 501 in inflammatory arthritis are still lacking. </w:t>
      </w:r>
    </w:p>
    <w:p>
      <w:pPr>
        <w:pStyle w:val="Normal"/>
        <w:ind w:left="0" w:hanging="0"/>
        <w:rPr/>
      </w:pPr>
      <w:r>
        <w:rPr>
          <w:rFonts w:ascii="Times New Roman" w:hAnsi="Times New Roman"/>
          <w:b/>
          <w:sz w:val="24"/>
        </w:rPr>
        <w:t xml:space="preserve">Objectives: </w:t>
      </w:r>
      <w:r>
        <w:rPr>
          <w:rFonts w:ascii="Times New Roman" w:hAnsi="Times New Roman"/>
          <w:sz w:val="24"/>
        </w:rPr>
        <w:t xml:space="preserve">To compare the clinical outcomes of the treatment with adalimumab, both originator and biosimilar, in a large cohort of patients affected by autoimmune arthritis in a real life setting. </w:t>
      </w:r>
    </w:p>
    <w:p>
      <w:pPr>
        <w:pStyle w:val="Normal"/>
        <w:ind w:left="0" w:hanging="0"/>
        <w:rPr/>
      </w:pPr>
      <w:r>
        <w:rPr>
          <w:rFonts w:ascii="Times New Roman" w:hAnsi="Times New Roman"/>
          <w:b/>
          <w:sz w:val="24"/>
        </w:rPr>
        <w:t xml:space="preserve">Methods: </w:t>
      </w:r>
      <w:r>
        <w:rPr>
          <w:rFonts w:ascii="Times New Roman" w:hAnsi="Times New Roman"/>
          <w:sz w:val="24"/>
        </w:rPr>
        <w:t xml:space="preserve">We retrospectively analysed the baseline characteristics and the retention rate in a cohort of patients who received at least a course of adalimumab (originator or biosimilar ABP 501) in eight Rheumatology Units from January 2003 to January 2020. We stratified the study population according to biosimilar use. Descriptive data are presented by medians (interquartile range [IQR]) for continuous data or as numbers (percentages) for categorical data. Drug survival distribution curves were computed by the Kaplan-Meier method and compared by a stratified log-rank test. P values ≤0.05 were considered statistically significant. </w:t>
      </w:r>
    </w:p>
    <w:p>
      <w:pPr>
        <w:pStyle w:val="Normal"/>
        <w:ind w:left="0" w:hanging="0"/>
        <w:rPr/>
      </w:pPr>
      <w:r>
        <w:rPr>
          <w:rFonts w:ascii="Times New Roman" w:hAnsi="Times New Roman"/>
          <w:b/>
          <w:sz w:val="24"/>
        </w:rPr>
        <w:t xml:space="preserve">Results: </w:t>
      </w:r>
      <w:r>
        <w:rPr>
          <w:rFonts w:ascii="Times New Roman" w:hAnsi="Times New Roman"/>
          <w:sz w:val="24"/>
        </w:rPr>
        <w:t xml:space="preserve">764 patients (53.4% female, median age 55 [44-65] years, median disease duration 60 [25-149] months) treated with adalimumab were included in the analysis. 308 (40.3%) were affect by rheumatoid arthritis, 244 (31.9%) by psoriatic arthritis, and 212 (27.7%) by axial spondylarthritis. 558 (73%) were treated with adalimumab originator and 206 (27%) with ABP 501. Among the biosimilars 60 (29.1%) patients were naïve to adalimumab treatment. The overall 6-month retentions rate was 93.1%. The 6-month retention rate for adalimumab and ABP 501 were 93.3% and 91.2% respectively, without significant differences between the groups (p=0.541). Patients switching from originator to biosimilar showed and overall higher treatment survival when compared to naive (6-month retention rate 95% vs 90-4%), although it was not significant (p=0.179). </w:t>
      </w:r>
    </w:p>
    <w:p>
      <w:pPr>
        <w:pStyle w:val="Normal"/>
        <w:ind w:left="0" w:hanging="0"/>
        <w:rPr/>
      </w:pPr>
      <w:r>
        <w:rPr>
          <w:rFonts w:ascii="Times New Roman" w:hAnsi="Times New Roman"/>
          <w:b/>
          <w:sz w:val="24"/>
        </w:rPr>
        <w:t xml:space="preserve">Conclusion: </w:t>
      </w:r>
      <w:r>
        <w:rPr>
          <w:rFonts w:ascii="Times New Roman" w:hAnsi="Times New Roman"/>
          <w:sz w:val="24"/>
        </w:rPr>
        <w:t xml:space="preserve">In our retrospective study adalimumab originator and its biosimilar ABP 501 showed the same effectiveness. Patients switching from originator to biosimilar showed an higher retention rate when compared to naive. </w:t>
      </w:r>
    </w:p>
    <w:p>
      <w:pPr>
        <w:pStyle w:val="Normal"/>
        <w:ind w:left="0" w:hanging="0"/>
        <w:rPr/>
      </w:pPr>
      <w:r>
        <w:rPr>
          <w:rFonts w:ascii="Times New Roman" w:hAnsi="Times New Roman"/>
          <w:b/>
          <w:sz w:val="24"/>
        </w:rPr>
        <w:t xml:space="preserve">Disclosure of Interests: </w:t>
      </w:r>
      <w:r>
        <w:rPr>
          <w:rFonts w:ascii="Times New Roman" w:hAnsi="Times New Roman"/>
          <w:sz w:val="24"/>
        </w:rPr>
        <w:t xml:space="preserve">Andrea Becciolini Speakers bureau: Sanofi-Genzyme, UCB and AbbVie, rosalba caccavale: None declared, Simone Parisi: None declared, Salvatore Giordano: None declared, Elena Bravi: None declared, eleonora Di Donato: None declared, Federica Lumetti: None declared, Romina Andracco: None declared, Maria Chiara Ditto: None declared, Daniele Santilli: None declared, Gianluca Lucchini: None declared, Alessandro Volpe: None declared, Antonio Marchetta: None declared, Flavio Mozzani: None declared, Gilda Sandri: None declared, Francesco Girelli: None declared, eugenio arrigoni: None declared, Enrico Fusaro: None declared, marino paroli: None declared, Alarico Ariani: None declared </w:t>
      </w:r>
    </w:p>
    <w:p>
      <w:pPr>
        <w:pStyle w:val="Normal"/>
        <w:rPr>
          <w:rFonts w:ascii="Times New Roman" w:hAnsi="Times New Roman"/>
          <w:sz w:val="24"/>
        </w:rPr>
      </w:pPr>
      <w:r>
        <w:rPr>
          <w:rFonts w:ascii="Times New Roman" w:hAnsi="Times New Roman"/>
          <w:sz w:val="24"/>
        </w:rPr>
      </w:r>
    </w:p>
    <w:p>
      <w:pPr>
        <w:pStyle w:val="Normal"/>
        <w:ind w:left="0" w:hanging="0"/>
        <w:rPr/>
      </w:pPr>
      <w:r>
        <w:rPr>
          <w:rFonts w:ascii="Times New Roman" w:hAnsi="Times New Roman"/>
          <w:b/>
          <w:sz w:val="24"/>
        </w:rPr>
        <w:t>Citation:</w:t>
      </w:r>
      <w:r>
        <w:rPr>
          <w:rFonts w:ascii="Times New Roman" w:hAnsi="Times New Roman"/>
          <w:sz w:val="24"/>
        </w:rPr>
        <w:t xml:space="preserve"> Ann Rheum Dis, volume 79, supplement 1, year 2020, page 616 </w:t>
      </w:r>
    </w:p>
    <w:p>
      <w:pPr>
        <w:pStyle w:val="Normal"/>
        <w:ind w:left="0" w:hanging="0"/>
        <w:rPr/>
      </w:pPr>
      <w:r>
        <w:rPr>
          <w:rFonts w:ascii="Times New Roman" w:hAnsi="Times New Roman"/>
          <w:sz w:val="24"/>
        </w:rPr>
        <w:t xml:space="preserve">Session: Rheumatoid arthritis - biological DMARDs (Poster Presentations) </w:t>
      </w:r>
    </w:p>
    <w:p>
      <w:pPr>
        <w:pStyle w:val="Normal"/>
        <w:rPr/>
      </w:pPr>
      <w:r>
        <w:rPr/>
      </w:r>
    </w:p>
    <w:sectPr>
      <w:type w:val="nextPage"/>
      <w:pgSz w:w="11906" w:h="16838"/>
      <w:pgMar w:left="1134" w:right="1134" w:header="0" w:top="1134" w:footer="0" w:bottom="1134" w:gutter="0"/>
      <w:pgNumType w:fmt="decimal"/>
      <w:formProt w:val="false"/>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ourier New">
    <w:charset w:val="00"/>
    <w:family w:val="roman"/>
    <w:pitch w:val="variable"/>
  </w:font>
  <w:font w:name="Liberation Sans">
    <w:altName w:val="Arial"/>
    <w:charset w:val="00"/>
    <w:family w:val="roman"/>
    <w:pitch w:val="variable"/>
  </w:font>
  <w:font w:name="Arial">
    <w:charset w:val="00"/>
    <w:family w:val="roman"/>
    <w:pitch w:val="variable"/>
  </w:font>
</w:fonts>
</file>

<file path=word/settings.xml><?xml version="1.0" encoding="utf-8"?>
<w:settings xmlns:w="http://schemas.openxmlformats.org/wordprocessingml/2006/main">
  <w:zoom w:percent="100"/>
  <w:defaultTabStop w:val="72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Cs w:val="24"/>
        <w:lang w:val="it-IT" w:eastAsia="zh-CN" w:bidi="hi-IN"/>
      </w:rPr>
    </w:rPrDefault>
    <w:pPrDefault>
      <w:pPr/>
    </w:pPrDefault>
  </w:docDefaults>
  <w:style w:type="paragraph" w:styleId="Normal">
    <w:name w:val="Normal"/>
    <w:qFormat/>
    <w:pPr>
      <w:widowControl/>
      <w:bidi w:val="0"/>
      <w:jc w:val="left"/>
    </w:pPr>
    <w:rPr>
      <w:rFonts w:ascii="Liberation Serif" w:hAnsi="Liberation Serif" w:eastAsia="NSimSun" w:cs="Arial"/>
      <w:color w:val="auto"/>
      <w:kern w:val="2"/>
      <w:sz w:val="24"/>
      <w:szCs w:val="24"/>
      <w:lang w:val="it-IT" w:eastAsia="zh-CN" w:bidi="hi-IN"/>
    </w:rPr>
  </w:style>
  <w:style w:type="character" w:styleId="CITE">
    <w:name w:val="CITE"/>
    <w:qFormat/>
    <w:rPr>
      <w:i/>
    </w:rPr>
  </w:style>
  <w:style w:type="character" w:styleId="CODE">
    <w:name w:val="CODE"/>
    <w:qFormat/>
    <w:rPr>
      <w:rFonts w:ascii="Courier New" w:hAnsi="Courier New"/>
      <w:sz w:val="20"/>
    </w:rPr>
  </w:style>
  <w:style w:type="character" w:styleId="FollowedHyperlink">
    <w:name w:val="FollowedHyperlink"/>
    <w:qFormat/>
    <w:rPr>
      <w:color w:val="800080"/>
      <w:u w:val="single"/>
    </w:rPr>
  </w:style>
  <w:style w:type="character" w:styleId="Keyboard">
    <w:name w:val="Keyboard"/>
    <w:qFormat/>
    <w:rPr>
      <w:rFonts w:ascii="Courier New" w:hAnsi="Courier New"/>
      <w:b/>
      <w:sz w:val="20"/>
    </w:rPr>
  </w:style>
  <w:style w:type="character" w:styleId="Sample">
    <w:name w:val="Sample"/>
    <w:qFormat/>
    <w:rPr>
      <w:rFonts w:ascii="Courier New" w:hAnsi="Courier New"/>
    </w:rPr>
  </w:style>
  <w:style w:type="character" w:styleId="Strong">
    <w:name w:val="Strong"/>
    <w:qFormat/>
    <w:rPr>
      <w:b/>
    </w:rPr>
  </w:style>
  <w:style w:type="character" w:styleId="Typewriter">
    <w:name w:val="Typewriter"/>
    <w:qFormat/>
    <w:rPr>
      <w:rFonts w:ascii="Courier New" w:hAnsi="Courier New"/>
      <w:sz w:val="20"/>
    </w:rPr>
  </w:style>
  <w:style w:type="character" w:styleId="HTMLMarkup">
    <w:name w:val="HTML Markup"/>
    <w:qFormat/>
    <w:rPr>
      <w:vanish/>
      <w:color w:val="FF0000"/>
    </w:rPr>
  </w:style>
  <w:style w:type="character" w:styleId="Comment">
    <w:name w:val="Comment"/>
    <w:qFormat/>
    <w:rPr>
      <w:vanish/>
    </w:rPr>
  </w:style>
  <w:style w:type="paragraph" w:styleId="Titolo">
    <w:name w:val="Titolo"/>
    <w:basedOn w:val="Normal"/>
    <w:next w:val="Corpodeltesto"/>
    <w:qFormat/>
    <w:pPr>
      <w:keepNext w:val="true"/>
      <w:spacing w:before="240" w:after="120"/>
    </w:pPr>
    <w:rPr>
      <w:rFonts w:ascii="Liberation Sans" w:hAnsi="Liberation Sans" w:eastAsia="Microsoft YaHei" w:cs="Arial"/>
      <w:sz w:val="28"/>
      <w:szCs w:val="28"/>
    </w:rPr>
  </w:style>
  <w:style w:type="paragraph" w:styleId="Corpodeltesto">
    <w:name w:val="Body Text"/>
    <w:basedOn w:val="Normal"/>
    <w:pPr>
      <w:spacing w:lineRule="auto" w:line="276" w:before="0" w:after="140"/>
    </w:pPr>
    <w:rPr/>
  </w:style>
  <w:style w:type="paragraph" w:styleId="Elenco">
    <w:name w:val="List"/>
    <w:basedOn w:val="Corpodeltesto"/>
    <w:pPr/>
    <w:rPr>
      <w:rFonts w:cs="Arial"/>
    </w:rPr>
  </w:style>
  <w:style w:type="paragraph" w:styleId="Didascalia">
    <w:name w:val="Caption"/>
    <w:basedOn w:val="Normal"/>
    <w:qFormat/>
    <w:pPr>
      <w:suppressLineNumbers/>
      <w:spacing w:before="120" w:after="120"/>
    </w:pPr>
    <w:rPr>
      <w:rFonts w:cs="Arial"/>
      <w:i/>
      <w:iCs/>
      <w:sz w:val="24"/>
      <w:szCs w:val="24"/>
    </w:rPr>
  </w:style>
  <w:style w:type="paragraph" w:styleId="Indice">
    <w:name w:val="Indice"/>
    <w:basedOn w:val="Normal"/>
    <w:qFormat/>
    <w:pPr>
      <w:suppressLineNumbers/>
    </w:pPr>
    <w:rPr>
      <w:rFonts w:cs="Arial"/>
    </w:rPr>
  </w:style>
  <w:style w:type="paragraph" w:styleId="DefinitionTerm">
    <w:name w:val="Definition Term"/>
    <w:basedOn w:val="Normal"/>
    <w:qFormat/>
    <w:pPr/>
    <w:rPr/>
  </w:style>
  <w:style w:type="paragraph" w:styleId="DefinitionList">
    <w:name w:val="Definition List"/>
    <w:basedOn w:val="Normal"/>
    <w:qFormat/>
    <w:pPr>
      <w:ind w:left="360" w:hanging="0"/>
    </w:pPr>
    <w:rPr/>
  </w:style>
  <w:style w:type="paragraph" w:styleId="H1">
    <w:name w:val="H1"/>
    <w:basedOn w:val="Normal"/>
    <w:qFormat/>
    <w:pPr>
      <w:keepNext w:val="true"/>
      <w:spacing w:before="100" w:after="100"/>
      <w:outlineLvl w:val="1"/>
    </w:pPr>
    <w:rPr>
      <w:b/>
      <w:kern w:val="2"/>
      <w:sz w:val="48"/>
    </w:rPr>
  </w:style>
  <w:style w:type="paragraph" w:styleId="H2">
    <w:name w:val="H2"/>
    <w:basedOn w:val="Normal"/>
    <w:qFormat/>
    <w:pPr>
      <w:keepNext w:val="true"/>
      <w:spacing w:before="100" w:after="100"/>
      <w:outlineLvl w:val="2"/>
    </w:pPr>
    <w:rPr>
      <w:b/>
      <w:sz w:val="36"/>
    </w:rPr>
  </w:style>
  <w:style w:type="paragraph" w:styleId="H3">
    <w:name w:val="H3"/>
    <w:basedOn w:val="Normal"/>
    <w:qFormat/>
    <w:pPr>
      <w:keepNext w:val="true"/>
      <w:spacing w:before="100" w:after="100"/>
      <w:outlineLvl w:val="3"/>
    </w:pPr>
    <w:rPr>
      <w:b/>
      <w:sz w:val="28"/>
    </w:rPr>
  </w:style>
  <w:style w:type="paragraph" w:styleId="H4">
    <w:name w:val="H4"/>
    <w:basedOn w:val="Normal"/>
    <w:qFormat/>
    <w:pPr>
      <w:keepNext w:val="true"/>
      <w:spacing w:before="100" w:after="100"/>
      <w:outlineLvl w:val="4"/>
    </w:pPr>
    <w:rPr>
      <w:b/>
      <w:sz w:val="24"/>
    </w:rPr>
  </w:style>
  <w:style w:type="paragraph" w:styleId="H5">
    <w:name w:val="H5"/>
    <w:basedOn w:val="Normal"/>
    <w:qFormat/>
    <w:pPr>
      <w:keepNext w:val="true"/>
      <w:spacing w:before="100" w:after="100"/>
      <w:outlineLvl w:val="5"/>
    </w:pPr>
    <w:rPr>
      <w:b/>
      <w:sz w:val="20"/>
    </w:rPr>
  </w:style>
  <w:style w:type="paragraph" w:styleId="H6">
    <w:name w:val="H6"/>
    <w:basedOn w:val="Normal"/>
    <w:qFormat/>
    <w:pPr>
      <w:keepNext w:val="true"/>
      <w:spacing w:before="100" w:after="100"/>
      <w:outlineLvl w:val="6"/>
    </w:pPr>
    <w:rPr>
      <w:b/>
      <w:sz w:val="16"/>
    </w:rPr>
  </w:style>
  <w:style w:type="paragraph" w:styleId="Address">
    <w:name w:val="Address"/>
    <w:basedOn w:val="Normal"/>
    <w:qFormat/>
    <w:pPr/>
    <w:rPr>
      <w:i/>
    </w:rPr>
  </w:style>
  <w:style w:type="paragraph" w:styleId="Blockquote">
    <w:name w:val="Blockquote"/>
    <w:basedOn w:val="Normal"/>
    <w:qFormat/>
    <w:pPr>
      <w:spacing w:before="100" w:after="100"/>
      <w:ind w:left="360" w:right="360" w:hanging="0"/>
    </w:pPr>
    <w:rPr/>
  </w:style>
  <w:style w:type="paragraph" w:styleId="Preformatted">
    <w:name w:val="Preformatted"/>
    <w:basedOn w:val="Normal"/>
    <w:qFormat/>
    <w:pPr>
      <w:tabs>
        <w:tab w:val="clear" w:pos="720"/>
        <w:tab w:val="left" w:pos="0" w:leader="none"/>
        <w:tab w:val="left" w:pos="959" w:leader="none"/>
        <w:tab w:val="left" w:pos="1918" w:leader="none"/>
        <w:tab w:val="left" w:pos="2877" w:leader="none"/>
        <w:tab w:val="left" w:pos="3836" w:leader="none"/>
        <w:tab w:val="left" w:pos="4795" w:leader="none"/>
        <w:tab w:val="left" w:pos="5754" w:leader="none"/>
        <w:tab w:val="left" w:pos="6713" w:leader="none"/>
        <w:tab w:val="left" w:pos="7672" w:leader="none"/>
        <w:tab w:val="left" w:pos="8631" w:leader="none"/>
        <w:tab w:val="left" w:pos="9590" w:leader="none"/>
      </w:tabs>
      <w:spacing w:before="0" w:after="0"/>
    </w:pPr>
    <w:rPr>
      <w:rFonts w:ascii="Courier New" w:hAnsi="Courier New"/>
      <w:sz w:val="20"/>
    </w:rPr>
  </w:style>
  <w:style w:type="paragraph" w:styleId="ZBottomofForm">
    <w:name w:val="z-Bottom of Form"/>
    <w:qFormat/>
    <w:pPr>
      <w:widowControl/>
      <w:pBdr>
        <w:top w:val="double" w:sz="2" w:space="0" w:color="000000"/>
      </w:pBdr>
      <w:bidi w:val="0"/>
      <w:jc w:val="center"/>
    </w:pPr>
    <w:rPr>
      <w:rFonts w:ascii="Arial" w:hAnsi="Arial" w:eastAsia="Arial" w:cs="Courier New"/>
      <w:vanish/>
      <w:color w:val="auto"/>
      <w:kern w:val="2"/>
      <w:sz w:val="16"/>
      <w:szCs w:val="24"/>
      <w:lang w:val="it-IT" w:eastAsia="zh-CN" w:bidi="hi-IN"/>
    </w:rPr>
  </w:style>
  <w:style w:type="paragraph" w:styleId="ZTopofForm">
    <w:name w:val="z-Top of Form"/>
    <w:qFormat/>
    <w:pPr>
      <w:widowControl/>
      <w:pBdr>
        <w:bottom w:val="double" w:sz="2" w:space="0" w:color="000000"/>
      </w:pBdr>
      <w:bidi w:val="0"/>
      <w:jc w:val="center"/>
    </w:pPr>
    <w:rPr>
      <w:rFonts w:ascii="Arial" w:hAnsi="Arial" w:eastAsia="Arial" w:cs="Courier New"/>
      <w:vanish/>
      <w:color w:val="auto"/>
      <w:kern w:val="2"/>
      <w:sz w:val="16"/>
      <w:szCs w:val="24"/>
      <w:lang w:val="it-IT" w:eastAsia="zh-CN" w:bidi="hi-IN"/>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1</TotalTime>
  <Application>LibreOffice/6.2.7.1$Windows_X86_64 LibreOffice_project/23edc44b61b830b7d749943e020e96f5a7df63bf</Application>
  <Pages>1</Pages>
  <Words>452</Words>
  <Characters>2785</Characters>
  <CharactersWithSpaces>3237</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2020-07-30T12:52:20Z</dcterms:created>
  <dc:creator/>
  <dc:description/>
  <dc:language>it-IT</dc:language>
  <cp:lastModifiedBy/>
  <dcterms:modified xsi:type="dcterms:W3CDTF">2020-07-30T12:53:34Z</dcterms:modified>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Encoding">
    <vt:lpwstr>utf-8</vt:lpwstr>
  </property>
  <property fmtid="{D5CDD505-2E9C-101B-9397-08002B2CF9AE}" pid="3" name="HTML">
    <vt:bool>1</vt:bool>
  </property>
</Properties>
</file>