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pPr>
      <w:r>
        <mc:AlternateContent>
          <mc:Choice Requires="wps">
            <w:drawing>
              <wp:anchor behindDoc="0" distT="0" distB="0" distL="0" distR="0" simplePos="0" locked="0" layoutInCell="1" allowOverlap="1" relativeHeight="2">
                <wp:simplePos x="0" y="0"/>
                <wp:positionH relativeFrom="column">
                  <wp:posOffset>0</wp:posOffset>
                </wp:positionH>
                <wp:positionV relativeFrom="paragraph">
                  <wp:posOffset>153035</wp:posOffset>
                </wp:positionV>
                <wp:extent cx="4171950" cy="2540"/>
                <wp:effectExtent l="0" t="0" r="0" b="0"/>
                <wp:wrapNone/>
                <wp:docPr id="1" name="Immagine1"/>
                <a:graphic xmlns:a="http://schemas.openxmlformats.org/drawingml/2006/main">
                  <a:graphicData uri="http://schemas.microsoft.com/office/word/2010/wordprocessingShape">
                    <wps:wsp>
                      <wps:cNvSpPr/>
                      <wps:spPr>
                        <a:xfrm flipV="1">
                          <a:off x="0" y="0"/>
                          <a:ext cx="4171320" cy="720"/>
                        </a:xfrm>
                        <a:prstGeom prst="line">
                          <a:avLst/>
                        </a:prstGeom>
                        <a:ln w="22320">
                          <a:solidFill>
                            <a:srgbClr val="d4d4d4"/>
                          </a:solidFill>
                          <a:round/>
                        </a:ln>
                      </wps:spPr>
                      <wps:style>
                        <a:lnRef idx="0"/>
                        <a:fillRef idx="0"/>
                        <a:effectRef idx="0"/>
                        <a:fontRef idx="minor"/>
                      </wps:style>
                      <wps:bodyPr/>
                    </wps:wsp>
                  </a:graphicData>
                </a:graphic>
              </wp:anchor>
            </w:drawing>
          </mc:Choice>
          <mc:Fallback>
            <w:pict>
              <v:line id="shape_0" from="0pt,12.05pt" to="328.4pt,12.05pt" ID="Immagine1" stroked="t" style="position:absolute;flip:y">
                <v:stroke color="#d4d4d4" weight="22320" joinstyle="round" endcap="flat"/>
                <v:fill o:detectmouseclick="t" on="false"/>
              </v:line>
            </w:pict>
          </mc:Fallback>
        </mc:AlternateContent>
      </w:r>
      <w:r>
        <w:rPr>
          <w:rFonts w:ascii="Times New Roman" w:hAnsi="Times New Roman"/>
          <w:sz w:val="24"/>
        </w:rPr>
        <w:t xml:space="preserve">AB0525 (2020) </w:t>
      </w:r>
    </w:p>
    <w:p>
      <w:pPr>
        <w:pStyle w:val="Normal"/>
        <w:ind w:left="0" w:hanging="0"/>
        <w:rPr/>
      </w:pPr>
      <w:r>
        <w:rPr>
          <w:rFonts w:ascii="Times New Roman" w:hAnsi="Times New Roman"/>
          <w:sz w:val="24"/>
        </w:rPr>
        <w:t xml:space="preserve">NATURAL HISTORY OF CRYOGLOBULINEMIA FROM 2000 TO 2018 FROM THE LABORATORY POINT OF VIEW: AN ANALYSIS OF CRYOGLOBULIN CHARACTERISTICS IN A SINGLE CENTER. </w:t>
      </w:r>
    </w:p>
    <w:p>
      <w:pPr>
        <w:pStyle w:val="Normal"/>
        <w:ind w:left="0" w:hanging="0"/>
        <w:rPr/>
      </w:pPr>
      <w:r>
        <w:rPr>
          <w:rFonts w:ascii="Times New Roman" w:hAnsi="Times New Roman"/>
          <w:sz w:val="24"/>
          <w:u w:val="single"/>
        </w:rPr>
        <w:t>G. Sandri</w:t>
      </w:r>
      <w:r>
        <w:rPr>
          <w:rFonts w:ascii="Times New Roman" w:hAnsi="Times New Roman"/>
          <w:b/>
          <w:sz w:val="24"/>
        </w:rPr>
        <w:t xml:space="preserve">Background: </w:t>
      </w:r>
      <w:r>
        <w:rPr>
          <w:rFonts w:ascii="Times New Roman" w:hAnsi="Times New Roman"/>
          <w:sz w:val="24"/>
        </w:rPr>
        <w:t xml:space="preserve">Big data refers to large amounts of information. With today’s ever-improving technologies created by the automation and digitization, it becomes easier to convert data into relevant information, which can be used to provide better patient management, especially when it occurs a rare condition such as cryoglobulinemia (CRG). </w:t>
      </w:r>
    </w:p>
    <w:p>
      <w:pPr>
        <w:pStyle w:val="Normal"/>
        <w:ind w:left="0" w:hanging="0"/>
        <w:rPr/>
      </w:pPr>
      <w:r>
        <w:rPr>
          <w:rFonts w:ascii="Times New Roman" w:hAnsi="Times New Roman"/>
          <w:sz w:val="24"/>
        </w:rPr>
        <w:t xml:space="preserve">CRG is due to an immunoglobulins (Ig) that precipitate at low temperatures. There are 3 types of CRG: type I: monoclonal Ig; type II: monoclonal Ig + polyclonal Ig; type III: 2 polyclonal Ig. </w:t>
      </w:r>
    </w:p>
    <w:p>
      <w:pPr>
        <w:pStyle w:val="Normal"/>
        <w:ind w:left="0" w:hanging="0"/>
        <w:rPr/>
      </w:pPr>
      <w:r>
        <w:rPr>
          <w:rFonts w:ascii="Times New Roman" w:hAnsi="Times New Roman"/>
          <w:b/>
          <w:sz w:val="24"/>
        </w:rPr>
        <w:t xml:space="preserve">Objectives: </w:t>
      </w:r>
      <w:r>
        <w:rPr>
          <w:rFonts w:ascii="Times New Roman" w:hAnsi="Times New Roman"/>
          <w:sz w:val="24"/>
        </w:rPr>
        <w:t xml:space="preserve">The aim of this study was to analyse the available data coming to the Department of Laboratory Medicine of Modena to describe the population of patients suffering of CRG. </w:t>
      </w:r>
    </w:p>
    <w:p>
      <w:pPr>
        <w:pStyle w:val="Normal"/>
        <w:ind w:left="0" w:hanging="0"/>
        <w:rPr/>
      </w:pPr>
      <w:r>
        <w:rPr>
          <w:rFonts w:ascii="Times New Roman" w:hAnsi="Times New Roman"/>
          <w:b/>
          <w:sz w:val="24"/>
        </w:rPr>
        <w:t xml:space="preserve">Methods: </w:t>
      </w:r>
      <w:r>
        <w:rPr>
          <w:rFonts w:ascii="Times New Roman" w:hAnsi="Times New Roman"/>
          <w:sz w:val="24"/>
        </w:rPr>
        <w:t xml:space="preserve">Data from the Modena Labs network were extracted by means of the software “Pagoda”, for statistical purposes, directly connected to the Laboratories Information System (LIS). Considered time period 2000-2018 </w:t>
      </w:r>
    </w:p>
    <w:p>
      <w:pPr>
        <w:pStyle w:val="Normal"/>
        <w:ind w:left="0" w:hanging="0"/>
        <w:rPr/>
      </w:pPr>
      <w:r>
        <w:rPr>
          <w:rFonts w:ascii="Times New Roman" w:hAnsi="Times New Roman"/>
          <w:b/>
          <w:sz w:val="24"/>
        </w:rPr>
        <w:t xml:space="preserve">Results: </w:t>
      </w:r>
      <w:r>
        <w:rPr>
          <w:rFonts w:ascii="Times New Roman" w:hAnsi="Times New Roman"/>
          <w:sz w:val="24"/>
        </w:rPr>
        <w:t xml:space="preserve">The analysed samples were 28,847, 4901 (17%) of which positive to the cryoglobulins (CR) detection. The typing positive CR were 4190 (85%): type 1 7.8 %, type II 48.54% and type III 43.8% The positive samples belonged to 2528 patients. Patients were 1563 (62%) women, average age 66±16, and 965 (38%) men, average age 62±16. (female/male ratio = 1.62) No statistically significant difference regarding sex and age between the 3 types. The cryoglobulinemia phenomenon is quite complex and the typing of monoclonal, polyclonal components of the Ig classes and chains has made it possible to identify 41 possible combinationsOut of 115 patients with Type 1 cryoglobulin, 73% had a monoclonal IgM and 36% monoclonal IgG; 11.2% both monoclonal IgG and IgM. The к light chain was the most frequent: 55,6% IgM-k and 23,4% IgG-k vs 29% IgM-λ and 18.2% IgG-λ. Two patients had an IgA-k cryoglobulin. </w:t>
      </w:r>
    </w:p>
    <w:p>
      <w:pPr>
        <w:pStyle w:val="Normal"/>
        <w:ind w:left="0" w:hanging="0"/>
        <w:rPr/>
      </w:pPr>
      <w:r>
        <w:rPr>
          <w:rFonts w:ascii="Times New Roman" w:hAnsi="Times New Roman"/>
          <w:sz w:val="24"/>
        </w:rPr>
        <w:t xml:space="preserve">Patients with Type 2 cryo were 781: monoclonal IgM-k 587 (75.1 %), 126 IgM-λ (16.1 %), 52 IgG-k (6.6 %), IgG-λ (5%), 1 IgA-λ; 2.8% had both IgG and IgM. Out of 1204 patients with Type 3 cryo, 74.8% had both polyclonal IgG and IgM, 13,8% had isolated IgM or IgG (9%); 4.8 % IgG-IgA-IgM together, both IgG and IgA in only 0,5% of patients. Almost the 50% (1255) of the patients had a diagnosis supporting the request of CR: </w:t>
      </w:r>
    </w:p>
    <w:p>
      <w:pPr>
        <w:pStyle w:val="Normal"/>
        <w:ind w:left="0" w:hanging="0"/>
        <w:rPr/>
      </w:pPr>
      <w:r>
        <w:rPr>
          <w:rFonts w:ascii="Times New Roman" w:hAnsi="Times New Roman"/>
          <w:sz w:val="24"/>
        </w:rPr>
        <w:t xml:space="preserve">HCV, 604 (48%); chronic hepatitis, 177 (14%); rheumatologic disorder, 107 (9%); autoimmune diseases, 83 (7%), nephropathy, 80 (7%); others, 204 (15%). </w:t>
      </w:r>
    </w:p>
    <w:p>
      <w:pPr>
        <w:pStyle w:val="Normal"/>
        <w:ind w:left="0" w:hanging="0"/>
        <w:rPr/>
      </w:pPr>
      <w:r>
        <w:rPr>
          <w:rFonts w:ascii="Times New Roman" w:hAnsi="Times New Roman"/>
          <w:sz w:val="24"/>
        </w:rPr>
        <w:t xml:space="preserve">Genotyped HCV+ patients were 290 (48%), with the following results: 1b, 136 (47%); 2a/2c, 65 (22%); 3a, 26 (9%); others 63 (22%). </w:t>
      </w:r>
    </w:p>
    <w:p>
      <w:pPr>
        <w:pStyle w:val="Normal"/>
        <w:ind w:left="0" w:hanging="0"/>
        <w:rPr/>
      </w:pPr>
      <w:r>
        <w:rPr>
          <w:rFonts w:ascii="Times New Roman" w:hAnsi="Times New Roman"/>
          <w:b/>
          <w:sz w:val="24"/>
        </w:rPr>
        <w:t xml:space="preserve">Conclusion: </w:t>
      </w:r>
      <w:r>
        <w:rPr>
          <w:rFonts w:ascii="Times New Roman" w:hAnsi="Times New Roman"/>
          <w:sz w:val="24"/>
        </w:rPr>
        <w:t xml:space="preserve">The data show that CRG is a pathology which affects the elderly and especially women, as in autoimmune and rheumatological diseases. The predominant CRG type is the III and the most frequently related pathology to the request for CR is HCV+ and chronic hepatitis. The most common HCV genotype are 1b and 2a/2c The cryoglobulinemia phenomenon is complex and laboratory typing is intriguing. </w:t>
      </w:r>
    </w:p>
    <w:p>
      <w:pPr>
        <w:pStyle w:val="Normal"/>
        <w:ind w:left="0" w:hanging="0"/>
        <w:rPr/>
      </w:pPr>
      <w:r>
        <w:rPr>
          <w:rFonts w:ascii="Times New Roman" w:hAnsi="Times New Roman"/>
          <w:sz w:val="24"/>
        </w:rPr>
        <w:t xml:space="preserve">Starting from this preliminary descriptive study, it will be possible, with the available data, to perform elaborations that allow to relate CRG with the diagnosis and verify the effect of therapy. </w:t>
      </w:r>
    </w:p>
    <w:p>
      <w:pPr>
        <w:pStyle w:val="Normal"/>
        <w:ind w:left="0" w:hanging="0"/>
        <w:rPr/>
      </w:pPr>
      <w:r>
        <w:rPr>
          <w:rFonts w:ascii="Times New Roman" w:hAnsi="Times New Roman"/>
          <w:sz w:val="24"/>
        </w:rPr>
        <w:t xml:space="preserve">Big Data methods’ application represents an undeniable resource for public institutions when carrying out strategic decision-making processes. </w:t>
      </w:r>
    </w:p>
    <w:p>
      <w:pPr>
        <w:pStyle w:val="Normal"/>
        <w:ind w:left="0" w:hanging="0"/>
        <w:rPr/>
      </w:pPr>
      <w:r>
        <w:rPr>
          <w:rFonts w:ascii="Times New Roman" w:hAnsi="Times New Roman"/>
          <w:b/>
          <w:sz w:val="24"/>
        </w:rPr>
        <w:t xml:space="preserve">Disclosure of Interests: </w:t>
      </w:r>
      <w:r>
        <w:rPr>
          <w:rFonts w:ascii="Times New Roman" w:hAnsi="Times New Roman"/>
          <w:sz w:val="24"/>
        </w:rPr>
        <w:t xml:space="preserve">None declared </w:t>
      </w:r>
    </w:p>
    <w:p>
      <w:pPr>
        <w:pStyle w:val="Normal"/>
        <w:rPr>
          <w:rFonts w:ascii="Times New Roman" w:hAnsi="Times New Roman"/>
          <w:sz w:val="24"/>
        </w:rPr>
      </w:pPr>
      <w:r>
        <w:rPr>
          <w:rFonts w:ascii="Times New Roman" w:hAnsi="Times New Roman"/>
          <w:sz w:val="24"/>
        </w:rPr>
      </w:r>
    </w:p>
    <w:p>
      <w:pPr>
        <w:pStyle w:val="Normal"/>
        <w:ind w:left="0" w:hanging="0"/>
        <w:rPr/>
      </w:pPr>
      <w:r>
        <w:rPr>
          <w:rFonts w:ascii="Times New Roman" w:hAnsi="Times New Roman"/>
          <w:b/>
          <w:sz w:val="24"/>
        </w:rPr>
        <w:t>Citation:</w:t>
      </w:r>
      <w:r>
        <w:rPr>
          <w:rFonts w:ascii="Times New Roman" w:hAnsi="Times New Roman"/>
          <w:sz w:val="24"/>
        </w:rPr>
        <w:t xml:space="preserve"> Ann Rheum Dis, volume 79, supplement 1, year 2020, page 1555 </w:t>
      </w:r>
    </w:p>
    <w:p>
      <w:pPr>
        <w:pStyle w:val="Normal"/>
        <w:ind w:left="0" w:hanging="0"/>
        <w:rPr/>
      </w:pPr>
      <w:r>
        <w:rPr>
          <w:rFonts w:ascii="Times New Roman" w:hAnsi="Times New Roman"/>
          <w:sz w:val="24"/>
        </w:rPr>
        <w:t xml:space="preserve">Session: Vasculitis (Abstracts Accepted for Publication) </w:t>
      </w:r>
    </w:p>
    <w:p>
      <w:pPr>
        <w:pStyle w:val="Normal"/>
        <w:rPr/>
      </w:pPr>
      <w:r>
        <w:rPr/>
      </w:r>
    </w:p>
    <w:sectPr>
      <w:type w:val="nextPage"/>
      <w:pgSz w:w="11906" w:h="16838"/>
      <w:pgMar w:left="1134" w:right="1134" w:header="0" w:top="1134" w:footer="0" w:bottom="1134" w:gutter="0"/>
      <w:pgNumType w:fmt="decimal"/>
      <w:formProt w:val="false"/>
      <w:textDirection w:val="lrTb"/>
      <w:docGrid w:type="default" w:linePitch="312"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ourier New">
    <w:charset w:val="00"/>
    <w:family w:val="roman"/>
    <w:pitch w:val="variable"/>
  </w:font>
  <w:font w:name="Liberation Sans">
    <w:altName w:val="Arial"/>
    <w:charset w:val="00"/>
    <w:family w:val="roman"/>
    <w:pitch w:val="variable"/>
  </w:font>
  <w:font w:name="Arial">
    <w:charset w:val="00"/>
    <w:family w:val="roman"/>
    <w:pitch w:val="variable"/>
  </w:font>
</w:fonts>
</file>

<file path=word/settings.xml><?xml version="1.0" encoding="utf-8"?>
<w:settings xmlns:w="http://schemas.openxmlformats.org/wordprocessingml/2006/main">
  <w:zoom w:percent="100"/>
  <w:defaultTabStop w:val="720"/>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Cs w:val="24"/>
        <w:lang w:val="it-IT" w:eastAsia="zh-CN" w:bidi="hi-IN"/>
      </w:rPr>
    </w:rPrDefault>
    <w:pPrDefault>
      <w:pPr/>
    </w:pPrDefault>
  </w:docDefaults>
  <w:style w:type="paragraph" w:styleId="Normal">
    <w:name w:val="Normal"/>
    <w:qFormat/>
    <w:pPr>
      <w:widowControl/>
      <w:bidi w:val="0"/>
      <w:jc w:val="left"/>
    </w:pPr>
    <w:rPr>
      <w:rFonts w:ascii="Liberation Serif" w:hAnsi="Liberation Serif" w:eastAsia="NSimSun" w:cs="Arial"/>
      <w:color w:val="auto"/>
      <w:kern w:val="2"/>
      <w:sz w:val="24"/>
      <w:szCs w:val="24"/>
      <w:lang w:val="it-IT" w:eastAsia="zh-CN" w:bidi="hi-IN"/>
    </w:rPr>
  </w:style>
  <w:style w:type="character" w:styleId="CITE">
    <w:name w:val="CITE"/>
    <w:qFormat/>
    <w:rPr>
      <w:i/>
    </w:rPr>
  </w:style>
  <w:style w:type="character" w:styleId="CODE">
    <w:name w:val="CODE"/>
    <w:qFormat/>
    <w:rPr>
      <w:rFonts w:ascii="Courier New" w:hAnsi="Courier New"/>
      <w:sz w:val="20"/>
    </w:rPr>
  </w:style>
  <w:style w:type="character" w:styleId="FollowedHyperlink">
    <w:name w:val="FollowedHyperlink"/>
    <w:qFormat/>
    <w:rPr>
      <w:color w:val="800080"/>
      <w:u w:val="single"/>
    </w:rPr>
  </w:style>
  <w:style w:type="character" w:styleId="Keyboard">
    <w:name w:val="Keyboard"/>
    <w:qFormat/>
    <w:rPr>
      <w:rFonts w:ascii="Courier New" w:hAnsi="Courier New"/>
      <w:b/>
      <w:sz w:val="20"/>
    </w:rPr>
  </w:style>
  <w:style w:type="character" w:styleId="Sample">
    <w:name w:val="Sample"/>
    <w:qFormat/>
    <w:rPr>
      <w:rFonts w:ascii="Courier New" w:hAnsi="Courier New"/>
    </w:rPr>
  </w:style>
  <w:style w:type="character" w:styleId="Strong">
    <w:name w:val="Strong"/>
    <w:qFormat/>
    <w:rPr>
      <w:b/>
    </w:rPr>
  </w:style>
  <w:style w:type="character" w:styleId="Typewriter">
    <w:name w:val="Typewriter"/>
    <w:qFormat/>
    <w:rPr>
      <w:rFonts w:ascii="Courier New" w:hAnsi="Courier New"/>
      <w:sz w:val="20"/>
    </w:rPr>
  </w:style>
  <w:style w:type="character" w:styleId="HTMLMarkup">
    <w:name w:val="HTML Markup"/>
    <w:qFormat/>
    <w:rPr>
      <w:vanish/>
      <w:color w:val="FF0000"/>
    </w:rPr>
  </w:style>
  <w:style w:type="character" w:styleId="Comment">
    <w:name w:val="Comment"/>
    <w:qFormat/>
    <w:rPr>
      <w:vanish/>
    </w:rPr>
  </w:style>
  <w:style w:type="paragraph" w:styleId="Titolo">
    <w:name w:val="Titolo"/>
    <w:basedOn w:val="Normal"/>
    <w:next w:val="Corpodeltesto"/>
    <w:qFormat/>
    <w:pPr>
      <w:keepNext w:val="true"/>
      <w:spacing w:before="240" w:after="120"/>
    </w:pPr>
    <w:rPr>
      <w:rFonts w:ascii="Liberation Sans" w:hAnsi="Liberation Sans" w:eastAsia="Microsoft YaHei" w:cs="Arial"/>
      <w:sz w:val="28"/>
      <w:szCs w:val="28"/>
    </w:rPr>
  </w:style>
  <w:style w:type="paragraph" w:styleId="Corpodeltesto">
    <w:name w:val="Body Text"/>
    <w:basedOn w:val="Normal"/>
    <w:pPr>
      <w:spacing w:lineRule="auto" w:line="276" w:before="0" w:after="140"/>
    </w:pPr>
    <w:rPr/>
  </w:style>
  <w:style w:type="paragraph" w:styleId="Elenco">
    <w:name w:val="List"/>
    <w:basedOn w:val="Corpodeltesto"/>
    <w:pPr/>
    <w:rPr>
      <w:rFonts w:cs="Arial"/>
    </w:rPr>
  </w:style>
  <w:style w:type="paragraph" w:styleId="Didascalia">
    <w:name w:val="Caption"/>
    <w:basedOn w:val="Normal"/>
    <w:qFormat/>
    <w:pPr>
      <w:suppressLineNumbers/>
      <w:spacing w:before="120" w:after="120"/>
    </w:pPr>
    <w:rPr>
      <w:rFonts w:cs="Arial"/>
      <w:i/>
      <w:iCs/>
      <w:sz w:val="24"/>
      <w:szCs w:val="24"/>
    </w:rPr>
  </w:style>
  <w:style w:type="paragraph" w:styleId="Indice">
    <w:name w:val="Indice"/>
    <w:basedOn w:val="Normal"/>
    <w:qFormat/>
    <w:pPr>
      <w:suppressLineNumbers/>
    </w:pPr>
    <w:rPr>
      <w:rFonts w:cs="Arial"/>
    </w:rPr>
  </w:style>
  <w:style w:type="paragraph" w:styleId="DefinitionTerm">
    <w:name w:val="Definition Term"/>
    <w:basedOn w:val="Normal"/>
    <w:qFormat/>
    <w:pPr/>
    <w:rPr/>
  </w:style>
  <w:style w:type="paragraph" w:styleId="DefinitionList">
    <w:name w:val="Definition List"/>
    <w:basedOn w:val="Normal"/>
    <w:qFormat/>
    <w:pPr>
      <w:ind w:left="360" w:hanging="0"/>
    </w:pPr>
    <w:rPr/>
  </w:style>
  <w:style w:type="paragraph" w:styleId="H1">
    <w:name w:val="H1"/>
    <w:basedOn w:val="Normal"/>
    <w:qFormat/>
    <w:pPr>
      <w:keepNext w:val="true"/>
      <w:spacing w:before="100" w:after="100"/>
      <w:outlineLvl w:val="1"/>
    </w:pPr>
    <w:rPr>
      <w:b/>
      <w:kern w:val="2"/>
      <w:sz w:val="48"/>
    </w:rPr>
  </w:style>
  <w:style w:type="paragraph" w:styleId="H2">
    <w:name w:val="H2"/>
    <w:basedOn w:val="Normal"/>
    <w:qFormat/>
    <w:pPr>
      <w:keepNext w:val="true"/>
      <w:spacing w:before="100" w:after="100"/>
      <w:outlineLvl w:val="2"/>
    </w:pPr>
    <w:rPr>
      <w:b/>
      <w:sz w:val="36"/>
    </w:rPr>
  </w:style>
  <w:style w:type="paragraph" w:styleId="H3">
    <w:name w:val="H3"/>
    <w:basedOn w:val="Normal"/>
    <w:qFormat/>
    <w:pPr>
      <w:keepNext w:val="true"/>
      <w:spacing w:before="100" w:after="100"/>
      <w:outlineLvl w:val="3"/>
    </w:pPr>
    <w:rPr>
      <w:b/>
      <w:sz w:val="28"/>
    </w:rPr>
  </w:style>
  <w:style w:type="paragraph" w:styleId="H4">
    <w:name w:val="H4"/>
    <w:basedOn w:val="Normal"/>
    <w:qFormat/>
    <w:pPr>
      <w:keepNext w:val="true"/>
      <w:spacing w:before="100" w:after="100"/>
      <w:outlineLvl w:val="4"/>
    </w:pPr>
    <w:rPr>
      <w:b/>
      <w:sz w:val="24"/>
    </w:rPr>
  </w:style>
  <w:style w:type="paragraph" w:styleId="H5">
    <w:name w:val="H5"/>
    <w:basedOn w:val="Normal"/>
    <w:qFormat/>
    <w:pPr>
      <w:keepNext w:val="true"/>
      <w:spacing w:before="100" w:after="100"/>
      <w:outlineLvl w:val="5"/>
    </w:pPr>
    <w:rPr>
      <w:b/>
      <w:sz w:val="20"/>
    </w:rPr>
  </w:style>
  <w:style w:type="paragraph" w:styleId="H6">
    <w:name w:val="H6"/>
    <w:basedOn w:val="Normal"/>
    <w:qFormat/>
    <w:pPr>
      <w:keepNext w:val="true"/>
      <w:spacing w:before="100" w:after="100"/>
      <w:outlineLvl w:val="6"/>
    </w:pPr>
    <w:rPr>
      <w:b/>
      <w:sz w:val="16"/>
    </w:rPr>
  </w:style>
  <w:style w:type="paragraph" w:styleId="Address">
    <w:name w:val="Address"/>
    <w:basedOn w:val="Normal"/>
    <w:qFormat/>
    <w:pPr/>
    <w:rPr>
      <w:i/>
    </w:rPr>
  </w:style>
  <w:style w:type="paragraph" w:styleId="Blockquote">
    <w:name w:val="Blockquote"/>
    <w:basedOn w:val="Normal"/>
    <w:qFormat/>
    <w:pPr>
      <w:spacing w:before="100" w:after="100"/>
      <w:ind w:left="360" w:right="360" w:hanging="0"/>
    </w:pPr>
    <w:rPr/>
  </w:style>
  <w:style w:type="paragraph" w:styleId="Preformatted">
    <w:name w:val="Preformatted"/>
    <w:basedOn w:val="Normal"/>
    <w:qFormat/>
    <w:pPr>
      <w:tabs>
        <w:tab w:val="clear" w:pos="720"/>
        <w:tab w:val="left" w:pos="0" w:leader="none"/>
        <w:tab w:val="left" w:pos="959" w:leader="none"/>
        <w:tab w:val="left" w:pos="1918" w:leader="none"/>
        <w:tab w:val="left" w:pos="2877" w:leader="none"/>
        <w:tab w:val="left" w:pos="3836" w:leader="none"/>
        <w:tab w:val="left" w:pos="4795" w:leader="none"/>
        <w:tab w:val="left" w:pos="5754" w:leader="none"/>
        <w:tab w:val="left" w:pos="6713" w:leader="none"/>
        <w:tab w:val="left" w:pos="7672" w:leader="none"/>
        <w:tab w:val="left" w:pos="8631" w:leader="none"/>
        <w:tab w:val="left" w:pos="9590" w:leader="none"/>
      </w:tabs>
      <w:spacing w:before="0" w:after="0"/>
    </w:pPr>
    <w:rPr>
      <w:rFonts w:ascii="Courier New" w:hAnsi="Courier New"/>
      <w:sz w:val="20"/>
    </w:rPr>
  </w:style>
  <w:style w:type="paragraph" w:styleId="ZBottomofForm">
    <w:name w:val="z-Bottom of Form"/>
    <w:qFormat/>
    <w:pPr>
      <w:widowControl/>
      <w:pBdr>
        <w:top w:val="double" w:sz="2" w:space="0" w:color="000000"/>
      </w:pBdr>
      <w:bidi w:val="0"/>
      <w:jc w:val="center"/>
    </w:pPr>
    <w:rPr>
      <w:rFonts w:ascii="Arial" w:hAnsi="Arial" w:eastAsia="Arial" w:cs="Courier New"/>
      <w:vanish/>
      <w:color w:val="auto"/>
      <w:kern w:val="2"/>
      <w:sz w:val="16"/>
      <w:szCs w:val="24"/>
      <w:lang w:val="it-IT" w:eastAsia="zh-CN" w:bidi="hi-IN"/>
    </w:rPr>
  </w:style>
  <w:style w:type="paragraph" w:styleId="ZTopofForm">
    <w:name w:val="z-Top of Form"/>
    <w:qFormat/>
    <w:pPr>
      <w:widowControl/>
      <w:pBdr>
        <w:bottom w:val="double" w:sz="2" w:space="0" w:color="000000"/>
      </w:pBdr>
      <w:bidi w:val="0"/>
      <w:jc w:val="center"/>
    </w:pPr>
    <w:rPr>
      <w:rFonts w:ascii="Arial" w:hAnsi="Arial" w:eastAsia="Arial" w:cs="Courier New"/>
      <w:vanish/>
      <w:color w:val="auto"/>
      <w:kern w:val="2"/>
      <w:sz w:val="16"/>
      <w:szCs w:val="24"/>
      <w:lang w:val="it-IT" w:eastAsia="zh-CN" w:bidi="hi-IN"/>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0</TotalTime>
  <Application>LibreOffice/6.2.7.1$Windows_X86_64 LibreOffice_project/23edc44b61b830b7d749943e020e96f5a7df63bf</Application>
  <Pages>1</Pages>
  <Words>573</Words>
  <Characters>3046</Characters>
  <CharactersWithSpaces>3619</CharactersWithSpaces>
  <Paragraphs>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2020-07-30T12:51:04Z</dcterms:created>
  <dc:creator/>
  <dc:description/>
  <dc:language>it-IT</dc:language>
  <cp:lastModifiedBy/>
  <dcterms:modified xsi:type="dcterms:W3CDTF">2020-07-30T12:51:21Z</dcterms:modified>
  <cp:revision>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Encoding">
    <vt:lpwstr>utf-8</vt:lpwstr>
  </property>
  <property fmtid="{D5CDD505-2E9C-101B-9397-08002B2CF9AE}" pid="3" name="HTML">
    <vt:bool>1</vt:bool>
  </property>
</Properties>
</file>