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document.xml.rels" ContentType="application/vnd.openxmlformats-package.relationships+xml"/>
  <Override PartName="/word/fontTable.xml" ContentType="application/vnd.openxmlformats-officedocument.wordprocessingml.fontTable+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ind w:left="1418" w:right="0" w:hanging="1418"/>
        <w:rPr>
          <w:sz w:val="24"/>
          <w:i w:val="false"/>
          <w:sz w:val="24"/>
          <w:i w:val="false"/>
          <w:szCs w:val="24"/>
          <w:iCs w:val="false"/>
          <w:rFonts w:eastAsia="" w:cs="Times New Roman"/>
          <w:color w:val="000000"/>
          <w:lang w:val="it-IT" w:eastAsia="it-IT" w:bidi="ar-SA"/>
        </w:rPr>
      </w:pPr>
      <w:r>
        <w:rPr>
          <w:rFonts w:eastAsia="" w:cs="Times New Roman"/>
          <w:i w:val="false"/>
          <w:iCs w:val="false"/>
          <w:color w:val="000000"/>
          <w:sz w:val="22"/>
          <w:szCs w:val="22"/>
          <w:lang w:val="it-IT" w:eastAsia="it-IT" w:bidi="ar-SA"/>
        </w:rPr>
        <w:t xml:space="preserve">Apparirà in L. Corrà (a cura di), </w:t>
      </w:r>
      <w:r>
        <w:rPr>
          <w:rFonts w:eastAsia="" w:cs="Times New Roman"/>
          <w:i/>
          <w:iCs/>
          <w:color w:val="000000"/>
          <w:sz w:val="22"/>
          <w:szCs w:val="22"/>
          <w:lang w:val="it-IT" w:eastAsia="it-IT" w:bidi="ar-SA"/>
        </w:rPr>
        <w:t>Educazione linguistica in classi multietniche</w:t>
      </w:r>
      <w:r>
        <w:rPr>
          <w:rFonts w:eastAsia="" w:cs="Times New Roman"/>
          <w:i w:val="false"/>
          <w:iCs w:val="false"/>
          <w:color w:val="000000"/>
          <w:sz w:val="22"/>
          <w:szCs w:val="22"/>
          <w:lang w:val="it-IT" w:eastAsia="it-IT" w:bidi="ar-SA"/>
        </w:rPr>
        <w:t xml:space="preserve">. I Quaderni del Giscel. Roma: Aracne. </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Spacing"/>
        <w:jc w:val="center"/>
        <w:rPr>
          <w:sz w:val="24"/>
          <w:i/>
          <w:sz w:val="24"/>
          <w:i/>
          <w:szCs w:val="24"/>
          <w:rFonts w:ascii="Times New Roman" w:hAnsi="Times New Roman" w:cs="Times New Roman"/>
        </w:rPr>
      </w:pPr>
      <w:r>
        <w:rPr>
          <w:rFonts w:cs="Times New Roman" w:ascii="Times New Roman" w:hAnsi="Times New Roman"/>
          <w:b/>
          <w:bCs/>
          <w:i w:val="false"/>
          <w:iCs w:val="false"/>
          <w:sz w:val="26"/>
          <w:szCs w:val="26"/>
        </w:rPr>
        <w:t>Educazione linguistica inclusiva nella scuola primaria: percorsi di sperimentazione e analisi dell’efficacia</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Spacing"/>
        <w:rPr>
          <w:sz w:val="24"/>
          <w:sz w:val="24"/>
          <w:szCs w:val="24"/>
          <w:rFonts w:ascii="Times New Roman" w:hAnsi="Times New Roman" w:cs="Times New Roman"/>
        </w:rPr>
      </w:pPr>
      <w:r>
        <w:rPr>
          <w:rFonts w:cs="Times New Roman" w:ascii="Times New Roman" w:hAnsi="Times New Roman"/>
          <w:sz w:val="24"/>
          <w:szCs w:val="24"/>
        </w:rPr>
        <w:t>Gabriele Pallotti – Fabiana Rosi</w:t>
      </w:r>
      <w:r/>
    </w:p>
    <w:p>
      <w:pPr>
        <w:pStyle w:val="NoSpacing"/>
        <w:rPr>
          <w:sz w:val="24"/>
          <w:sz w:val="24"/>
          <w:szCs w:val="24"/>
          <w:rFonts w:ascii="Times New Roman" w:hAnsi="Times New Roman" w:cs="Times New Roman"/>
        </w:rPr>
      </w:pPr>
      <w:r>
        <w:rPr>
          <w:rFonts w:cs="Times New Roman" w:ascii="Times New Roman" w:hAnsi="Times New Roman"/>
          <w:sz w:val="24"/>
          <w:szCs w:val="24"/>
        </w:rPr>
        <w:t>Università di Modena e Reggio Emilia – Università di Salerno</w:t>
      </w:r>
      <w:r>
        <w:rPr>
          <w:rStyle w:val="Richiamoallanotaapidipagina"/>
          <w:rFonts w:cs="Times New Roman" w:ascii="Times New Roman" w:hAnsi="Times New Roman"/>
          <w:sz w:val="24"/>
          <w:szCs w:val="24"/>
        </w:rPr>
        <w:footnoteReference w:id="2"/>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b/>
          <w:sz w:val="24"/>
          <w:b/>
          <w:szCs w:val="24"/>
          <w:rFonts w:cs="Times New Roman"/>
        </w:rPr>
      </w:pPr>
      <w:r>
        <w:rPr>
          <w:rFonts w:cs="Times New Roman"/>
          <w:b/>
          <w:sz w:val="24"/>
          <w:szCs w:val="24"/>
        </w:rPr>
        <w:t xml:space="preserve">1.Introduzione </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rPr>
          <w:sz w:val="24"/>
          <w:sz w:val="24"/>
          <w:szCs w:val="24"/>
          <w:rFonts w:eastAsia="" w:cs="Times New Roman"/>
          <w:color w:val="00000A"/>
          <w:lang w:val="it-IT" w:eastAsia="it-IT" w:bidi="ar-SA"/>
        </w:rPr>
      </w:pPr>
      <w:r>
        <w:rPr>
          <w:rFonts w:eastAsia="" w:cs="Times New Roman"/>
          <w:color w:val="00000A"/>
          <w:sz w:val="24"/>
          <w:szCs w:val="24"/>
          <w:lang w:val="it-IT" w:eastAsia="it-IT" w:bidi="ar-SA"/>
        </w:rPr>
        <w:t>In questo saggio si presentano i risultati di una sperimentazione educativa che si svolge dal 2006 nelle scuole di Reggio Emilia, denominata “Osservare l’interlingua” (Pallotti 2010, Pallotti e Rosi 2011). Il progetto  è promosso dal Comune di Reggio Emilia in collaborazione con il Dipartimento di Educazione e Scienze Umane dell’Università di Modena e Reggio Emilia, sotto la supervisione scientifica di Gabriele Pallotti; sul sito</w:t>
      </w:r>
      <w:r>
        <w:rPr>
          <w:sz w:val="24"/>
          <w:szCs w:val="24"/>
          <w:lang w:val="it-IT" w:eastAsia="it-IT" w:bidi="ar-SA"/>
        </w:rPr>
        <w:t xml:space="preserve"> </w:t>
      </w:r>
      <w:r>
        <w:rPr>
          <w:rStyle w:val="CollegamentoInternet"/>
          <w:color w:val="000000"/>
          <w:sz w:val="24"/>
          <w:szCs w:val="24"/>
          <w:u w:val="none"/>
        </w:rPr>
        <w:t>www.interlingua.comune.re.it</w:t>
      </w:r>
      <w:r>
        <w:rPr>
          <w:sz w:val="24"/>
          <w:szCs w:val="24"/>
        </w:rPr>
        <w:t xml:space="preserve"> si trovano indicazioni teoriche, tutti i percorsi svolti e i dati orali e scritti raccolti nel corso degli anni</w:t>
      </w:r>
      <w:r>
        <w:rPr>
          <w:rFonts w:eastAsia="" w:cs="Times New Roman"/>
          <w:color w:val="00000A"/>
          <w:sz w:val="24"/>
          <w:szCs w:val="24"/>
          <w:lang w:val="it-IT" w:eastAsia="it-IT" w:bidi="ar-SA"/>
        </w:rPr>
        <w:t xml:space="preserve">. </w:t>
      </w:r>
      <w:r/>
    </w:p>
    <w:p>
      <w:pPr>
        <w:pStyle w:val="Normal"/>
        <w:spacing w:lineRule="auto" w:line="240" w:before="0" w:after="0"/>
        <w:ind w:left="0" w:right="0" w:firstLine="284"/>
        <w:jc w:val="both"/>
        <w:rPr>
          <w:sz w:val="24"/>
          <w:sz w:val="24"/>
          <w:szCs w:val="24"/>
          <w:rFonts w:eastAsia="" w:cs="Times New Roman"/>
          <w:color w:val="00000A"/>
          <w:lang w:val="it-IT" w:eastAsia="it-IT" w:bidi="ar-SA"/>
        </w:rPr>
      </w:pPr>
      <w:r>
        <w:rPr>
          <w:rFonts w:eastAsia="" w:cs="Times New Roman"/>
          <w:color w:val="00000A"/>
          <w:sz w:val="24"/>
          <w:szCs w:val="24"/>
          <w:lang w:val="it-IT" w:eastAsia="it-IT" w:bidi="ar-SA"/>
        </w:rPr>
        <w:t>L’approccio è inclusivo: ogni attività è rivolta a tutti gli alunni, senza differenziare gli allievi con madrelingua diversa dall’italiano, gli studenti figli di famiglie di origine straniera, le cosiddette “seconde generazioni”, gli alunni con bisogni cognitivi e comportamentali speciali, coerentemente con la fase dell’inclusione che sta vivendo in questi anni la scuola italiana, dopo la prima fase dell’accoglienza e la successiva fase dell’integrazione (Favaro 2011, 2013).</w:t>
      </w:r>
      <w:r/>
    </w:p>
    <w:p>
      <w:pPr>
        <w:pStyle w:val="Normal"/>
        <w:spacing w:lineRule="auto" w:line="240" w:before="0" w:after="0"/>
        <w:ind w:left="0" w:right="0" w:firstLine="284"/>
        <w:jc w:val="both"/>
        <w:rPr>
          <w:sz w:val="24"/>
          <w:sz w:val="24"/>
          <w:szCs w:val="24"/>
          <w:rFonts w:eastAsia="" w:cs="Times New Roman"/>
          <w:color w:val="00000A"/>
          <w:lang w:val="it-IT" w:eastAsia="it-IT" w:bidi="ar-SA"/>
        </w:rPr>
      </w:pPr>
      <w:r>
        <w:rPr>
          <w:rFonts w:eastAsia="" w:cs="Times New Roman"/>
          <w:color w:val="00000A"/>
          <w:sz w:val="24"/>
          <w:szCs w:val="24"/>
          <w:lang w:val="it-IT" w:eastAsia="it-IT" w:bidi="ar-SA"/>
        </w:rPr>
        <w:t xml:space="preserve">Nel corso dei primi anni la sperimentazione educativa ha avuto principalmente l’obiettivo di formare un gruppo di docenti di scuola primaria (con qualche sporadica presenza di quelli della secondaria di primo grado, regolarmente invitati ma raramente presenti) a un’educazione linguistica efficace e democratica, che affonda le sue radici nei principi della Scuola di Barbiana (1967) e delle Dieci Tesi del GISCEL (1975), con una particolare attenzione alla scrittura come processo cognitivo complesso, che implica vari sotto-processi (Boscolo 1990). Sono stati proposti diversi percorsi, con alcune caratteristiche comuni: gli alunni devono produrre testi a partire da stimoli concreti, come figure, storie per immagini o filmati; l’attenzione degli insegnanti viene posta sui processi cognitivi che si possono ricostruire a partire dai testi prodotti dagli alunni; la valutazione è formativa, orientata al processo e all’apprendimento, e non sommativa, orientata al prodotto e al risultato. Gli insegnanti hanno manifestato di apprezzare le proposte, che sono sempre state negoziate e messe a punto anche grazie alla loro partecipazione: molti di essi stanno seguendo la sperimentazione ormai da diversi anni e alcune classi sono state coinvolte per l’intero ciclo della scuola primaria. </w:t>
      </w:r>
      <w:r/>
    </w:p>
    <w:p>
      <w:pPr>
        <w:pStyle w:val="Normal"/>
        <w:spacing w:lineRule="auto" w:line="240" w:before="0" w:after="0"/>
        <w:ind w:left="0" w:right="0" w:firstLine="284"/>
        <w:jc w:val="both"/>
        <w:rPr>
          <w:sz w:val="24"/>
          <w:sz w:val="24"/>
          <w:szCs w:val="24"/>
          <w:rFonts w:eastAsia="" w:cs="Times New Roman"/>
          <w:color w:val="00000A"/>
          <w:lang w:val="it-IT" w:eastAsia="it-IT" w:bidi="ar-SA"/>
        </w:rPr>
      </w:pPr>
      <w:r>
        <w:rPr>
          <w:rFonts w:eastAsia="" w:cs="Times New Roman"/>
          <w:color w:val="00000A"/>
          <w:sz w:val="24"/>
          <w:szCs w:val="24"/>
          <w:lang w:val="it-IT" w:eastAsia="it-IT" w:bidi="ar-SA"/>
        </w:rPr>
        <w:t xml:space="preserve">Dopo avere riscontrato gli effetti positivi sugli insegnanti, sulla loro professionalità e motivazione, e dopo avere raccolto le loro impressioni sui buoni risultati ottenuti dagli allievi, si è deciso di valutare l’efficacia della sperimentazione in modo più approfondito e rigoroso. Per questo, negli anni scolastici 2012/13 e 2013/14 sono stati raccolti dati sistematici, con un disegno di ricerca quasi-sperimentale. In una ricerca puramente sperimentale i soggetti vengono assegnati casualmente al gruppo trattato e al gruppo di controllo, ma questo è praticamente impossibile nelle sperimentazioni educative: in queste, i soggetti provengono da classi intere, che ricevono o meno il trattamento sperimentale, ed è per ciò che queste ricerche vengono dette quasi-sperimentali (Corbetta 2003). </w:t>
      </w:r>
      <w:r/>
    </w:p>
    <w:p>
      <w:pPr>
        <w:pStyle w:val="Normal"/>
        <w:spacing w:lineRule="auto" w:line="240" w:before="0" w:after="0"/>
        <w:ind w:left="0" w:right="0" w:firstLine="284"/>
        <w:jc w:val="both"/>
        <w:rPr>
          <w:sz w:val="24"/>
          <w:sz w:val="24"/>
          <w:szCs w:val="24"/>
          <w:rFonts w:eastAsia="" w:cs="Times New Roman"/>
          <w:color w:val="00000A"/>
          <w:lang w:val="it-IT" w:eastAsia="it-IT" w:bidi="ar-SA"/>
        </w:rPr>
      </w:pPr>
      <w:r>
        <w:rPr>
          <w:rFonts w:eastAsia="" w:cs="Times New Roman"/>
          <w:color w:val="00000A"/>
          <w:sz w:val="24"/>
          <w:szCs w:val="24"/>
          <w:lang w:val="it-IT" w:eastAsia="it-IT" w:bidi="ar-SA"/>
        </w:rPr>
        <w:t xml:space="preserve">Il presente contributo vuole presentare alcuni primi risultati ottenuti con queste raccolte sistematiche di dati, che coinvolgono tre classi sperimentali e tre di controllo, con produzioni scritte individuali all’inizio e alla fine dell’anno scolastico. Diventa così possibile misurare oggettivamente le differenze tra gli alunni che hanno partecipato alla sperimentazione e quelli che hanno seguito percorsi scolastici ordinari. </w:t>
      </w:r>
      <w:r/>
    </w:p>
    <w:p>
      <w:pPr>
        <w:pStyle w:val="Normal"/>
        <w:spacing w:lineRule="auto" w:line="240" w:before="0" w:after="0"/>
        <w:ind w:left="0" w:right="0" w:firstLine="284"/>
        <w:jc w:val="both"/>
        <w:rPr>
          <w:sz w:val="24"/>
          <w:sz w:val="24"/>
          <w:szCs w:val="24"/>
          <w:rFonts w:eastAsia="" w:cs="Times New Roman"/>
          <w:color w:val="00000A"/>
          <w:lang w:val="it-IT" w:eastAsia="it-IT" w:bidi="ar-SA"/>
        </w:rPr>
      </w:pPr>
      <w:r>
        <w:rPr>
          <w:rFonts w:eastAsia="" w:cs="Times New Roman"/>
          <w:color w:val="00000A"/>
          <w:sz w:val="24"/>
          <w:szCs w:val="24"/>
          <w:lang w:val="it-IT" w:eastAsia="it-IT" w:bidi="ar-SA"/>
        </w:rPr>
        <w:t>Nelle prossime pagine si presenterà dapprima l’approccio generale di Osservare l’interlingua, per poi illustrare i percorsi didattici svolti nell’A.S. 2013/14, durante il quale sono stati raccolti  i dati analizzati in questa sede. Verranno presentate le modalità di trascrizione, codifica e analisi dei dati, per poi analizzarli dal punto di vista statistico, in modo da evidenziare somiglianze, differenze ed evoluzioni nelle classi prese in considerazione.</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b/>
          <w:sz w:val="24"/>
          <w:b/>
          <w:szCs w:val="24"/>
          <w:rFonts w:cs="Times New Roman"/>
        </w:rPr>
      </w:pPr>
      <w:r>
        <w:rPr>
          <w:rFonts w:cs="Times New Roman"/>
          <w:b/>
          <w:sz w:val="24"/>
          <w:szCs w:val="24"/>
        </w:rPr>
        <w:t xml:space="preserve">2.La sperimentazione educativa “Osservare l’interlingua” </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i/>
          <w:sz w:val="24"/>
          <w:i/>
          <w:szCs w:val="24"/>
          <w:rFonts w:cs="Times New Roman"/>
        </w:rPr>
      </w:pPr>
      <w:r>
        <w:rPr>
          <w:rFonts w:cs="Times New Roman"/>
          <w:i/>
          <w:sz w:val="24"/>
          <w:szCs w:val="24"/>
        </w:rPr>
        <w:t>2.1. Principi e metodi</w:t>
      </w:r>
      <w:r/>
    </w:p>
    <w:p>
      <w:pPr>
        <w:pStyle w:val="Normal"/>
        <w:spacing w:lineRule="auto" w:line="240" w:before="0" w:after="0"/>
        <w:rPr>
          <w:sz w:val="24"/>
          <w:shd w:fill="FFFF00" w:val="clear"/>
          <w:sz w:val="24"/>
          <w:szCs w:val="24"/>
          <w:rFonts w:ascii="Times New Roman" w:hAnsi="Times New Roman" w:eastAsia="" w:cs="Times New Roman"/>
          <w:color w:val="00000A"/>
          <w:lang w:val="it-IT" w:eastAsia="it-IT" w:bidi="ar-SA"/>
        </w:rPr>
      </w:pPr>
      <w:r>
        <w:rPr>
          <w:rFonts w:eastAsia="" w:cs="Times New Roman"/>
          <w:color w:val="00000A"/>
          <w:sz w:val="24"/>
          <w:szCs w:val="24"/>
          <w:shd w:fill="FFFF00" w:val="clear"/>
          <w:lang w:val="it-IT" w:eastAsia="it-IT" w:bidi="ar-SA"/>
        </w:rPr>
      </w:r>
      <w:r/>
    </w:p>
    <w:p>
      <w:pPr>
        <w:pStyle w:val="Normal"/>
        <w:spacing w:lineRule="auto" w:line="240" w:before="0" w:after="0"/>
        <w:ind w:left="0" w:right="0" w:firstLine="284"/>
        <w:jc w:val="both"/>
        <w:rPr>
          <w:sz w:val="24"/>
          <w:sz w:val="24"/>
          <w:szCs w:val="24"/>
          <w:rFonts w:cs="Times New Roman"/>
        </w:rPr>
      </w:pPr>
      <w:r>
        <w:rPr>
          <w:rFonts w:cs="Times New Roman"/>
          <w:sz w:val="24"/>
          <w:szCs w:val="24"/>
        </w:rPr>
        <w:t xml:space="preserve"> </w:t>
      </w:r>
      <w:r>
        <w:rPr>
          <w:rFonts w:eastAsia="Times New Roman" w:cs="Times New Roman"/>
          <w:sz w:val="24"/>
          <w:szCs w:val="24"/>
        </w:rPr>
        <w:t>Il nome della sperimentazione nasce dalla particolare attenzione posta sull’osservazione dei dati linguistici degli alunni da parte degli insegnanti, che vengono sensibilizzati e guidati nella valutazione formativa delle competenze e dei bisogni della classe, per poter progettare interventi mirati ed efficaci. I</w:t>
      </w:r>
      <w:r>
        <w:rPr>
          <w:rFonts w:cs="Times New Roman"/>
          <w:sz w:val="24"/>
          <w:szCs w:val="24"/>
        </w:rPr>
        <w:t xml:space="preserve"> percorsi, infatti, si basano sull</w:t>
      </w:r>
      <w:r>
        <w:rPr>
          <w:rFonts w:cs="Times New Roman"/>
          <w:i/>
          <w:sz w:val="24"/>
          <w:szCs w:val="24"/>
        </w:rPr>
        <w:t>’osservazione</w:t>
      </w:r>
      <w:r>
        <w:rPr>
          <w:rFonts w:cs="Times New Roman"/>
          <w:sz w:val="24"/>
          <w:szCs w:val="24"/>
        </w:rPr>
        <w:t xml:space="preserve"> da parte degli insegnanti dell’</w:t>
      </w:r>
      <w:r>
        <w:rPr>
          <w:rFonts w:cs="Times New Roman"/>
          <w:i/>
          <w:sz w:val="24"/>
          <w:szCs w:val="24"/>
        </w:rPr>
        <w:t>interlingua</w:t>
      </w:r>
      <w:r>
        <w:rPr>
          <w:rFonts w:cs="Times New Roman"/>
          <w:sz w:val="24"/>
          <w:szCs w:val="24"/>
        </w:rPr>
        <w:t xml:space="preserve"> (Selinker 1972) degli allievi, ovvero il codice linguistico che gli apprendenti usano nel corso dell’acquisizione della lingua e che, pur essendo un sistema linguistico in evoluzione da uno stadio acquisizionale all’altro, ha un carattere sistematico e ben strutturato secondo regole in formazione, che gli apprendenti elaborano a partire dall’input ricevuto e mettono alla prova nelle proprie produzioni linguistiche. Il progetto punta a far sviluppare la capacità diagnostica dei docenti nel riconoscere le competenze degli alunni, già acquisite e in corso di sviluppo, così da renderli in grado di individuare i principali bisogni linguistici della classe e impostare attività didattiche mirate allo stadio acquisizionale in cui gli apprendenti si trovano, per portarli allo stadio acquisizionale successivo. In quest’ottica, l’osservazione dei dati di interlingua è fondamentale per la valutazione del livello delle competenze linguistiche degli allievi, non sul piano della cosiddetta valutazione sommativa, tesa ad assegnare dei voti numerici, ma sul piano della </w:t>
      </w:r>
      <w:r>
        <w:rPr>
          <w:rFonts w:cs="Times New Roman"/>
          <w:i/>
          <w:sz w:val="24"/>
          <w:szCs w:val="24"/>
        </w:rPr>
        <w:t xml:space="preserve">valutazione formativa </w:t>
      </w:r>
      <w:r>
        <w:rPr>
          <w:rFonts w:cs="Times New Roman"/>
          <w:sz w:val="24"/>
          <w:szCs w:val="24"/>
        </w:rPr>
        <w:t>(</w:t>
      </w:r>
      <w:r>
        <w:rPr>
          <w:rFonts w:eastAsia="Times New Roman" w:cs="Times New Roman"/>
          <w:sz w:val="24"/>
          <w:szCs w:val="24"/>
          <w:lang w:val="de-DE"/>
        </w:rPr>
        <w:t>Edelenbos</w:t>
      </w:r>
      <w:r>
        <w:rPr>
          <w:rFonts w:cs="Times New Roman"/>
          <w:sz w:val="24"/>
          <w:szCs w:val="24"/>
          <w:lang w:val="de-DE"/>
        </w:rPr>
        <w:t xml:space="preserve"> e</w:t>
      </w:r>
      <w:r>
        <w:rPr>
          <w:rFonts w:eastAsia="Times New Roman" w:cs="Times New Roman"/>
          <w:sz w:val="24"/>
          <w:szCs w:val="24"/>
          <w:lang w:val="de-DE"/>
        </w:rPr>
        <w:t xml:space="preserve"> Kubanek-German 2004)</w:t>
      </w:r>
      <w:r>
        <w:rPr>
          <w:rFonts w:cs="Times New Roman"/>
          <w:sz w:val="24"/>
          <w:szCs w:val="24"/>
        </w:rPr>
        <w:t xml:space="preserve">, che si concentra su ciò che gli studenti sanno fare, in positivo, ed è attenta ai processi messi in atto dagli apprendenti, per aiutarli a progredire. L’analisi degli errori (Corder, 1967), in questo modo, non è strumentale a definire il profitto di un alunno, ma è piuttosto funzionale a comprendere i processi cognitivi che sta mettendo in campo per agevolare l’acquisizione linguistica attraverso interventi didattici mirati ed efficaci. </w:t>
      </w:r>
      <w:r/>
    </w:p>
    <w:p>
      <w:pPr>
        <w:pStyle w:val="Normal"/>
        <w:spacing w:lineRule="auto" w:line="240" w:before="0" w:after="0"/>
        <w:jc w:val="both"/>
        <w:rPr>
          <w:sz w:val="24"/>
          <w:sz w:val="24"/>
          <w:szCs w:val="24"/>
          <w:rFonts w:cs="Times New Roman"/>
        </w:rPr>
      </w:pPr>
      <w:r>
        <w:rPr>
          <w:rFonts w:cs="Times New Roman"/>
          <w:sz w:val="24"/>
          <w:szCs w:val="24"/>
        </w:rPr>
        <w:t xml:space="preserve">In linea con i modelli che promuovono l’autonomia nell’apprendimento delle lingue (Dam 1995; Andrade e Evans 2013), il progetto intende sviluppare le competenze individuali su obiettivi linguistici alti, quali le competenze di produzione di testi scritti coerenti e coesi, attraverso attività di </w:t>
      </w:r>
      <w:r>
        <w:rPr>
          <w:rFonts w:cs="Times New Roman"/>
          <w:i/>
          <w:sz w:val="24"/>
          <w:szCs w:val="24"/>
        </w:rPr>
        <w:t>cooperative learning</w:t>
      </w:r>
      <w:r>
        <w:rPr>
          <w:rFonts w:cs="Times New Roman"/>
          <w:sz w:val="24"/>
          <w:szCs w:val="24"/>
        </w:rPr>
        <w:t xml:space="preserve"> (Johnson et al. 2008; Storch 2013) che implicano il lavoro in piccoli gruppi eterogenei e bilanciati per livello, in cui gli alunni più competenti possono assumere un ruolo di guida nei confronti dei membri del gruppo più in difficoltà, e con attività di </w:t>
      </w:r>
      <w:r>
        <w:rPr>
          <w:rFonts w:cs="Times New Roman"/>
          <w:i/>
          <w:sz w:val="24"/>
          <w:szCs w:val="24"/>
        </w:rPr>
        <w:t>peer assessment</w:t>
      </w:r>
      <w:r>
        <w:rPr>
          <w:rFonts w:cs="Times New Roman"/>
          <w:sz w:val="24"/>
          <w:szCs w:val="24"/>
        </w:rPr>
        <w:t xml:space="preserve"> (McKay 2006), la valutazione fra pari in cui gli allievi sono chiamati in prima persona a valutare le produzioni dei compagni, senza l’intervento “dall’alto” dell’insegnante. La combinazione di queste metodologie centrate sul discente permette di coinvolgere in maniera diretta e partecipata tutti gli alunni, compresi quelli che tendono a defilarsi dalle attività scolastiche. La dimensione del piccolo gruppo eterogeneo e bilanciato per livello si rivela fondamentale per innescare le dinamiche di </w:t>
      </w:r>
      <w:r>
        <w:rPr>
          <w:rFonts w:cs="Times New Roman"/>
          <w:i/>
          <w:sz w:val="24"/>
          <w:szCs w:val="24"/>
        </w:rPr>
        <w:t>tutoring</w:t>
      </w:r>
      <w:r>
        <w:rPr>
          <w:rFonts w:cs="Times New Roman"/>
          <w:sz w:val="24"/>
          <w:szCs w:val="24"/>
        </w:rPr>
        <w:t xml:space="preserve"> e di interazione fra pari durante lo svolgimento di un compito, che viene dato comune a tutta la classe. Gli alunni sono portati a confrontarsi dapprima in piccolo gruppo, e in seguito a grande gruppo nella fase della restituzione alla classe, in cui l’insegnante guida gli allievi nella condivisione delle risposte e nella ricerca della soluzione migliore. La metodologia proposta per le attività di </w:t>
      </w:r>
      <w:r>
        <w:rPr>
          <w:rFonts w:cs="Times New Roman"/>
          <w:i/>
          <w:sz w:val="24"/>
          <w:szCs w:val="24"/>
        </w:rPr>
        <w:t>peer assessment</w:t>
      </w:r>
      <w:r>
        <w:rPr>
          <w:rFonts w:cs="Times New Roman"/>
          <w:sz w:val="24"/>
          <w:szCs w:val="24"/>
        </w:rPr>
        <w:t xml:space="preserve"> invita gli alunni a revisionare in gruppo i testi prodotti dagli altri gruppi con l’aiuto di una griglia predisposta </w:t>
      </w:r>
      <w:r>
        <w:rPr>
          <w:rFonts w:cs="Times New Roman"/>
          <w:i/>
          <w:sz w:val="24"/>
          <w:szCs w:val="24"/>
        </w:rPr>
        <w:t>ad hoc</w:t>
      </w:r>
      <w:r>
        <w:rPr>
          <w:rFonts w:cs="Times New Roman"/>
          <w:i w:val="false"/>
          <w:iCs w:val="false"/>
          <w:sz w:val="24"/>
          <w:szCs w:val="24"/>
        </w:rPr>
        <w:t>, che permette loro di individuare analiticamente punti di forza e di debolezza negli</w:t>
      </w:r>
      <w:r>
        <w:rPr>
          <w:rFonts w:cs="Times New Roman"/>
          <w:i/>
          <w:sz w:val="24"/>
          <w:szCs w:val="24"/>
        </w:rPr>
        <w:t xml:space="preserve"> </w:t>
      </w:r>
      <w:r>
        <w:rPr>
          <w:rFonts w:cs="Times New Roman"/>
          <w:sz w:val="24"/>
          <w:szCs w:val="24"/>
        </w:rPr>
        <w:t xml:space="preserve">elaborati dei compagni. Tale modalità mira a far abituare gli alunni al confronto, alla discussione costruttiva e a far maturare la loro capacità di ragionamento critico e di analisi, cercando strategie autonome per migliorarsi. </w:t>
      </w:r>
      <w:r/>
    </w:p>
    <w:p>
      <w:pPr>
        <w:pStyle w:val="Normal"/>
        <w:spacing w:lineRule="auto" w:line="240" w:before="0" w:after="0"/>
        <w:jc w:val="both"/>
        <w:rPr>
          <w:sz w:val="24"/>
          <w:sz w:val="24"/>
          <w:szCs w:val="24"/>
          <w:rFonts w:cs="Times New Roman"/>
        </w:rPr>
      </w:pPr>
      <w:r>
        <w:rPr>
          <w:rFonts w:cs="Times New Roman"/>
          <w:sz w:val="24"/>
          <w:szCs w:val="24"/>
        </w:rPr>
        <w:t xml:space="preserve">I percorsi di sperimentazione sono articolati in una serie di attività collegate fra loro e realizzate nella forma del </w:t>
      </w:r>
      <w:r>
        <w:rPr>
          <w:rFonts w:cs="Times New Roman"/>
          <w:i/>
          <w:sz w:val="24"/>
          <w:szCs w:val="24"/>
        </w:rPr>
        <w:t>task</w:t>
      </w:r>
      <w:r>
        <w:rPr>
          <w:rFonts w:cs="Times New Roman"/>
          <w:sz w:val="24"/>
          <w:szCs w:val="24"/>
        </w:rPr>
        <w:t xml:space="preserve"> (Ellis 2003, Samuda e Bygate, 2008, Ferrari e Nuzzo 2011), un compito comunicativo attivo con finalità chiare e concrete, che porta ad utilizzare la lingua per raggiungere un obiettivo extralinguistico, non per la mera esibizione delle competenze sviluppate dagli studenti. Di anno in anno, la sperimentazione propone un argomento di massima, condiviso da tutti i partecipanti, che possono però anche proporre variazioni legate ai bisogni linguistici di una singola classe, individuati sulla base dell’osservazione dei testi raccolti ad inizio delle lezioni. La parte comune del percorso riguarda la didattica della scrittura (almeno nelle classi del secondo ciclo analizzate in questa sede) ed è costituita da attività in cui gli alunni possono acquisire familiarità con le fasi che compongono il processo di produzione scritta: la </w:t>
      </w:r>
      <w:r>
        <w:rPr>
          <w:rFonts w:cs="Times New Roman"/>
          <w:i/>
          <w:sz w:val="24"/>
          <w:szCs w:val="24"/>
        </w:rPr>
        <w:t>pianificazione</w:t>
      </w:r>
      <w:r>
        <w:rPr>
          <w:rFonts w:cs="Times New Roman"/>
          <w:sz w:val="24"/>
          <w:szCs w:val="24"/>
        </w:rPr>
        <w:t xml:space="preserve">, tramite attività legate alla raccolta e organizzazione dei contenuti; la </w:t>
      </w:r>
      <w:r>
        <w:rPr>
          <w:rFonts w:cs="Times New Roman"/>
          <w:i/>
          <w:iCs/>
          <w:sz w:val="24"/>
          <w:szCs w:val="24"/>
        </w:rPr>
        <w:t>redazione</w:t>
      </w:r>
      <w:r>
        <w:rPr>
          <w:rFonts w:cs="Times New Roman"/>
          <w:sz w:val="24"/>
          <w:szCs w:val="24"/>
        </w:rPr>
        <w:t xml:space="preserve"> del testo, seguendo il progetto testuale o ‘scaletta’; la </w:t>
      </w:r>
      <w:r>
        <w:rPr>
          <w:rFonts w:cs="Times New Roman"/>
          <w:i/>
          <w:sz w:val="24"/>
          <w:szCs w:val="24"/>
        </w:rPr>
        <w:t>revisione</w:t>
      </w:r>
      <w:r>
        <w:rPr>
          <w:rFonts w:cs="Times New Roman"/>
          <w:sz w:val="24"/>
          <w:szCs w:val="24"/>
        </w:rPr>
        <w:t xml:space="preserve">, attraverso un ciclo di task che sollecitino la rilettura per perfezionare quanto scritto, una fase che troppo spesso viene trascurata dagli alunni con conseguenti problemi che si registrano in ogni ordine e grado di scuola (Lavinio e Sobrero 1991, Piemontese 2000, Serianni e Benedetti 2009, Grassi e Nuzzo 2012). </w:t>
      </w:r>
      <w:r/>
    </w:p>
    <w:p>
      <w:pPr>
        <w:pStyle w:val="Normal"/>
        <w:spacing w:lineRule="auto" w:line="240" w:before="0" w:after="0"/>
        <w:jc w:val="both"/>
        <w:rPr>
          <w:sz w:val="24"/>
          <w:sz w:val="24"/>
          <w:szCs w:val="24"/>
          <w:rFonts w:cs="Times New Roman"/>
        </w:rPr>
      </w:pPr>
      <w:r>
        <w:rPr>
          <w:rFonts w:cs="Times New Roman"/>
          <w:sz w:val="24"/>
          <w:szCs w:val="24"/>
        </w:rPr>
        <w:t>Oltre all’approccio cooperativo, un altro elemento fondamentale della sperimentazione consiste nel creare occasioni per la mediazione semiotica del pensiero (Vygotsky 1954): i processi cognitivi e linguistici astratti che stanno dietro alla redazione di un testo sono sviluppati utilizzando materiali concreti, che gli alunni possono toccare, costruire, colorare, scambiare fra loro, come le scatole o le buste che rappresentano i tasselli della scaletta, o i cartelloni che passano da un gruppo all’altro per raccogliere i diversi momenti della revisione.</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i/>
          <w:sz w:val="24"/>
          <w:i/>
          <w:szCs w:val="24"/>
          <w:rFonts w:cs="Times New Roman"/>
        </w:rPr>
      </w:pPr>
      <w:r>
        <w:rPr>
          <w:rFonts w:cs="Times New Roman"/>
          <w:i/>
          <w:sz w:val="24"/>
          <w:szCs w:val="24"/>
        </w:rPr>
        <w:t>2.2. Obiettivi: la coerenza testuale</w:t>
      </w:r>
      <w:r/>
    </w:p>
    <w:p>
      <w:pPr>
        <w:pStyle w:val="Normal"/>
        <w:spacing w:lineRule="auto" w:line="240" w:before="0" w:after="0"/>
        <w:ind w:left="567" w:right="0" w:hanging="0"/>
        <w:rPr>
          <w:sz w:val="24"/>
          <w:sz w:val="24"/>
          <w:szCs w:val="24"/>
          <w:rFonts w:cs="Times New Roman"/>
        </w:rPr>
      </w:pPr>
      <w:r>
        <w:rPr>
          <w:rFonts w:cs="Times New Roman"/>
          <w:sz w:val="24"/>
          <w:szCs w:val="24"/>
        </w:rPr>
        <w:t xml:space="preserve"> </w:t>
      </w:r>
      <w:r/>
    </w:p>
    <w:p>
      <w:pPr>
        <w:pStyle w:val="Normal"/>
        <w:spacing w:lineRule="auto" w:line="240" w:before="0" w:after="0"/>
        <w:ind w:left="0" w:right="0" w:firstLine="284"/>
        <w:jc w:val="both"/>
        <w:rPr>
          <w:sz w:val="24"/>
          <w:sz w:val="24"/>
          <w:szCs w:val="24"/>
          <w:rFonts w:cs="Times New Roman"/>
        </w:rPr>
      </w:pPr>
      <w:r>
        <w:rPr>
          <w:rFonts w:eastAsia="MS Mincho" w:cs="Times New Roman"/>
          <w:sz w:val="24"/>
          <w:szCs w:val="24"/>
        </w:rPr>
        <w:t>Le attività proposte si</w:t>
      </w:r>
      <w:r>
        <w:rPr>
          <w:rFonts w:cs="Times New Roman"/>
          <w:sz w:val="24"/>
          <w:szCs w:val="24"/>
        </w:rPr>
        <w:t xml:space="preserve"> concentrano su tutte le fasi del processo di scrittura del testo, ovvero la pianificazione, la stesura e la revisione, e sulle proprietà che un testo deve avere per essere efficace comunicativamente: la coerenza, su cui ci soffermiamo in questa sede, e la coesione</w:t>
      </w:r>
      <w:r>
        <w:rPr>
          <w:rStyle w:val="Richiamoallanotaapidipagina"/>
          <w:rFonts w:cs="Times New Roman"/>
          <w:sz w:val="24"/>
          <w:szCs w:val="24"/>
        </w:rPr>
        <w:footnoteReference w:id="3"/>
      </w:r>
      <w:r>
        <w:rPr>
          <w:rFonts w:cs="Times New Roman"/>
          <w:sz w:val="24"/>
          <w:szCs w:val="24"/>
        </w:rPr>
        <w:t xml:space="preserve">. </w:t>
      </w:r>
      <w:r/>
    </w:p>
    <w:p>
      <w:pPr>
        <w:pStyle w:val="Normal"/>
        <w:spacing w:lineRule="auto" w:line="240" w:before="0" w:after="0"/>
        <w:jc w:val="both"/>
        <w:rPr>
          <w:sz w:val="24"/>
          <w:sz w:val="24"/>
          <w:szCs w:val="24"/>
          <w:rFonts w:eastAsia="Calibri" w:cs="Times New Roman"/>
        </w:rPr>
      </w:pPr>
      <w:r>
        <w:rPr>
          <w:rFonts w:eastAsia="Calibri" w:cs="Times New Roman"/>
          <w:sz w:val="24"/>
          <w:szCs w:val="24"/>
        </w:rPr>
        <w:t xml:space="preserve">La coerenza (Ferrari 2010a, 2011) è la qualità costitutiva di un testo e concerne la </w:t>
      </w:r>
      <w:r>
        <w:rPr>
          <w:rFonts w:cs="Times New Roman"/>
          <w:sz w:val="24"/>
          <w:szCs w:val="24"/>
        </w:rPr>
        <w:t>connessione logico-semantica fra i contenuti sul piano concettuale. Si può definire la coerenza come la</w:t>
      </w:r>
      <w:r>
        <w:rPr>
          <w:rFonts w:eastAsia="Calibri" w:cs="Times New Roman"/>
          <w:sz w:val="24"/>
          <w:szCs w:val="24"/>
        </w:rPr>
        <w:t xml:space="preserve"> forza che rende un testo chiaro e comprensibile per</w:t>
      </w:r>
      <w:r>
        <w:rPr>
          <w:rFonts w:cs="Times New Roman"/>
          <w:sz w:val="24"/>
          <w:szCs w:val="24"/>
        </w:rPr>
        <w:t xml:space="preserve"> il destinatario, grazie ad un insieme di meccanismi che strutturano la rete di collegamenti fra le idee che lo scrivente intende comunicare. </w:t>
      </w:r>
      <w:r>
        <w:rPr>
          <w:rFonts w:eastAsia="Calibri" w:cs="Times New Roman"/>
          <w:sz w:val="24"/>
          <w:szCs w:val="24"/>
        </w:rPr>
        <w:t xml:space="preserve">Quando in un testo manca la coerenza, i contenuti sono presentati in forma disarticolata e/o incompleta, ad esempio vi sono salti logici inspiegabili o parti lacunose nella comunicazione, per cui il destinatario incontra problemi nel ricostruire il percorso logico operato dall’autore e nel comprendere il senso di ciò che legge. </w:t>
      </w:r>
      <w:r/>
    </w:p>
    <w:p>
      <w:pPr>
        <w:pStyle w:val="Normal"/>
        <w:spacing w:lineRule="auto" w:line="240" w:before="0" w:after="0"/>
        <w:jc w:val="both"/>
        <w:rPr>
          <w:sz w:val="24"/>
          <w:sz w:val="24"/>
          <w:szCs w:val="24"/>
          <w:rFonts w:cs="Times New Roman"/>
        </w:rPr>
      </w:pPr>
      <w:r>
        <w:rPr>
          <w:rFonts w:cs="Times New Roman"/>
          <w:sz w:val="24"/>
          <w:szCs w:val="24"/>
        </w:rPr>
        <w:t xml:space="preserve">Benché la coerenza possa definirsi come la caratteristica strutturale di un testo (Conte 1988), occorre non dimenticare come la connessione logico-semantica a livello concettuale sia fortemente intrecciata alla manifestazione linguistica delle forme di collegamento fra gli avvenimenti, le entità e le frasi del testo, che costituiscono gli elementi della coesione (Andorno 2003, Ferrari 2010b, Palermo 2013).  </w:t>
      </w:r>
      <w:r/>
    </w:p>
    <w:p>
      <w:pPr>
        <w:pStyle w:val="Normal"/>
        <w:spacing w:lineRule="auto" w:line="240" w:before="0" w:after="0"/>
        <w:jc w:val="both"/>
        <w:rPr>
          <w:sz w:val="24"/>
          <w:sz w:val="24"/>
          <w:szCs w:val="24"/>
          <w:rFonts w:cs="Times New Roman"/>
        </w:rPr>
      </w:pPr>
      <w:r>
        <w:rPr>
          <w:rFonts w:cs="Times New Roman"/>
          <w:sz w:val="24"/>
          <w:szCs w:val="24"/>
        </w:rPr>
        <w:t>Per descrivere la coerenza dei testi analizzati in questo lavoro, sono state individuate alcune unità informative che gli alunni dovevano esprimere nei testi in cui riportavano un breve video muto, distinguendo tra unità informative principali (UIP), che non possono mancare nel testo a meno di non compromettere fortemente la comprensione del messaggio da parte del destinatario, e unità informative secondarie (UIS), meno importanti delle prime, che specificano i dettagli con cui queste si realizzano, descrivendo ad esempio i personaggi, le condizioni e il contesto, le varie azioni che costituiscono una sequenza. A titolo di esempio, riportiamo nella Tabella 1 la struttura di un testo prodotto da un alunno di classe quinta della scuola primaria, identificando le UIP e UIS.</w:t>
      </w:r>
      <w:r/>
    </w:p>
    <w:p>
      <w:pPr>
        <w:pStyle w:val="Normal"/>
        <w:spacing w:lineRule="auto" w:line="240" w:before="0" w:after="0"/>
        <w:jc w:val="both"/>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jc w:val="both"/>
        <w:rPr>
          <w:sz w:val="24"/>
          <w:i/>
          <w:sz w:val="24"/>
          <w:i/>
          <w:szCs w:val="24"/>
          <w:rFonts w:cs="Times New Roman"/>
        </w:rPr>
      </w:pPr>
      <w:r>
        <w:rPr>
          <w:rFonts w:cs="Times New Roman"/>
          <w:i/>
          <w:sz w:val="24"/>
          <w:szCs w:val="24"/>
        </w:rPr>
        <w:t>Tabella 1. La struttura del testo MB11_Charlot1</w:t>
      </w:r>
      <w:r/>
    </w:p>
    <w:p>
      <w:pPr>
        <w:pStyle w:val="Normal"/>
        <w:spacing w:lineRule="auto" w:line="240" w:before="0" w:after="0"/>
        <w:jc w:val="both"/>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tbl>
      <w:tblPr>
        <w:tblW w:w="9777" w:type="dxa"/>
        <w:jc w:val="left"/>
        <w:tblInd w:w="-5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53" w:type="dxa"/>
          <w:bottom w:w="0" w:type="dxa"/>
          <w:right w:w="108" w:type="dxa"/>
        </w:tblCellMar>
      </w:tblPr>
      <w:tblGrid>
        <w:gridCol w:w="4888"/>
        <w:gridCol w:w="4888"/>
      </w:tblGrid>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center"/>
              <w:rPr>
                <w:sz w:val="24"/>
                <w:i/>
                <w:sz w:val="24"/>
                <w:i/>
                <w:szCs w:val="24"/>
                <w:rFonts w:cs="Times New Roman"/>
              </w:rPr>
            </w:pPr>
            <w:r>
              <w:rPr>
                <w:rFonts w:cs="Times New Roman"/>
                <w:i/>
                <w:sz w:val="24"/>
                <w:szCs w:val="24"/>
              </w:rPr>
              <w:t>Unità informative principali</w:t>
            </w:r>
            <w:r/>
          </w:p>
          <w:p>
            <w:pPr>
              <w:pStyle w:val="Normal"/>
              <w:spacing w:lineRule="auto" w:line="240" w:before="0" w:after="0"/>
              <w:jc w:val="center"/>
              <w:rPr>
                <w:sz w:val="24"/>
                <w:i/>
                <w:sz w:val="24"/>
                <w:i/>
                <w:szCs w:val="24"/>
                <w:rFonts w:ascii="Times New Roman" w:hAnsi="Times New Roman" w:eastAsia="" w:cs="Times New Roman"/>
                <w:color w:val="00000A"/>
                <w:lang w:val="it-IT" w:eastAsia="it-IT" w:bidi="ar-SA"/>
              </w:rPr>
            </w:pPr>
            <w:r>
              <w:rPr>
                <w:rFonts w:eastAsia="" w:cs="Times New Roman"/>
                <w:i/>
                <w:color w:val="00000A"/>
                <w:sz w:val="24"/>
                <w:szCs w:val="24"/>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center"/>
              <w:rPr>
                <w:sz w:val="24"/>
                <w:i/>
                <w:sz w:val="24"/>
                <w:i/>
                <w:szCs w:val="24"/>
                <w:rFonts w:cs="Times New Roman"/>
              </w:rPr>
            </w:pPr>
            <w:r>
              <w:rPr>
                <w:rFonts w:cs="Times New Roman"/>
                <w:i/>
                <w:sz w:val="24"/>
                <w:szCs w:val="24"/>
              </w:rPr>
              <w:t>Unità informative secondarie</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Charlot trova lavoro ai grandi magazzini.</w:t>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All'inizio fa aspettare fuori la sua amica</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e mostra una lettera per il lavoro al capo.</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widowControl w:val="false"/>
              <w:suppressAutoHyphens w:val="true"/>
              <w:spacing w:lineRule="auto" w:line="240" w:before="0" w:after="0"/>
              <w:jc w:val="both"/>
              <w:rPr>
                <w:rFonts w:cs="Times New Roman"/>
              </w:rPr>
            </w:pPr>
            <w:r>
              <w:rPr>
                <w:rFonts w:cs="Times New Roman"/>
              </w:rPr>
              <w:t>Un altro signore mostra il posto di lavoro.</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Dopo Charlot prende la ragazza</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e offre dei panini alla ragazza</w:t>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widowControl w:val="false"/>
              <w:suppressAutoHyphens w:val="true"/>
              <w:spacing w:lineRule="auto" w:line="240" w:before="0" w:after="0"/>
              <w:jc w:val="both"/>
              <w:rPr>
                <w:rFonts w:cs="Times New Roman"/>
              </w:rPr>
            </w:pPr>
            <w:r>
              <w:rPr>
                <w:rFonts w:cs="Times New Roman"/>
              </w:rPr>
              <w:t>che era molto affamata.</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Al reparto giochi Charlot prende i pattini</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 xml:space="preserve">e pattina </w:t>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senza vedere,</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ma la ragazza lo salva</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widowControl w:val="false"/>
              <w:suppressAutoHyphens w:val="true"/>
              <w:spacing w:lineRule="auto" w:line="240" w:before="0" w:after="0"/>
              <w:jc w:val="both"/>
              <w:rPr>
                <w:rFonts w:cs="Times New Roman"/>
              </w:rPr>
            </w:pPr>
            <w:r>
              <w:rPr>
                <w:rFonts w:cs="Times New Roman"/>
              </w:rPr>
              <w:t xml:space="preserve">perché stava per cadere. </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Poi Charlot porta la ragazza in una stanza</w:t>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dove c'è un letto caldo</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e da la buonanotte.</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Charlot esce dalla stanza</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widowControl w:val="false"/>
              <w:suppressAutoHyphens w:val="true"/>
              <w:spacing w:lineRule="auto" w:line="240" w:before="0" w:after="0"/>
              <w:jc w:val="both"/>
              <w:rPr>
                <w:rFonts w:cs="Times New Roman"/>
              </w:rPr>
            </w:pPr>
            <w:r>
              <w:rPr>
                <w:rFonts w:cs="Times New Roman"/>
              </w:rPr>
              <w:t xml:space="preserve">e va al ristobar. </w:t>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rFonts w:cs="Times New Roman"/>
              </w:rPr>
            </w:pPr>
            <w:r>
              <w:rPr>
                <w:rFonts w:cs="Times New Roman"/>
              </w:rPr>
              <w:t>Arrivano i ladri con la pistola,</w:t>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widowControl w:val="false"/>
              <w:suppressAutoHyphens w:val="true"/>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r>
      <w:tr>
        <w:trPr/>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spacing w:lineRule="auto" w:line="240" w:before="0" w:after="0"/>
              <w:jc w:val="both"/>
              <w:rPr>
                <w:sz w:val="22"/>
                <w:sz w:val="22"/>
                <w:szCs w:val="22"/>
                <w:rFonts w:ascii="Times New Roman" w:hAnsi="Times New Roman" w:eastAsia="" w:cs="Times New Roman"/>
                <w:color w:val="00000A"/>
                <w:lang w:val="it-IT" w:eastAsia="it-IT" w:bidi="ar-SA"/>
              </w:rPr>
            </w:pPr>
            <w:r>
              <w:rPr>
                <w:rFonts w:eastAsia="" w:cs="Times New Roman"/>
                <w:color w:val="00000A"/>
                <w:sz w:val="22"/>
                <w:szCs w:val="22"/>
                <w:lang w:val="it-IT" w:eastAsia="it-IT" w:bidi="ar-SA"/>
              </w:rPr>
            </w:r>
            <w:r/>
          </w:p>
        </w:tc>
        <w:tc>
          <w:tcPr>
            <w:tcW w:w="488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rmal"/>
              <w:widowControl w:val="false"/>
              <w:suppressAutoHyphens w:val="true"/>
              <w:spacing w:lineRule="auto" w:line="240" w:before="0" w:after="0"/>
              <w:jc w:val="both"/>
              <w:rPr>
                <w:rFonts w:cs="Times New Roman"/>
              </w:rPr>
            </w:pPr>
            <w:r>
              <w:rPr>
                <w:rFonts w:cs="Times New Roman"/>
              </w:rPr>
              <w:t>ma Charlot non se ne accorge.</w:t>
            </w:r>
            <w:r/>
          </w:p>
        </w:tc>
      </w:tr>
    </w:tbl>
    <w:p>
      <w:pPr>
        <w:pStyle w:val="Normal"/>
        <w:widowControl w:val="false"/>
        <w:suppressAutoHyphens w:val="true"/>
        <w:spacing w:lineRule="auto" w:line="240" w:before="0" w:after="0"/>
        <w:jc w:val="both"/>
        <w:rPr>
          <w:sz w:val="22"/>
          <w:sz w:val="22"/>
          <w:szCs w:val="22"/>
          <w:rFonts w:ascii="Courier New" w:hAnsi="Courier New" w:eastAsia="SimSun" w:cs="Mangal"/>
          <w:color w:val="00000A"/>
          <w:lang w:val="it-IT" w:eastAsia="hi-IN" w:bidi="hi-IN"/>
        </w:rPr>
      </w:pPr>
      <w:r>
        <w:rPr>
          <w:rFonts w:eastAsia="SimSun" w:cs="Mangal" w:ascii="Courier New" w:hAnsi="Courier New"/>
          <w:color w:val="00000A"/>
          <w:sz w:val="22"/>
          <w:szCs w:val="22"/>
          <w:lang w:val="it-IT" w:eastAsia="hi-IN" w:bidi="hi-IN"/>
        </w:rPr>
      </w:r>
      <w:r/>
    </w:p>
    <w:p>
      <w:pPr>
        <w:pStyle w:val="Normal"/>
        <w:widowControl w:val="false"/>
        <w:suppressAutoHyphens w:val="true"/>
        <w:spacing w:lineRule="auto" w:line="240" w:before="0" w:after="0"/>
        <w:jc w:val="both"/>
        <w:rPr>
          <w:sz w:val="22"/>
          <w:sz w:val="22"/>
          <w:szCs w:val="22"/>
          <w:rFonts w:ascii="Courier New" w:hAnsi="Courier New" w:eastAsia="SimSun" w:cs="Mangal"/>
          <w:color w:val="00000A"/>
          <w:lang w:val="it-IT" w:eastAsia="hi-IN" w:bidi="hi-IN"/>
        </w:rPr>
      </w:pPr>
      <w:r>
        <w:rPr>
          <w:rFonts w:eastAsia="SimSun" w:cs="Mangal" w:ascii="Courier New" w:hAnsi="Courier New"/>
          <w:color w:val="00000A"/>
          <w:sz w:val="22"/>
          <w:szCs w:val="22"/>
          <w:lang w:val="it-IT" w:eastAsia="hi-IN" w:bidi="hi-IN"/>
        </w:rPr>
      </w:r>
      <w:r/>
    </w:p>
    <w:p>
      <w:pPr>
        <w:pStyle w:val="Normal"/>
        <w:spacing w:lineRule="auto" w:line="240" w:before="0" w:after="0"/>
        <w:jc w:val="both"/>
        <w:rPr>
          <w:sz w:val="24"/>
          <w:sz w:val="24"/>
          <w:szCs w:val="24"/>
          <w:rFonts w:cs="Times New Roman"/>
        </w:rPr>
      </w:pPr>
      <w:r>
        <w:rPr>
          <w:rFonts w:cs="Times New Roman"/>
          <w:sz w:val="24"/>
          <w:szCs w:val="24"/>
        </w:rPr>
        <w:t xml:space="preserve">Questo testo presenta le unità informative nello stesso ordine in cui sono presenti nel video, e il testo risulta coerente e comprensibile. Diverso è il caso di questo alunno: </w:t>
      </w:r>
      <w:r/>
    </w:p>
    <w:p>
      <w:pPr>
        <w:pStyle w:val="Normal"/>
        <w:spacing w:lineRule="auto" w:line="240" w:before="0" w:after="0"/>
        <w:jc w:val="both"/>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jc w:val="both"/>
        <w:rPr>
          <w:sz w:val="24"/>
          <w:i/>
          <w:sz w:val="24"/>
          <w:i/>
          <w:szCs w:val="24"/>
          <w:rFonts w:cs="Times New Roman"/>
        </w:rPr>
      </w:pPr>
      <w:r>
        <w:rPr>
          <w:rFonts w:cs="Times New Roman"/>
          <w:i/>
          <w:sz w:val="24"/>
          <w:szCs w:val="24"/>
        </w:rPr>
        <w:t xml:space="preserve">Esempio 1 – Testo </w:t>
      </w:r>
      <w:r>
        <w:rPr>
          <w:rFonts w:eastAsia="Times New Roman" w:cs="Times New Roman"/>
          <w:i/>
          <w:sz w:val="24"/>
          <w:szCs w:val="24"/>
        </w:rPr>
        <w:t>EP01_Charlot1</w:t>
      </w:r>
      <w:r>
        <w:rPr>
          <w:rFonts w:cs="Times New Roman"/>
          <w:i/>
          <w:sz w:val="24"/>
          <w:szCs w:val="24"/>
        </w:rPr>
        <w:t>, tratto dal corpus Osservare l’interlingua”</w:t>
      </w:r>
      <w:r>
        <w:rPr>
          <w:rStyle w:val="Richiamoallanotaapidipagina"/>
          <w:rFonts w:cs="Times New Roman"/>
          <w:i/>
          <w:sz w:val="24"/>
          <w:szCs w:val="24"/>
        </w:rPr>
        <w:footnoteReference w:id="4"/>
      </w:r>
      <w:r/>
    </w:p>
    <w:p>
      <w:pPr>
        <w:pStyle w:val="Normal"/>
        <w:spacing w:lineRule="auto" w:line="240" w:before="0" w:after="0"/>
        <w:jc w:val="both"/>
        <w:rPr>
          <w:sz w:val="24"/>
          <w:sz w:val="24"/>
          <w:szCs w:val="24"/>
          <w:rFonts w:eastAsia="Times New Roman" w:cs="Times New Roman"/>
        </w:rPr>
      </w:pPr>
      <w:r>
        <w:rPr>
          <w:rFonts w:eastAsia="Times New Roman" w:cs="Times New Roman"/>
          <w:sz w:val="24"/>
          <w:szCs w:val="24"/>
        </w:rPr>
        <w:t>Cera un signore che pattinava cera una signora che a appena fatto la doccia. Dopo era andato in ascensore dopo i ladri sono venuti dopo si sono nascosti doi poi stava pattinando. Poi avevano fatto scambio la pello ok capo poi era andato via dopo hanno mangiato</w:t>
      </w:r>
      <w:r/>
    </w:p>
    <w:p>
      <w:pPr>
        <w:pStyle w:val="Normal"/>
        <w:spacing w:lineRule="auto" w:line="240" w:before="0" w:after="0"/>
        <w:jc w:val="both"/>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jc w:val="both"/>
        <w:rPr>
          <w:sz w:val="24"/>
          <w:sz w:val="24"/>
          <w:szCs w:val="24"/>
          <w:rFonts w:eastAsia="Times New Roman" w:cs="Times New Roman"/>
        </w:rPr>
      </w:pPr>
      <w:r>
        <w:rPr>
          <w:rFonts w:cs="Times New Roman"/>
          <w:sz w:val="24"/>
          <w:szCs w:val="24"/>
        </w:rPr>
        <w:t xml:space="preserve">Qui i contenuti sono presentati alla rinfusa, partendo dalla terza delle cinque sequenze dell’episodio (“pattinava”) e concludendosi con la seconda (“hanno mangiato”), senza la possibilità da parte del lettore di avere informazioni sull’ordine cronologico degli avvenimenti e di capire lo svolgimento della storia narrata (l’ordine delle UIP risulta qui essere </w:t>
      </w:r>
      <w:r>
        <w:rPr>
          <w:rFonts w:eastAsia="Times New Roman" w:cs="Times New Roman"/>
          <w:sz w:val="24"/>
          <w:szCs w:val="24"/>
        </w:rPr>
        <w:t>“3, 5, 4, 1, 2”).</w:t>
      </w:r>
      <w:r/>
    </w:p>
    <w:p>
      <w:pPr>
        <w:pStyle w:val="Normal"/>
        <w:spacing w:lineRule="auto" w:line="240" w:before="0" w:after="0"/>
        <w:jc w:val="both"/>
        <w:rPr>
          <w:sz w:val="24"/>
          <w:sz w:val="24"/>
          <w:szCs w:val="24"/>
          <w:rFonts w:cs="Times New Roman"/>
        </w:rPr>
      </w:pPr>
      <w:r>
        <w:rPr>
          <w:rFonts w:cs="Times New Roman"/>
          <w:sz w:val="24"/>
          <w:szCs w:val="24"/>
        </w:rPr>
        <w:t xml:space="preserve">Una buona organizzazione del testo dipende dunque innanzitutto dalla selezione e dall’ordine delle unità informative principali e secondarie. Un secondo modo di organizzare i contenuti del testo riguarda mezzi quali l’interpunzione e la suddivisione in capoversi, o paragrafi. Secondo Cortelazzo (2003: 1), il capoverso ha il potere di “rendere manifesto al lettore il progetto di testo attualizzato dallo scrivente. Infatti, da una parte è un mezzo per segmentare il testo in porzioni più piccole, omogenee dal punto di vista tematico, in modo che la fruizione, e quindi la comprensione, del testo possa avvenire per tappe. Dall'altra, è un mezzo per raggruppare le frasi in unità più ampie, per evitare un'eccessiva frammentazione del testo e anche dei suoi contenuti informativi”. </w:t>
      </w:r>
      <w:r/>
    </w:p>
    <w:p>
      <w:pPr>
        <w:pStyle w:val="Normal"/>
        <w:spacing w:lineRule="auto" w:line="240" w:before="0" w:after="0"/>
        <w:jc w:val="both"/>
        <w:rPr>
          <w:sz w:val="24"/>
          <w:sz w:val="24"/>
          <w:szCs w:val="24"/>
          <w:rFonts w:cs="Times New Roman"/>
        </w:rPr>
      </w:pPr>
      <w:r>
        <w:rPr>
          <w:rFonts w:cs="Times New Roman"/>
          <w:sz w:val="24"/>
          <w:szCs w:val="24"/>
        </w:rPr>
        <w:t>Insieme alla scansione in capoversi, l’uso della punteggiatura ha la funzione di disvelare l’architettura dei contenuti, offrendo al lettore una guida per ricostruire i confini concettuali e sintattici delle parti che compongono il testo e dei legami di connessione che vigono fra queste (Mortara Garavelli 2003). La varietà della punteggiatura, in più, permette di segnalare diversi gradi di continuità o di autonomia concettuale e sintattica: dal massimo della discontinuità segnata dal punto e a capo, che chiude un capoverso e crea la possibilità che ne segua uno nuovo, alla codifica della separazione fra concetti veicolata dal punto fermo, al valore intermedio del punto e virgola, alla lieve autonomia marcata dalla virgola, che sottolinea la convergenza delle informazioni che co-occorrono in un periodo o, come afferma Solarino (2009), richiama in modo enfatico l’attenzione del lettore su una divergenza dell’ordine delle parole all’interno di una frase. Non a caso un testo privo di punteggiatura o con scarsi segni di interpunzione risulta ostico, ambiguo e confuso, si legge con fatica, rende difficile per il lettore seguire il filo logico del discorso e spesso lo obbliga a leggere più volte le stesse frasi per capirne la connessione e il concatenamento sia logico sia sintattico.</w:t>
      </w:r>
      <w:r/>
    </w:p>
    <w:p>
      <w:pPr>
        <w:pStyle w:val="Normal"/>
        <w:spacing w:lineRule="auto" w:line="240" w:before="0" w:after="0"/>
        <w:jc w:val="both"/>
        <w:rPr>
          <w:sz w:val="24"/>
          <w:sz w:val="24"/>
          <w:szCs w:val="24"/>
          <w:rFonts w:cs="Times New Roman"/>
        </w:rPr>
      </w:pPr>
      <w:r>
        <w:rPr>
          <w:rFonts w:cs="Times New Roman"/>
          <w:sz w:val="24"/>
          <w:szCs w:val="24"/>
        </w:rPr>
        <w:t>Come si vede, le operazioni che portano un testo ad essere coerente sono molteplici e complesse, pertanto lo sviluppo delle competenze testuali ha bisogno di molto tempo ed esercizio, oltre che una buona guida da parte dell’insegnante. Nel modello evolutivo di Bereiter e Scardamalia (1987), si sottolinea come una tappa importante nell’apprendimento di tali competenze sia il passaggio dalla cognizione alla metacognizione, ovvero l’evoluzione da uno stadio in cui l’alunno ha delle conoscenze e le trasmette in modo irriflesso, senza riuscire a decentrarsi dal testo e a mettersi nell’ottica di un potenziale lettore esterno alla sua mente, ad uno stadio in cui il bambino prende consapevolezza delle operazioni cognitive da lui operate e riporta le informazioni in modo che possano essere comprese anche da un lettore che può accedere al contenuto informativo solo grazie alla lettura del testo. Un esempio di questo problema è rappresentato dalla seguente narrazione, scritta da un alunno di classe terza.</w:t>
      </w:r>
      <w:r/>
    </w:p>
    <w:p>
      <w:pPr>
        <w:pStyle w:val="Normal"/>
        <w:spacing w:lineRule="auto" w:line="240" w:before="0" w:after="0"/>
        <w:jc w:val="both"/>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jc w:val="both"/>
        <w:rPr>
          <w:sz w:val="24"/>
          <w:i/>
          <w:sz w:val="24"/>
          <w:i/>
          <w:szCs w:val="24"/>
          <w:rFonts w:cs="Times New Roman"/>
        </w:rPr>
      </w:pPr>
      <w:r>
        <w:rPr>
          <w:rFonts w:cs="Times New Roman"/>
          <w:i/>
          <w:sz w:val="24"/>
          <w:szCs w:val="24"/>
        </w:rPr>
        <w:t>Esempio 2 – Testo EP</w:t>
      </w:r>
      <w:r>
        <w:rPr>
          <w:rFonts w:eastAsia="Times New Roman" w:cs="Times New Roman"/>
          <w:i/>
          <w:sz w:val="24"/>
          <w:szCs w:val="24"/>
        </w:rPr>
        <w:t>11_Charlot1</w:t>
      </w:r>
      <w:r>
        <w:rPr>
          <w:rFonts w:cs="Times New Roman"/>
          <w:i/>
          <w:sz w:val="24"/>
          <w:szCs w:val="24"/>
        </w:rPr>
        <w:t>, tratto dal corpus “Osservare l’interlingua”</w:t>
      </w:r>
      <w:r/>
    </w:p>
    <w:p>
      <w:pPr>
        <w:pStyle w:val="Normal"/>
        <w:spacing w:lineRule="auto" w:line="240" w:before="0" w:after="0"/>
        <w:jc w:val="both"/>
        <w:rPr>
          <w:rFonts w:eastAsia="Times New Roman" w:cs="Times New Roman"/>
        </w:rPr>
      </w:pPr>
      <w:r>
        <w:rPr>
          <w:rFonts w:eastAsia="Times New Roman" w:cs="Times New Roman"/>
        </w:rPr>
        <w:t xml:space="preserve">Un signore porta una donna e gli da da mangiare è prendono dei pattini e hanno sciato poi il signiore pattinava bene e la donna non riusciva. E poi la donna si era messa una coperta ed era sdraiata sull’letto il signore le r imrollare le coperte mentre l’uomo continuava a sciare. </w:t>
      </w:r>
      <w:r/>
    </w:p>
    <w:p>
      <w:pPr>
        <w:pStyle w:val="Normal"/>
        <w:spacing w:lineRule="auto" w:line="240" w:before="0" w:after="0"/>
        <w:jc w:val="both"/>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jc w:val="both"/>
        <w:rPr>
          <w:sz w:val="24"/>
          <w:sz w:val="24"/>
          <w:szCs w:val="24"/>
          <w:rFonts w:cs="Times New Roman"/>
        </w:rPr>
      </w:pPr>
      <w:r>
        <w:rPr>
          <w:rFonts w:cs="Times New Roman"/>
          <w:sz w:val="24"/>
          <w:szCs w:val="24"/>
        </w:rPr>
        <w:t xml:space="preserve">All’inizio del testo non si fornisce una contestualizzazione né temporale, né spaziale, né per quanto riguarda i personaggi e più avanti non si riportano i passaggi da una sequenza all’altra, nonostante questi siano ben chiari nel filmato e vengano scanditi dai cambi di scena da un reparto all’altro del supermercato in cui è ambientato l’episodio. Il testo 2 mostra anche un altro aspetto tipico delle prime produzioni scritte: l’organizzazione ancora strettamente locale delle unità informative, secondo la tecnica del </w:t>
      </w:r>
      <w:r>
        <w:rPr>
          <w:sz w:val="24"/>
        </w:rPr>
        <w:t>“dire ciò che si sa” (</w:t>
      </w:r>
      <w:r>
        <w:rPr>
          <w:i/>
          <w:sz w:val="24"/>
        </w:rPr>
        <w:t>knowledge telling</w:t>
      </w:r>
      <w:r>
        <w:rPr>
          <w:sz w:val="24"/>
        </w:rPr>
        <w:t xml:space="preserve">) </w:t>
      </w:r>
      <w:r>
        <w:rPr>
          <w:rFonts w:cs="Times New Roman"/>
          <w:sz w:val="24"/>
          <w:szCs w:val="24"/>
        </w:rPr>
        <w:t xml:space="preserve">(Bereiter e Scardamalia 1987). </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b/>
          <w:sz w:val="24"/>
          <w:b/>
          <w:szCs w:val="24"/>
          <w:rFonts w:cs="Times New Roman"/>
        </w:rPr>
      </w:pPr>
      <w:r>
        <w:rPr>
          <w:rFonts w:cs="Times New Roman"/>
          <w:b/>
          <w:sz w:val="24"/>
          <w:szCs w:val="24"/>
        </w:rPr>
        <w:t>3. Il percorso didattico</w:t>
      </w:r>
      <w:r/>
    </w:p>
    <w:p>
      <w:pPr>
        <w:pStyle w:val="Normal"/>
        <w:spacing w:lineRule="auto" w:line="240" w:before="0" w:after="0"/>
        <w:rPr>
          <w:sz w:val="24"/>
          <w:sz w:val="24"/>
          <w:szCs w:val="24"/>
          <w:rFonts w:cs="Times New Roman"/>
        </w:rPr>
      </w:pPr>
      <w:r>
        <w:rPr>
          <w:rFonts w:cs="Times New Roman"/>
          <w:sz w:val="24"/>
          <w:szCs w:val="24"/>
        </w:rPr>
        <w:tab/>
      </w:r>
      <w:r/>
    </w:p>
    <w:p>
      <w:pPr>
        <w:pStyle w:val="Normal"/>
        <w:spacing w:lineRule="auto" w:line="240" w:before="0" w:after="0"/>
        <w:ind w:left="0" w:right="0" w:firstLine="284"/>
        <w:jc w:val="both"/>
        <w:rPr>
          <w:sz w:val="24"/>
          <w:sz w:val="24"/>
          <w:szCs w:val="24"/>
          <w:rFonts w:cs="Times New Roman"/>
        </w:rPr>
      </w:pPr>
      <w:r>
        <w:rPr>
          <w:rFonts w:cs="Times New Roman"/>
          <w:sz w:val="24"/>
          <w:szCs w:val="24"/>
        </w:rPr>
        <w:t xml:space="preserve">Il percorso didattico proposto dalla sperimentazione educativa “Osservare l’interlingua” parte da una produzione scritta individuale che permetta l’osservazione da parte dell’insegnante delle competenze e dei bisogni degli alunni, secondo i criteri della valutazione formativa. Per quanto riguarda l’A.S. 2013/2014 in cui sono stati raccolti i dati qui analizzati, si è scelto uno stimolo video di impianto narrativo, tratto dal film “Tempi moderni” di Charlie Chaplin, sia per la produzione individuale che per il lavoro da condurre durante l’anno. Qui si descriverà a grandi linee il percorso svolto: maggiori dettagli, corredati anche da immagini che mostrano le tappe salienti, si possono reperire sul sito del progetto, nella sezione ‘percorsi didattici su testi narrativi’. </w:t>
      </w:r>
      <w:r/>
    </w:p>
    <w:p>
      <w:pPr>
        <w:pStyle w:val="Normal"/>
        <w:spacing w:lineRule="auto" w:line="240" w:before="0" w:after="0"/>
        <w:jc w:val="both"/>
        <w:rPr>
          <w:sz w:val="24"/>
          <w:sz w:val="24"/>
          <w:szCs w:val="24"/>
          <w:rFonts w:cs="Times New Roman"/>
        </w:rPr>
      </w:pPr>
      <w:r>
        <w:rPr>
          <w:rFonts w:cs="Times New Roman"/>
          <w:sz w:val="24"/>
          <w:szCs w:val="24"/>
        </w:rPr>
        <w:t xml:space="preserve">Dopo la raccolta iniziale, la classe viene divisa in gruppi per svolgere task mirati alla selezione e organizzazione delle idee, tramite attività di scoperta dello strumento della scaletta concettuale, o progetto del testo. Prima si chiede ai gruppi di dividere in sequenze la storia di Charlot, di cui si rivede il filmato più volte  durante il percorso; poi si invitano i gruppi a scegliere una parole chiave per ciascuna sequenza, in modo da costruire una serie iniziale delle unità informative principali, definite </w:t>
      </w:r>
      <w:r>
        <w:rPr>
          <w:rFonts w:cs="Times New Roman"/>
          <w:i/>
          <w:sz w:val="24"/>
          <w:szCs w:val="24"/>
        </w:rPr>
        <w:t>titoli</w:t>
      </w:r>
      <w:r>
        <w:rPr>
          <w:rFonts w:cs="Times New Roman"/>
          <w:sz w:val="24"/>
          <w:szCs w:val="24"/>
        </w:rPr>
        <w:t>, che gli alunni scrivono su buste da consegnare all’insegnante, che guida poi la restituzione a grande gruppo per arrivare a una scaletta condivisa dall’intera classe.</w:t>
      </w:r>
      <w:r/>
    </w:p>
    <w:p>
      <w:pPr>
        <w:pStyle w:val="Normal"/>
        <w:spacing w:lineRule="auto" w:line="240" w:before="0" w:after="0"/>
        <w:jc w:val="both"/>
        <w:rPr>
          <w:sz w:val="24"/>
          <w:sz w:val="24"/>
          <w:szCs w:val="24"/>
          <w:rFonts w:cs="Times New Roman"/>
        </w:rPr>
      </w:pPr>
      <w:r>
        <w:rPr>
          <w:rFonts w:cs="Times New Roman"/>
          <w:sz w:val="24"/>
          <w:szCs w:val="24"/>
        </w:rPr>
        <w:t xml:space="preserve">In seguito, i gruppi ricevono le proprie cinque buste, aggiornano la loro scaletta con la soluzione condivisa con i compagni e, dopo una o due ulteriori visioni del filmato, selezionano le unità informative secondarie, definite </w:t>
      </w:r>
      <w:r>
        <w:rPr>
          <w:rFonts w:cs="Times New Roman"/>
          <w:i/>
          <w:sz w:val="24"/>
          <w:szCs w:val="24"/>
        </w:rPr>
        <w:t>sottotitoli</w:t>
      </w:r>
      <w:r>
        <w:rPr>
          <w:rFonts w:cs="Times New Roman"/>
          <w:sz w:val="24"/>
          <w:szCs w:val="24"/>
        </w:rPr>
        <w:t xml:space="preserve">, individuando i particolari della storia da scrivere su strisce di carta, che saranno inserite all’interno della busta relativa alla sequenza pertinente. Si arricchisce così la scaletta di base tramite la selezione ragionata e organizzata delle unità informative secondarie. Dopo che ogni gruppo ha condiviso con la classe la propria scaletta arricchita e chiesto consigli su come migliorarla, gli alunni in gruppi scrivono il testo. </w:t>
      </w:r>
      <w:r/>
    </w:p>
    <w:p>
      <w:pPr>
        <w:pStyle w:val="Normal"/>
        <w:spacing w:lineRule="auto" w:line="240" w:before="0" w:after="0"/>
        <w:jc w:val="both"/>
        <w:rPr>
          <w:sz w:val="24"/>
          <w:sz w:val="24"/>
          <w:szCs w:val="24"/>
          <w:rFonts w:cs="Times New Roman"/>
        </w:rPr>
      </w:pPr>
      <w:r>
        <w:rPr>
          <w:rFonts w:cs="Times New Roman"/>
          <w:sz w:val="24"/>
          <w:szCs w:val="24"/>
        </w:rPr>
        <w:t xml:space="preserve">I testi dei gruppi, eventualmente dopo essere stati trascritti al computer, vengono attaccati su fogli A3 divisi in riquadri, ciascuno dei quali riguardante un aspetto da rivedere, e poi consegnati ad un altro gruppo per essere revisionati. Gli aspetti oggetto di revisione sono stati stabiliti insieme all’insegnante anche in base alle particolari esigenze della classe: di solito includono la scelta e organizzazione dei contenuti, la scansione del testo in capoversi, l’uso dei segni di interpunzione e, sempre all’ultimo posto, l’ortografia. Nella classe quarta e quinta viene poi proposta anche la revisione degli strumenti della coesione: il mantenimento del tempo verbale (Giuliano 2004), i riferimenti ai personaggi della storia, ovvero il sistema di elementi nominali, pronominali e di anafore zero che indicano le entità coinvolte (Andorno, 2003), i connettivi, ossia le strutture linguistiche che esprimono le relazioni semantiche tra gli eventi, come i rapporti di temporalità e di causa-effetto (Ferrari 2010b). Per ognuno di questi aspetti il gruppo di bambini assegna da una a tre </w:t>
      </w:r>
      <w:r>
        <w:rPr>
          <w:rFonts w:cs="Times New Roman"/>
          <w:i/>
          <w:sz w:val="24"/>
          <w:szCs w:val="24"/>
        </w:rPr>
        <w:t>stelle</w:t>
      </w:r>
      <w:r>
        <w:rPr>
          <w:rFonts w:cs="Times New Roman"/>
          <w:sz w:val="24"/>
          <w:szCs w:val="24"/>
        </w:rPr>
        <w:t xml:space="preserve"> per lodare le scelte ritenute più opportune, oppure formula un </w:t>
      </w:r>
      <w:r>
        <w:rPr>
          <w:rFonts w:cs="Times New Roman"/>
          <w:i/>
          <w:sz w:val="24"/>
          <w:szCs w:val="24"/>
        </w:rPr>
        <w:t>augurio</w:t>
      </w:r>
      <w:r>
        <w:rPr>
          <w:rFonts w:cs="Times New Roman"/>
          <w:sz w:val="24"/>
          <w:szCs w:val="24"/>
        </w:rPr>
        <w:t xml:space="preserve"> di fronte a elementi problematici, suggerendo strategie per migliorarli in futuro. Dopo che un gruppo ha letto e revisionato un testo per un aspetto, lo passa ad un altro gruppo che ne fa una revisione per l’aspetto successivo. L’attività di revisione viene quindi riproposta a ciascun gruppo più volte, tante quanti sono gli aspetti da revisionare, ogni volta sul testo di un gruppo diverso, concentrandosi su un singolo aspetto così che il cartellone via via si arricchisce di valutazioni, fino a completare tutti i riquadri.</w:t>
      </w:r>
      <w:r/>
    </w:p>
    <w:p>
      <w:pPr>
        <w:pStyle w:val="Normal"/>
        <w:spacing w:lineRule="auto" w:line="240" w:before="0" w:after="0"/>
        <w:jc w:val="both"/>
        <w:rPr>
          <w:sz w:val="24"/>
          <w:sz w:val="24"/>
          <w:szCs w:val="24"/>
          <w:rFonts w:cs="Times New Roman"/>
        </w:rPr>
      </w:pPr>
      <w:r>
        <w:rPr>
          <w:rFonts w:cs="Times New Roman"/>
          <w:sz w:val="24"/>
          <w:szCs w:val="24"/>
        </w:rPr>
        <w:t xml:space="preserve">Ciascun gruppo riceve alla fine il proprio testo originale commentato dagli altri gruppi e può così riscriverlo tenendo conto dei suggerimenti. I gruppi presentano poi alla classe i prodotti finali, motivando le correzioni fatte sulla base del feedback dei cartelloni o di osservazioni innescate dalla revisione dei testi degli altri gruppi, come accade frequentemente. La fase di restituzione finale, in cui il gruppo legge il proprio testo iniziale, la revisione ricevuta dagli altri gruppi e il testo corretto, offre un’occasione per far emergere e potenziare la capacità di formulare riflessioni metalinguistiche sulla funzione delle forme linguistiche, sui valori e le sfumature semantiche delle parole, sulle caratteristiche di un testo (Lo Duca 2003, 2004). </w:t>
      </w:r>
      <w:r/>
    </w:p>
    <w:p>
      <w:pPr>
        <w:pStyle w:val="Normal"/>
        <w:spacing w:lineRule="auto" w:line="240" w:before="0" w:after="0"/>
        <w:jc w:val="both"/>
        <w:rPr>
          <w:sz w:val="24"/>
          <w:sz w:val="24"/>
          <w:szCs w:val="24"/>
          <w:rFonts w:cs="Times New Roman"/>
        </w:rPr>
      </w:pPr>
      <w:r>
        <w:rPr>
          <w:rFonts w:cs="Times New Roman"/>
          <w:sz w:val="24"/>
          <w:szCs w:val="24"/>
        </w:rPr>
        <w:t xml:space="preserve">Come conclusione, si propone una riflessione metacognitiva sulla competenza procedurale della scrittura, ripercorrendo, prima in gruppo e poi a livello di classe intera, le attività del percorso e formalizzandole in uno schema, che diventa una sorta di </w:t>
      </w:r>
      <w:r>
        <w:rPr>
          <w:rFonts w:cs="Times New Roman"/>
          <w:i/>
          <w:sz w:val="24"/>
          <w:szCs w:val="24"/>
        </w:rPr>
        <w:t>vademecum</w:t>
      </w:r>
      <w:r>
        <w:rPr>
          <w:rFonts w:cs="Times New Roman"/>
          <w:sz w:val="24"/>
          <w:szCs w:val="24"/>
        </w:rPr>
        <w:t xml:space="preserve"> sulle regole per scrivere un buon testo basato sull’esperienza vissuta insieme e sulle osservazioni degli alunni.</w:t>
      </w:r>
      <w:r/>
    </w:p>
    <w:p>
      <w:pPr>
        <w:pStyle w:val="Normal"/>
        <w:spacing w:lineRule="auto" w:line="240" w:before="0" w:after="0"/>
        <w:jc w:val="both"/>
        <w:rPr>
          <w:sz w:val="24"/>
          <w:sz w:val="24"/>
          <w:szCs w:val="24"/>
          <w:rFonts w:cs="Times New Roman"/>
        </w:rPr>
      </w:pPr>
      <w:r>
        <w:rPr>
          <w:rFonts w:cs="Times New Roman"/>
          <w:sz w:val="24"/>
          <w:szCs w:val="24"/>
        </w:rPr>
        <w:t>Infine, al termine del percorso si raccolgono testi scritti individuali su un nuovo stimolo video, per poter confrontare la produzione scritta da ciascun alunno prima e dopo l’intervento didattico e misurare così i risultati della sperimentazione.</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b/>
          <w:sz w:val="24"/>
          <w:b/>
          <w:szCs w:val="24"/>
          <w:rFonts w:cs="Times New Roman"/>
        </w:rPr>
      </w:pPr>
      <w:r>
        <w:rPr>
          <w:rFonts w:cs="Times New Roman"/>
          <w:b/>
          <w:sz w:val="24"/>
          <w:szCs w:val="24"/>
        </w:rPr>
        <w:t>4. Raccolta e codifica dei dati</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rPr>
          <w:sz w:val="24"/>
          <w:sz w:val="24"/>
          <w:szCs w:val="24"/>
        </w:rPr>
      </w:pPr>
      <w:r>
        <w:rPr>
          <w:sz w:val="24"/>
          <w:szCs w:val="24"/>
        </w:rPr>
        <w:t xml:space="preserve">Nell’A.S. 2013/14 sono stati raccolti testi pre- (a novembre) e post- (a maggio) in 10 classi sperimentali e 10 di controllo. In questa sede si analizzano i dati provenienti da 188 testi prodotti in tre classi sperimentali e tre di controllo (Tab. 2). Le classi sperimentali hanno svolto il percorso didattico proposto dal progetto anche negli anni precedenti, a partire dalla classe prima, mentre le classi di controllo hanno svolto un percorso didattico ordinario. </w:t>
      </w:r>
      <w:r/>
    </w:p>
    <w:p>
      <w:pPr>
        <w:pStyle w:val="Normal"/>
        <w:rPr>
          <w:sz w:val="24"/>
          <w:sz w:val="24"/>
          <w:szCs w:val="24"/>
          <w:rFonts w:ascii="Times New Roman" w:hAnsi="Times New Roman" w:eastAsia="Calibri" w:cs="Times New Roman"/>
          <w:color w:val="00000A"/>
          <w:lang w:val="it-IT" w:eastAsia="en-US" w:bidi="ar-SA"/>
        </w:rPr>
      </w:pPr>
      <w:r>
        <w:rPr>
          <w:rFonts w:eastAsia="Calibri" w:cs="Times New Roman"/>
          <w:color w:val="00000A"/>
          <w:sz w:val="24"/>
          <w:szCs w:val="24"/>
          <w:lang w:val="it-IT" w:eastAsia="en-US" w:bidi="ar-SA"/>
        </w:rPr>
      </w:r>
      <w:r/>
    </w:p>
    <w:p>
      <w:pPr>
        <w:pStyle w:val="NoSpacing"/>
        <w:jc w:val="both"/>
        <w:rPr>
          <w:sz w:val="24"/>
          <w:i/>
          <w:sz w:val="24"/>
          <w:i/>
          <w:szCs w:val="24"/>
          <w:rFonts w:ascii="Times New Roman" w:hAnsi="Times New Roman"/>
        </w:rPr>
      </w:pPr>
      <w:r>
        <w:rPr>
          <w:rFonts w:ascii="Times New Roman" w:hAnsi="Times New Roman"/>
          <w:i/>
          <w:sz w:val="24"/>
          <w:szCs w:val="24"/>
        </w:rPr>
        <w:t>Tabella 2.Numero di testi raccolti nelle classi del campione</w:t>
      </w:r>
      <w:r/>
    </w:p>
    <w:p>
      <w:pPr>
        <w:pStyle w:val="NoSpacing"/>
        <w:jc w:val="both"/>
        <w:rPr>
          <w:sz w:val="24"/>
          <w:i/>
          <w:sz w:val="24"/>
          <w:i/>
          <w:szCs w:val="24"/>
          <w:rFonts w:ascii="Times New Roman" w:hAnsi="Times New Roman" w:eastAsia="Calibri" w:cs="Times New Roman"/>
          <w:color w:val="00000A"/>
          <w:lang w:val="it-IT" w:eastAsia="en-US" w:bidi="ar-SA"/>
        </w:rPr>
      </w:pPr>
      <w:r>
        <w:rPr>
          <w:rFonts w:eastAsia="Calibri" w:cs="Times New Roman" w:ascii="Times New Roman" w:hAnsi="Times New Roman"/>
          <w:i/>
          <w:color w:val="00000A"/>
          <w:sz w:val="24"/>
          <w:szCs w:val="24"/>
          <w:lang w:val="it-IT" w:eastAsia="en-US" w:bidi="ar-SA"/>
        </w:rPr>
      </w:r>
      <w:r/>
    </w:p>
    <w:tbl>
      <w:tblPr>
        <w:tblW w:w="9464" w:type="dxa"/>
        <w:jc w:val="left"/>
        <w:tblInd w:w="-5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53" w:type="dxa"/>
          <w:bottom w:w="0" w:type="dxa"/>
          <w:right w:w="108" w:type="dxa"/>
        </w:tblCellMar>
      </w:tblPr>
      <w:tblGrid>
        <w:gridCol w:w="2505"/>
        <w:gridCol w:w="1699"/>
        <w:gridCol w:w="1840"/>
        <w:gridCol w:w="1840"/>
        <w:gridCol w:w="1580"/>
      </w:tblGrid>
      <w:tr>
        <w:trPr/>
        <w:tc>
          <w:tcPr>
            <w:tcW w:w="25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b/>
                <w:sz w:val="24"/>
                <w:b/>
                <w:szCs w:val="24"/>
                <w:bCs/>
                <w:rFonts w:ascii="Times New Roman" w:hAnsi="Times New Roman"/>
              </w:rPr>
            </w:pPr>
            <w:r>
              <w:rPr>
                <w:rFonts w:ascii="Times New Roman" w:hAnsi="Times New Roman"/>
                <w:b/>
                <w:bCs/>
                <w:sz w:val="24"/>
                <w:szCs w:val="24"/>
              </w:rPr>
              <w:t>Gruppo sperimentale</w:t>
            </w:r>
            <w:r/>
          </w:p>
        </w:tc>
        <w:tc>
          <w:tcPr>
            <w:tcW w:w="1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sz w:val="24"/>
                <w:szCs w:val="24"/>
                <w:rFonts w:ascii="Times New Roman" w:hAnsi="Times New Roman"/>
              </w:rPr>
            </w:pPr>
            <w:r>
              <w:rPr>
                <w:rFonts w:ascii="Times New Roman" w:hAnsi="Times New Roman"/>
                <w:sz w:val="24"/>
                <w:szCs w:val="24"/>
              </w:rPr>
              <w:t xml:space="preserve">Classe terza </w:t>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sz w:val="24"/>
                <w:szCs w:val="24"/>
                <w:rFonts w:ascii="Times New Roman" w:hAnsi="Times New Roman"/>
              </w:rPr>
            </w:pPr>
            <w:r>
              <w:rPr>
                <w:rFonts w:ascii="Times New Roman" w:hAnsi="Times New Roman"/>
                <w:sz w:val="24"/>
                <w:szCs w:val="24"/>
              </w:rPr>
              <w:t xml:space="preserve">Classe quarta </w:t>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sz w:val="24"/>
                <w:szCs w:val="24"/>
                <w:rFonts w:ascii="Times New Roman" w:hAnsi="Times New Roman"/>
              </w:rPr>
            </w:pPr>
            <w:r>
              <w:rPr>
                <w:rFonts w:ascii="Times New Roman" w:hAnsi="Times New Roman"/>
                <w:sz w:val="24"/>
                <w:szCs w:val="24"/>
              </w:rPr>
              <w:t xml:space="preserve">Classe quinta </w:t>
            </w:r>
            <w:r/>
          </w:p>
        </w:tc>
        <w:tc>
          <w:tcPr>
            <w:tcW w:w="15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sz w:val="24"/>
                <w:szCs w:val="24"/>
                <w:rFonts w:ascii="Times New Roman" w:hAnsi="Times New Roman"/>
              </w:rPr>
            </w:pPr>
            <w:r>
              <w:rPr>
                <w:rFonts w:ascii="Times New Roman" w:hAnsi="Times New Roman"/>
                <w:sz w:val="24"/>
                <w:szCs w:val="24"/>
              </w:rPr>
              <w:t xml:space="preserve">Totale </w:t>
            </w:r>
            <w:r/>
          </w:p>
        </w:tc>
      </w:tr>
      <w:tr>
        <w:trPr/>
        <w:tc>
          <w:tcPr>
            <w:tcW w:w="25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sz w:val="24"/>
                <w:szCs w:val="24"/>
                <w:rFonts w:ascii="Times New Roman" w:hAnsi="Times New Roman"/>
              </w:rPr>
            </w:pPr>
            <w:r>
              <w:rPr>
                <w:rFonts w:ascii="Times New Roman" w:hAnsi="Times New Roman"/>
                <w:sz w:val="24"/>
                <w:szCs w:val="24"/>
              </w:rPr>
              <w:t>Raccolta pre</w:t>
            </w:r>
            <w:r/>
          </w:p>
        </w:tc>
        <w:tc>
          <w:tcPr>
            <w:tcW w:w="1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15</w:t>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16</w:t>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12</w:t>
            </w:r>
            <w:r/>
          </w:p>
        </w:tc>
        <w:tc>
          <w:tcPr>
            <w:tcW w:w="15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t>43</w:t>
            </w:r>
            <w:r/>
          </w:p>
        </w:tc>
      </w:tr>
      <w:tr>
        <w:trPr/>
        <w:tc>
          <w:tcPr>
            <w:tcW w:w="25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sz w:val="24"/>
                <w:szCs w:val="24"/>
                <w:rFonts w:ascii="Times New Roman" w:hAnsi="Times New Roman"/>
              </w:rPr>
            </w:pPr>
            <w:r>
              <w:rPr>
                <w:rFonts w:ascii="Times New Roman" w:hAnsi="Times New Roman"/>
                <w:sz w:val="24"/>
                <w:szCs w:val="24"/>
              </w:rPr>
              <w:t>Raccolta post</w:t>
            </w:r>
            <w:r/>
          </w:p>
        </w:tc>
        <w:tc>
          <w:tcPr>
            <w:tcW w:w="1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15</w:t>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16</w:t>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12</w:t>
            </w:r>
            <w:r/>
          </w:p>
        </w:tc>
        <w:tc>
          <w:tcPr>
            <w:tcW w:w="15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t>43</w:t>
            </w:r>
            <w:r/>
          </w:p>
        </w:tc>
      </w:tr>
      <w:tr>
        <w:trPr/>
        <w:tc>
          <w:tcPr>
            <w:tcW w:w="25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tc>
        <w:tc>
          <w:tcPr>
            <w:tcW w:w="1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tc>
        <w:tc>
          <w:tcPr>
            <w:tcW w:w="15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b/>
                <w:sz w:val="24"/>
                <w:b/>
                <w:szCs w:val="24"/>
                <w:bCs/>
                <w:rFonts w:ascii="Times New Roman" w:hAnsi="Times New Roman"/>
              </w:rPr>
            </w:pPr>
            <w:r>
              <w:rPr>
                <w:rFonts w:ascii="Times New Roman" w:hAnsi="Times New Roman"/>
                <w:b/>
                <w:bCs/>
                <w:sz w:val="24"/>
                <w:szCs w:val="24"/>
              </w:rPr>
              <w:t>86</w:t>
            </w:r>
            <w:r/>
          </w:p>
        </w:tc>
      </w:tr>
      <w:tr>
        <w:trPr/>
        <w:tc>
          <w:tcPr>
            <w:tcW w:w="2505" w:type="dxa"/>
            <w:tcBorders>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b/>
                <w:sz w:val="24"/>
                <w:b/>
                <w:szCs w:val="24"/>
                <w:bCs/>
                <w:rFonts w:ascii="Times New Roman" w:hAnsi="Times New Roman"/>
              </w:rPr>
            </w:pPr>
            <w:r>
              <w:rPr>
                <w:rFonts w:ascii="Times New Roman" w:hAnsi="Times New Roman"/>
                <w:b/>
                <w:bCs/>
                <w:sz w:val="24"/>
                <w:szCs w:val="24"/>
              </w:rPr>
              <w:t>Gruppo controllo</w:t>
            </w:r>
            <w:r/>
          </w:p>
        </w:tc>
        <w:tc>
          <w:tcPr>
            <w:tcW w:w="1699" w:type="dxa"/>
            <w:tcBorders>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tc>
        <w:tc>
          <w:tcPr>
            <w:tcW w:w="1840" w:type="dxa"/>
            <w:tcBorders>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tc>
        <w:tc>
          <w:tcPr>
            <w:tcW w:w="1840" w:type="dxa"/>
            <w:tcBorders>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tc>
        <w:tc>
          <w:tcPr>
            <w:tcW w:w="1580" w:type="dxa"/>
            <w:tcBorders>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2"/>
                <w:sz w:val="22"/>
                <w:szCs w:val="22"/>
                <w:rFonts w:ascii="Calibri" w:hAnsi="Calibri" w:eastAsia="Calibri" w:cs="Times New Roman"/>
                <w:color w:val="00000A"/>
                <w:lang w:val="it-IT" w:eastAsia="en-US" w:bidi="ar-SA"/>
              </w:rPr>
            </w:pPr>
            <w:r>
              <w:rPr>
                <w:rFonts w:eastAsia="Calibri" w:cs="Times New Roman"/>
                <w:color w:val="00000A"/>
                <w:sz w:val="22"/>
                <w:szCs w:val="22"/>
                <w:lang w:val="it-IT" w:eastAsia="en-US" w:bidi="ar-SA"/>
              </w:rPr>
            </w:r>
            <w:r/>
          </w:p>
        </w:tc>
      </w:tr>
      <w:tr>
        <w:trPr/>
        <w:tc>
          <w:tcPr>
            <w:tcW w:w="25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sz w:val="24"/>
                <w:szCs w:val="24"/>
                <w:rFonts w:ascii="Times New Roman" w:hAnsi="Times New Roman"/>
              </w:rPr>
            </w:pPr>
            <w:r>
              <w:rPr>
                <w:rFonts w:ascii="Times New Roman" w:hAnsi="Times New Roman"/>
                <w:sz w:val="24"/>
                <w:szCs w:val="24"/>
              </w:rPr>
              <w:t>Raccolta pre</w:t>
            </w:r>
            <w:r/>
          </w:p>
        </w:tc>
        <w:tc>
          <w:tcPr>
            <w:tcW w:w="1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15</w:t>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19</w:t>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17</w:t>
            </w:r>
            <w:r/>
          </w:p>
        </w:tc>
        <w:tc>
          <w:tcPr>
            <w:tcW w:w="15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t>51</w:t>
            </w:r>
            <w:r/>
          </w:p>
        </w:tc>
      </w:tr>
      <w:tr>
        <w:trPr/>
        <w:tc>
          <w:tcPr>
            <w:tcW w:w="25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sz w:val="24"/>
                <w:szCs w:val="24"/>
                <w:rFonts w:ascii="Times New Roman" w:hAnsi="Times New Roman"/>
              </w:rPr>
            </w:pPr>
            <w:r>
              <w:rPr>
                <w:rFonts w:ascii="Times New Roman" w:hAnsi="Times New Roman"/>
                <w:sz w:val="24"/>
                <w:szCs w:val="24"/>
              </w:rPr>
              <w:t>Raccolta post</w:t>
            </w:r>
            <w:r/>
          </w:p>
        </w:tc>
        <w:tc>
          <w:tcPr>
            <w:tcW w:w="1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15</w:t>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19</w:t>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rPr>
            </w:pPr>
            <w:r>
              <w:rPr>
                <w:rFonts w:ascii="Times New Roman" w:hAnsi="Times New Roman"/>
                <w:sz w:val="24"/>
                <w:szCs w:val="24"/>
              </w:rPr>
              <w:t>17</w:t>
            </w:r>
            <w:r/>
          </w:p>
        </w:tc>
        <w:tc>
          <w:tcPr>
            <w:tcW w:w="15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t>51</w:t>
            </w:r>
            <w:r/>
          </w:p>
        </w:tc>
      </w:tr>
      <w:tr>
        <w:trPr/>
        <w:tc>
          <w:tcPr>
            <w:tcW w:w="25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both"/>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tc>
        <w:tc>
          <w:tcPr>
            <w:tcW w:w="1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tc>
        <w:tc>
          <w:tcPr>
            <w:tcW w:w="18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tc>
        <w:tc>
          <w:tcPr>
            <w:tcW w:w="15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Mar>
              <w:left w:w="53" w:type="dxa"/>
            </w:tcMar>
          </w:tcPr>
          <w:p>
            <w:pPr>
              <w:pStyle w:val="NoSpacing"/>
              <w:spacing w:lineRule="auto" w:line="240" w:before="0" w:after="0"/>
              <w:jc w:val="center"/>
              <w:rPr>
                <w:sz w:val="24"/>
                <w:b/>
                <w:sz w:val="24"/>
                <w:b/>
                <w:szCs w:val="24"/>
                <w:bCs/>
                <w:rFonts w:ascii="Times New Roman" w:hAnsi="Times New Roman"/>
              </w:rPr>
            </w:pPr>
            <w:r>
              <w:rPr>
                <w:rFonts w:ascii="Times New Roman" w:hAnsi="Times New Roman"/>
                <w:b/>
                <w:bCs/>
                <w:sz w:val="24"/>
                <w:szCs w:val="24"/>
              </w:rPr>
              <w:t>102</w:t>
            </w:r>
            <w:r/>
          </w:p>
        </w:tc>
      </w:tr>
    </w:tbl>
    <w:p>
      <w:pPr>
        <w:pStyle w:val="NoSpacing"/>
        <w:jc w:val="both"/>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p>
      <w:pPr>
        <w:pStyle w:val="Normal"/>
        <w:rPr>
          <w:sz w:val="24"/>
          <w:sz w:val="24"/>
          <w:szCs w:val="24"/>
        </w:rPr>
      </w:pPr>
      <w:r>
        <w:rPr>
          <w:sz w:val="24"/>
          <w:szCs w:val="24"/>
        </w:rPr>
        <w:t>In entrambi i gruppi, le classi sono composte da alunni provenienti da famiglie italiane e da famiglie immigrate, quasi tutti nati e scolarizzati in Italia, con una bassissima percentuale di alunni neo-arrivati, disabili o con bisogni educativi speciali. I campioni riflettono quindi la naturale eterogeneità dei contesti educativi attuali: si è scelto di condurre le analisi in maniera aggregata per ciascuna classe, senza fare distinzioni fra alunni provenienti da famiglie italiane o straniere. Sono stati invece esclusi dalle analisi gli alunni stranieri neo-arrivati, che hanno raccontato la storia con disegni, gli alunni con disabilità o bisogni educativi speciali e gli alunni assenti ad una delle due raccolte.</w:t>
      </w:r>
      <w:r/>
    </w:p>
    <w:p>
      <w:pPr>
        <w:pStyle w:val="Normal"/>
        <w:rPr>
          <w:sz w:val="24"/>
          <w:sz w:val="24"/>
          <w:szCs w:val="24"/>
        </w:rPr>
      </w:pPr>
      <w:r>
        <w:rPr>
          <w:sz w:val="24"/>
          <w:szCs w:val="24"/>
        </w:rPr>
        <w:t xml:space="preserve">Come stimoli audio-visivi da far raccontare agli alunni in forma scritta individuale all’inizio e alla fine dell’anno scolastico si sono scelti due episodi tratti da due classici del cinema muto: la sequenza dei grandi magazzini, tratta dal film “Tempi moderni” (1936) di Charlie Chaplin, per la raccolta pre e per il percorso didattico; la sequenza del treno, tratta dal film “Il mondo della commedia” (una compilazione del 1962 di corti degli anni ‘10 e ‘20) di Harold Lloyd, per la raccolta post. Entrambi gli estratti durano circa quattro minuti, sono in bianco e nero e non hanno dialoghi; solo una colonna sonora accompagna le azioni dei protagonisti. Nella raccolta finale si è mostrato uno stimolo nuovo e diverso dal primo per verificare se le abilità acquisite nel percorso sperimentale fossero trasferibili a contesti nuovi: sarebbe stato troppo facile per chi ha svolto la sperimentazione scrivere un altro testo sul video sul quale ha lavorato per diversi mesi. I due stimoli sono comparabili per durata, impianto narrativo, complessità della trama, tipologia dei protagonisti, costituiti da un uomo e una donna, varietà dei collegamenti fra gli avvenimenti delle due storie, di natura prevalentemente temporale, causale o consequenziale. Per facilitare la comprensione delle due storie da parte dei bambini, l’insegnante ha letto una premessa, comune in tutte le sei classi: per il primo video, è stato spiegato che il film è ambientato nel passato e che tratta di un uomo di nome Charlot che ha trovato lavoro in un centro commerciale del suo tempo; per il secondo video, è stato spiegato che il protagonista è un uomo di nome Harry che sale su un treno dove non si possono portare animali. In seguito, il video è stato mostrato due volte e gli alunni hanno scritto un testo individuale con la  consegna: “Racconta la storia a chi non ha visto il film”. </w:t>
      </w:r>
      <w:r/>
    </w:p>
    <w:p>
      <w:pPr>
        <w:pStyle w:val="Normal"/>
        <w:rPr>
          <w:sz w:val="24"/>
          <w:sz w:val="24"/>
          <w:szCs w:val="24"/>
        </w:rPr>
      </w:pPr>
      <w:r>
        <w:rPr>
          <w:sz w:val="24"/>
          <w:szCs w:val="24"/>
        </w:rPr>
        <w:t xml:space="preserve">I testi sono stati archiviati, rinominati con un codice identificativo, costituito dalle iniziali dell’insegnante della classe e un numero progressivo per indicare l’alunno, a cui si è aggiunto il nome dello stimolo per distinguere i testi pre (Charlot1) dai testi post (Harry2). Ciascun testo è stato poi trascritto in formato digitale per effettuare la successiva codifica degli aspetti di coerenza e coesione testuale. In linea con le convenzioni del corpus “Osservare l’interlingua”, la trascrizione è stata fedele all’originale, riportandone errori, cancellature ed a capo, al fine di non alterare in alcun modo il testo prodotto dagli alunni. </w:t>
      </w:r>
      <w:r/>
    </w:p>
    <w:p>
      <w:pPr>
        <w:pStyle w:val="Normal"/>
        <w:rPr>
          <w:sz w:val="24"/>
          <w:sz w:val="24"/>
          <w:szCs w:val="24"/>
        </w:rPr>
      </w:pPr>
      <w:r>
        <w:rPr>
          <w:sz w:val="24"/>
          <w:szCs w:val="24"/>
        </w:rPr>
        <w:t>I dati sono poi stati codificati per arrivare al conteggio di alcuni indicatori rilevanti per valutare l’efficacia della sperimentazione</w:t>
      </w:r>
      <w:r>
        <w:rPr>
          <w:rStyle w:val="Richiamoallanotaapidipagina"/>
          <w:sz w:val="24"/>
          <w:szCs w:val="24"/>
        </w:rPr>
        <w:footnoteReference w:id="5"/>
      </w:r>
      <w:r>
        <w:rPr>
          <w:sz w:val="24"/>
          <w:szCs w:val="24"/>
        </w:rPr>
        <w:t xml:space="preserve">. La codifica è stata eseguita senza sapere quali testi facessero parte delle classi sperimentali e quali di quelle di controllo, in modo da evitare condizionamenti e pregiudizi nella loro valutazione (Lucisano e Salerni 2002). </w:t>
      </w:r>
      <w:r/>
    </w:p>
    <w:p>
      <w:pPr>
        <w:pStyle w:val="NoSpacing"/>
        <w:jc w:val="both"/>
        <w:rPr>
          <w:sz w:val="24"/>
          <w:sz w:val="24"/>
          <w:szCs w:val="24"/>
          <w:rFonts w:ascii="Times New Roman" w:hAnsi="Times New Roman"/>
        </w:rPr>
      </w:pPr>
      <w:r>
        <w:rPr>
          <w:rFonts w:ascii="Times New Roman" w:hAnsi="Times New Roman"/>
          <w:sz w:val="24"/>
          <w:szCs w:val="24"/>
        </w:rPr>
        <w:t>Come indicatori della coerenza e strutturazione dei testi sono stati individuati i seguenti parametri:</w:t>
      </w:r>
      <w:r/>
    </w:p>
    <w:p>
      <w:pPr>
        <w:pStyle w:val="NoSpacing"/>
        <w:numPr>
          <w:ilvl w:val="0"/>
          <w:numId w:val="1"/>
        </w:numPr>
        <w:jc w:val="both"/>
        <w:rPr>
          <w:sz w:val="24"/>
          <w:sz w:val="24"/>
          <w:szCs w:val="24"/>
          <w:rFonts w:ascii="Times New Roman" w:hAnsi="Times New Roman"/>
        </w:rPr>
      </w:pPr>
      <w:r>
        <w:rPr>
          <w:rFonts w:ascii="Times New Roman" w:hAnsi="Times New Roman"/>
          <w:sz w:val="24"/>
          <w:szCs w:val="24"/>
        </w:rPr>
        <w:t>numero totale di parole per testo, escludendo le parole cancellate dall’autore;</w:t>
      </w:r>
      <w:r/>
    </w:p>
    <w:p>
      <w:pPr>
        <w:pStyle w:val="NoSpacing"/>
        <w:numPr>
          <w:ilvl w:val="0"/>
          <w:numId w:val="1"/>
        </w:numPr>
        <w:jc w:val="both"/>
        <w:rPr>
          <w:sz w:val="24"/>
          <w:sz w:val="24"/>
          <w:szCs w:val="24"/>
          <w:rFonts w:ascii="Times New Roman" w:hAnsi="Times New Roman"/>
        </w:rPr>
      </w:pPr>
      <w:r>
        <w:rPr>
          <w:rFonts w:ascii="Times New Roman" w:hAnsi="Times New Roman"/>
          <w:sz w:val="24"/>
          <w:szCs w:val="24"/>
        </w:rPr>
        <w:t xml:space="preserve">numero di unità informative principali (UIP), sulla base di una lista preparata </w:t>
      </w:r>
      <w:r>
        <w:rPr>
          <w:rFonts w:ascii="Times New Roman" w:hAnsi="Times New Roman"/>
          <w:i/>
          <w:sz w:val="24"/>
          <w:szCs w:val="24"/>
        </w:rPr>
        <w:t>ad hoc</w:t>
      </w:r>
      <w:r>
        <w:rPr>
          <w:rFonts w:ascii="Times New Roman" w:hAnsi="Times New Roman"/>
          <w:sz w:val="24"/>
          <w:szCs w:val="24"/>
        </w:rPr>
        <w:t xml:space="preserve"> prima della codifica (5 UIP per entrambi gli stimoli video);</w:t>
      </w:r>
      <w:r/>
    </w:p>
    <w:p>
      <w:pPr>
        <w:pStyle w:val="NoSpacing"/>
        <w:numPr>
          <w:ilvl w:val="0"/>
          <w:numId w:val="1"/>
        </w:numPr>
        <w:jc w:val="both"/>
        <w:rPr>
          <w:sz w:val="24"/>
          <w:sz w:val="24"/>
          <w:szCs w:val="24"/>
          <w:rFonts w:ascii="Times New Roman" w:hAnsi="Times New Roman"/>
        </w:rPr>
      </w:pPr>
      <w:r>
        <w:rPr>
          <w:rFonts w:ascii="Times New Roman" w:hAnsi="Times New Roman"/>
          <w:sz w:val="24"/>
          <w:szCs w:val="24"/>
        </w:rPr>
        <w:t>numero di unità informative secondarie (UIS), sulla base della lista predisposta inizialmente (43 UIS per entrambi gli stimoli video);</w:t>
      </w:r>
      <w:r/>
    </w:p>
    <w:p>
      <w:pPr>
        <w:pStyle w:val="NoSpacing"/>
        <w:numPr>
          <w:ilvl w:val="0"/>
          <w:numId w:val="1"/>
        </w:numPr>
        <w:jc w:val="both"/>
        <w:rPr>
          <w:sz w:val="24"/>
          <w:sz w:val="24"/>
          <w:szCs w:val="24"/>
          <w:rFonts w:ascii="Times New Roman" w:hAnsi="Times New Roman"/>
        </w:rPr>
      </w:pPr>
      <w:r>
        <w:rPr>
          <w:rFonts w:ascii="Times New Roman" w:hAnsi="Times New Roman"/>
          <w:sz w:val="24"/>
          <w:szCs w:val="24"/>
        </w:rPr>
        <w:t>numero di punti;</w:t>
      </w:r>
      <w:r/>
    </w:p>
    <w:p>
      <w:pPr>
        <w:pStyle w:val="NoSpacing"/>
        <w:numPr>
          <w:ilvl w:val="0"/>
          <w:numId w:val="1"/>
        </w:numPr>
        <w:jc w:val="both"/>
        <w:rPr>
          <w:sz w:val="24"/>
          <w:sz w:val="24"/>
          <w:szCs w:val="24"/>
          <w:rFonts w:ascii="Times New Roman" w:hAnsi="Times New Roman"/>
        </w:rPr>
      </w:pPr>
      <w:r>
        <w:rPr>
          <w:rFonts w:ascii="Times New Roman" w:hAnsi="Times New Roman"/>
          <w:sz w:val="24"/>
          <w:szCs w:val="24"/>
        </w:rPr>
        <w:t xml:space="preserve">numero di punti inappropriati, ovvero i punti inseriti all’interno di un elenco, i punti che spezzano un sintagma nominale o un sintagma verbale, i punti </w:t>
      </w:r>
      <w:r>
        <w:rPr>
          <w:rFonts w:eastAsia="Droid Sans Fallback" w:ascii="Times New Roman" w:hAnsi="Times New Roman"/>
          <w:color w:val="00000A"/>
          <w:sz w:val="24"/>
          <w:szCs w:val="24"/>
          <w:lang w:eastAsia="pl-PL"/>
        </w:rPr>
        <w:t>che separano frasi complesse connesse sintatticamente e/o per contenuto</w:t>
      </w:r>
      <w:r>
        <w:rPr>
          <w:rFonts w:ascii="Times New Roman" w:hAnsi="Times New Roman"/>
          <w:sz w:val="24"/>
          <w:szCs w:val="24"/>
        </w:rPr>
        <w:t>;</w:t>
      </w:r>
      <w:r/>
    </w:p>
    <w:p>
      <w:pPr>
        <w:pStyle w:val="NoSpacing"/>
        <w:numPr>
          <w:ilvl w:val="0"/>
          <w:numId w:val="1"/>
        </w:numPr>
        <w:jc w:val="both"/>
        <w:rPr>
          <w:sz w:val="24"/>
          <w:sz w:val="24"/>
          <w:szCs w:val="24"/>
          <w:rFonts w:ascii="Times New Roman" w:hAnsi="Times New Roman"/>
        </w:rPr>
      </w:pPr>
      <w:r>
        <w:rPr>
          <w:rFonts w:ascii="Times New Roman" w:hAnsi="Times New Roman"/>
          <w:sz w:val="24"/>
          <w:szCs w:val="24"/>
        </w:rPr>
        <w:t>numero di virgole;</w:t>
      </w:r>
      <w:r/>
    </w:p>
    <w:p>
      <w:pPr>
        <w:pStyle w:val="NoSpacing"/>
        <w:numPr>
          <w:ilvl w:val="0"/>
          <w:numId w:val="1"/>
        </w:numPr>
        <w:jc w:val="both"/>
        <w:rPr>
          <w:sz w:val="24"/>
          <w:sz w:val="24"/>
          <w:szCs w:val="24"/>
          <w:rFonts w:ascii="Times New Roman" w:hAnsi="Times New Roman"/>
        </w:rPr>
      </w:pPr>
      <w:r>
        <w:rPr>
          <w:rFonts w:ascii="Times New Roman" w:hAnsi="Times New Roman"/>
          <w:sz w:val="24"/>
          <w:szCs w:val="24"/>
        </w:rPr>
        <w:t>numero di virgole inappropriate, come le virgole che separano il soggetto dal verbo o il verbo dai suoi argomenti, o le virgole che aprono un inciso che non viene chiuso correttamente;</w:t>
      </w:r>
      <w:r/>
    </w:p>
    <w:p>
      <w:pPr>
        <w:pStyle w:val="NoSpacing"/>
        <w:numPr>
          <w:ilvl w:val="0"/>
          <w:numId w:val="1"/>
        </w:numPr>
        <w:jc w:val="both"/>
        <w:rPr>
          <w:sz w:val="24"/>
          <w:sz w:val="24"/>
          <w:szCs w:val="24"/>
          <w:rFonts w:ascii="Times New Roman" w:hAnsi="Times New Roman"/>
        </w:rPr>
      </w:pPr>
      <w:r>
        <w:rPr>
          <w:rFonts w:ascii="Times New Roman" w:hAnsi="Times New Roman"/>
          <w:sz w:val="24"/>
          <w:szCs w:val="24"/>
        </w:rPr>
        <w:t>numero di altri segni di interpunzione riportati nel testo, quali il punto e virgola, i due punti, i punti di sospensione, il punto interrogativo e il punto esclamativo;</w:t>
      </w:r>
      <w:r/>
    </w:p>
    <w:p>
      <w:pPr>
        <w:pStyle w:val="NoSpacing"/>
        <w:numPr>
          <w:ilvl w:val="0"/>
          <w:numId w:val="1"/>
        </w:numPr>
        <w:jc w:val="both"/>
        <w:rPr>
          <w:sz w:val="24"/>
          <w:sz w:val="24"/>
          <w:szCs w:val="24"/>
          <w:rFonts w:ascii="Times New Roman" w:hAnsi="Times New Roman"/>
        </w:rPr>
      </w:pPr>
      <w:r>
        <w:rPr>
          <w:rFonts w:ascii="Times New Roman" w:hAnsi="Times New Roman"/>
          <w:sz w:val="24"/>
          <w:szCs w:val="24"/>
        </w:rPr>
        <w:t>numero di altri segni di interpunzione inappropriati;</w:t>
      </w:r>
      <w:r/>
    </w:p>
    <w:p>
      <w:pPr>
        <w:pStyle w:val="NoSpacing"/>
        <w:numPr>
          <w:ilvl w:val="0"/>
          <w:numId w:val="1"/>
        </w:numPr>
        <w:jc w:val="both"/>
        <w:rPr>
          <w:sz w:val="24"/>
          <w:sz w:val="24"/>
          <w:szCs w:val="24"/>
          <w:rFonts w:ascii="Times New Roman" w:hAnsi="Times New Roman"/>
        </w:rPr>
      </w:pPr>
      <w:r>
        <w:rPr>
          <w:rFonts w:ascii="Times New Roman" w:hAnsi="Times New Roman"/>
          <w:sz w:val="24"/>
          <w:szCs w:val="24"/>
        </w:rPr>
        <w:t>numero di capoversi.</w:t>
      </w:r>
      <w:r/>
    </w:p>
    <w:p>
      <w:pPr>
        <w:pStyle w:val="NoSpacing"/>
        <w:jc w:val="both"/>
        <w:rPr>
          <w:sz w:val="24"/>
          <w:sz w:val="24"/>
          <w:szCs w:val="24"/>
          <w:rFonts w:ascii="Times New Roman" w:hAnsi="Times New Roman" w:eastAsia="Calibri" w:cs="Times New Roman"/>
          <w:color w:val="00000A"/>
          <w:lang w:val="it-IT" w:eastAsia="en-US" w:bidi="ar-SA"/>
        </w:rPr>
      </w:pPr>
      <w:r>
        <w:rPr>
          <w:rFonts w:eastAsia="Calibri" w:cs="Times New Roman" w:ascii="Times New Roman" w:hAnsi="Times New Roman"/>
          <w:color w:val="00000A"/>
          <w:sz w:val="24"/>
          <w:szCs w:val="24"/>
          <w:lang w:val="it-IT" w:eastAsia="en-US" w:bidi="ar-SA"/>
        </w:rPr>
      </w:r>
      <w:r/>
    </w:p>
    <w:p>
      <w:pPr>
        <w:pStyle w:val="Normal"/>
        <w:spacing w:lineRule="auto" w:line="240" w:before="0" w:after="0"/>
        <w:jc w:val="both"/>
        <w:rPr>
          <w:sz w:val="24"/>
          <w:sz w:val="24"/>
          <w:szCs w:val="24"/>
          <w:rFonts w:cs="Times New Roman"/>
        </w:rPr>
      </w:pPr>
      <w:r>
        <w:rPr>
          <w:rFonts w:cs="Times New Roman"/>
          <w:sz w:val="24"/>
          <w:szCs w:val="24"/>
        </w:rPr>
        <w:t>Dal momento che i testi sono di lunghezza differente fra loro, le frequenze assolute dei vari segni di punteggiatura sono state standardizzate come frequenze su 100 parole. Ugualmente, si è calcolata la percentuale di segni di punteggiatura inappropriati rispetto al totale dei segni impiegati, ad esempio le virgole inappropriate sul totale delle virgole.</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ind w:left="708" w:right="0" w:firstLine="3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b/>
          <w:sz w:val="24"/>
          <w:b/>
          <w:szCs w:val="24"/>
          <w:rFonts w:cs="Times New Roman"/>
        </w:rPr>
      </w:pPr>
      <w:r>
        <w:rPr>
          <w:rFonts w:cs="Times New Roman"/>
          <w:b/>
          <w:sz w:val="24"/>
          <w:szCs w:val="24"/>
        </w:rPr>
        <w:t>5. Analisi dei dati</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cs="Times New Roman"/>
        </w:rPr>
      </w:pPr>
      <w:r>
        <w:rPr>
          <w:rFonts w:cs="Times New Roman"/>
          <w:sz w:val="24"/>
          <w:szCs w:val="24"/>
        </w:rPr>
        <w:t xml:space="preserve">Un’analisi quantitativa dei dati evidenzia una serie di importanti differenze tra le classi sperimentali e di controllo. Per ragioni di spazio, non è qui possibile entrare nel dettaglio di tutte le misure, che però nel loro insieme indicano delle tendenze piuttosto nette. Inoltre, le singole classi (III, IV e V sperimentali e di controllo), benché mostrino andamenti in buona parte analoghi, presentano talvolta peculiarità, sulle quali ci soffermeremo solo nei casi in cui esse appaiano particolarmente rilevanti. Per valutare la significatività statistica delle differenze tra classi sono stati condotti test </w:t>
      </w:r>
      <w:r>
        <w:rPr>
          <w:rFonts w:cs="Times New Roman"/>
          <w:i/>
          <w:iCs/>
          <w:sz w:val="24"/>
          <w:szCs w:val="24"/>
        </w:rPr>
        <w:t>t</w:t>
      </w:r>
      <w:r>
        <w:rPr>
          <w:rFonts w:cs="Times New Roman"/>
          <w:sz w:val="24"/>
          <w:szCs w:val="24"/>
        </w:rPr>
        <w:t xml:space="preserve"> di Welch (che non assumono varianze uguali tra gruppi) per campioni indipendenti; la soglia di significatività è stata fissata a </w:t>
      </w:r>
      <w:r>
        <w:rPr>
          <w:rFonts w:cs="Times New Roman"/>
          <w:i/>
          <w:iCs/>
          <w:sz w:val="24"/>
          <w:szCs w:val="24"/>
        </w:rPr>
        <w:t>p</w:t>
      </w:r>
      <w:r>
        <w:rPr>
          <w:rFonts w:cs="Times New Roman"/>
          <w:sz w:val="24"/>
          <w:szCs w:val="24"/>
        </w:rPr>
        <w:t xml:space="preserve"> &lt; 0.05.</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i/>
          <w:sz w:val="24"/>
          <w:i/>
          <w:szCs w:val="24"/>
          <w:iCs/>
          <w:rFonts w:cs="Times New Roman"/>
        </w:rPr>
      </w:pPr>
      <w:r>
        <w:rPr>
          <w:rFonts w:cs="Times New Roman"/>
          <w:i/>
          <w:iCs/>
          <w:sz w:val="24"/>
          <w:szCs w:val="24"/>
        </w:rPr>
        <w:t>5.1 Selezione e organizzazione dei contenuti</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cs="Times New Roman"/>
        </w:rPr>
      </w:pPr>
      <w:r>
        <w:rPr>
          <w:rFonts w:cs="Times New Roman"/>
          <w:sz w:val="24"/>
          <w:szCs w:val="24"/>
        </w:rPr>
        <w:t xml:space="preserve">Un primo aspetto da considerare è la lunghezza dei testi, espressa come numero delle parole. All’inizio dell’anno, la III e la IV sperimentali scrivono testi mediamente più lunghi delle rispettive classi di controllo, mentre le V hanno valori identici. Alla fine dell’anno, tuttavia, tutte e tre le classi sperimentali hanno scritto testi significativamente più lunghi di quelle di controllo (in media 184 parole vs. 151; t = -2.1062, df = 91.571, p &lt; 0.05). </w:t>
      </w:r>
      <w:r/>
    </w:p>
    <w:p>
      <w:pPr>
        <w:pStyle w:val="Normal"/>
        <w:spacing w:lineRule="auto" w:line="240" w:before="0" w:after="0"/>
        <w:rPr>
          <w:sz w:val="24"/>
          <w:sz w:val="24"/>
          <w:szCs w:val="24"/>
          <w:rFonts w:cs="Times New Roman"/>
        </w:rPr>
      </w:pPr>
      <w:r>
        <w:rPr>
          <w:rFonts w:cs="Times New Roman"/>
          <w:sz w:val="24"/>
          <w:szCs w:val="24"/>
        </w:rPr>
        <w:t xml:space="preserve">Anche per quanto riguarda le Unità Informative Principali (UIP), che esprimono i contenuti fondamentali del video da riportare, i testi prodotti alla fine dell’anno nelle classi sperimentali risultano essere più completi, con 4,6 contro 4,27 UIP (t = -2.1831, df = 87.662, p &lt; 0.05). Vale però la pena notare una differenza importante e statisticamente significativa all’inizio dell’anno scolastico, quando la media delle classi di controllo (senza particolari differenze tra III, IV e V) era di 3,43 UIP contro le 4,65 delle classi sperimentali. In altri termini, le classi di controllo hanno compiuto dei discreti progressi, ma nonostante ciò non sono riuscite ad arrivare ai livelli che le classi sperimentali avevano già a inizio anno e che hanno sostanzialmente mantenuto, non essendo possibile migliorare sensibilmente un livello di partenza di 4,65 unità informative su un massimo di 5. </w:t>
      </w:r>
      <w:r/>
    </w:p>
    <w:p>
      <w:pPr>
        <w:pStyle w:val="Normal"/>
        <w:spacing w:lineRule="auto" w:line="240" w:before="0" w:after="0"/>
        <w:rPr>
          <w:sz w:val="24"/>
          <w:sz w:val="24"/>
          <w:szCs w:val="24"/>
          <w:rFonts w:cs="Times New Roman"/>
        </w:rPr>
      </w:pPr>
      <w:r>
        <w:rPr>
          <w:rFonts w:cs="Times New Roman"/>
          <w:sz w:val="24"/>
          <w:szCs w:val="24"/>
        </w:rPr>
        <w:t xml:space="preserve">Considerazioni simili valgono anche per le Unità Informative Secondarie (UIS), che esprimono il livello di dettaglio nei testi. Anche su questo parametro le classi sperimentali mostravano livelli significativamente più alti di quelle di controllo all’inizio dell’anno (12,3 contro 8,8 UIS per testo). In questo caso però, essendo il tetto massimo molto più alto (43 UIS teoricamente possibili), entrambi i gruppi migliorano nel corso dell’anno arrivando rispettivamente a 18,95 e 17,53: il vantaggio delle classi sperimentali si è leggermente assottigliato, ma resta presente, pur non raggiungendo la significatività statistica. </w:t>
      </w:r>
      <w:r/>
    </w:p>
    <w:p>
      <w:pPr>
        <w:pStyle w:val="Normal"/>
        <w:spacing w:lineRule="auto" w:line="240" w:before="0" w:after="0"/>
        <w:rPr>
          <w:sz w:val="24"/>
          <w:sz w:val="24"/>
          <w:szCs w:val="24"/>
          <w:rFonts w:cs="Times New Roman"/>
        </w:rPr>
      </w:pPr>
      <w:r>
        <w:rPr>
          <w:rFonts w:cs="Times New Roman"/>
          <w:sz w:val="24"/>
          <w:szCs w:val="24"/>
        </w:rPr>
        <w:t xml:space="preserve">Se il numero di parole e di unità informative possono indicare la ricchezza e la completezza di un testo, il numero di capoversi e il numero medio di parole per capoverso indicano il modo in cui esso è strutturato. Uno degli obiettivi della sperimentazione educativa era proprio quello di abituare gli alunni ad andare a capo ad ogni cambio di argomento, che in un testo narrativo basato su un video corrisponde a un cambio di sequenza di eventi. Se i bambini hanno compreso che prima di scrivere bisogna progettare il testo, e che fare ciò implica anche suddividerlo in blocchi tematici coerenti e distinti tra loro, si osserverà un maggiore uso della paragrafazione; altrimenti, i bambini tenderanno a scrivere blocchi di testo indifferenziati al loro interno, come riflesso della modalità “dire tutto ciò che si sa”, senza mettere in atto strategie organizzative. </w:t>
      </w:r>
      <w:r/>
    </w:p>
    <w:p>
      <w:pPr>
        <w:pStyle w:val="Normal"/>
        <w:spacing w:lineRule="auto" w:line="240" w:before="0" w:after="0"/>
        <w:rPr>
          <w:sz w:val="24"/>
          <w:sz w:val="24"/>
          <w:szCs w:val="24"/>
          <w:rFonts w:cs="Times New Roman"/>
        </w:rPr>
      </w:pPr>
      <w:r>
        <w:rPr>
          <w:rFonts w:cs="Times New Roman"/>
          <w:sz w:val="24"/>
          <w:szCs w:val="24"/>
        </w:rPr>
        <w:t>Gli alunni delle classi di controllo producono in media due capoversi per testo all’inizio dell’anno, un valore che è aumentato di poco alla fine, passando a 2,22 (è però interessante notare che i bambini di III e IV hanno aumentato leggermente il loro numero di a capo nel corso dell’anno, mentre quelli di V ne hanno usati meno, scendendo dai circa 3 di ottobre a poco più di 2 a maggio). Ben diverso il quadro delle classi sperimentali, che partono con una media di 3,26 capoversi per testo all’inizio dell’anno per arrivare a 5 alla fine. Per quanta cautela si voglia esprimere sull’uso dei dati aggregati, non si può non rilevare che 5 è anche il numero delle unità informative principali e che dunque,</w:t>
      </w:r>
      <w:r>
        <w:rPr>
          <w:rFonts w:cs="Times New Roman"/>
          <w:i/>
          <w:iCs/>
          <w:sz w:val="24"/>
          <w:szCs w:val="24"/>
        </w:rPr>
        <w:t xml:space="preserve"> in media</w:t>
      </w:r>
      <w:r>
        <w:rPr>
          <w:rFonts w:cs="Times New Roman"/>
          <w:sz w:val="24"/>
          <w:szCs w:val="24"/>
        </w:rPr>
        <w:t>, gli alunni delle classi sperimentali vanno a capo ogni volta che passano da una macro-sequenza all’altra. La differenza tra gruppi è significativa sia all’inizio che alla fine dell’anno (t = -2.5801, df = 85.078, p &lt; 0.05; t = -5.1951, df = 60.785, p &lt; 0.001).</w:t>
      </w:r>
      <w:r/>
    </w:p>
    <w:p>
      <w:pPr>
        <w:pStyle w:val="Normal"/>
        <w:spacing w:lineRule="auto" w:line="240" w:before="0" w:after="0"/>
        <w:rPr>
          <w:sz w:val="24"/>
          <w:sz w:val="24"/>
          <w:szCs w:val="24"/>
          <w:rFonts w:cs="Times New Roman"/>
        </w:rPr>
      </w:pPr>
      <w:r>
        <w:rPr>
          <w:rFonts w:cs="Times New Roman"/>
          <w:sz w:val="24"/>
          <w:szCs w:val="24"/>
        </w:rPr>
        <w:t xml:space="preserve">Un dato complementare al precedente riguarda il numero di parole per capoverso. Nelle tre classi di controllo aggregate, questo valore parte da 61,68 all’inizio dell’anno per arrivare a 99,9 alla fine: pare dunque che gli alunni, nel corso dell’anno scolastico, abbiano sì imparato a scrivere testi più lunghi, ma non a organizzarli meglio, suddividendoli in blocchi coerenti. Diverso il caso delle classi sperimentali, che passano da una media di 55 parole per capoverso a inizio anno a una di 58,83: all’allungarsi dei testi corrisponde un aumento dei capoversi, per cui questi ultimi mantengono una lunghezza ‘ragionevole’, intorno alle 50-60 parole. La differenza tra classi sperimentali e di controllo rispetto a questo parametro non è significativa a inizio anno, mentre lo è alla fine (t = 2.9292, df = 91.754, p &lt;  0.005). </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i/>
          <w:sz w:val="24"/>
          <w:i/>
          <w:szCs w:val="24"/>
          <w:iCs/>
          <w:rFonts w:cs="Times New Roman"/>
        </w:rPr>
      </w:pPr>
      <w:r>
        <w:rPr>
          <w:rFonts w:cs="Times New Roman"/>
          <w:i/>
          <w:iCs/>
          <w:sz w:val="24"/>
          <w:szCs w:val="24"/>
        </w:rPr>
        <w:t>5.2 La punteggiatura</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cs="Times New Roman"/>
        </w:rPr>
      </w:pPr>
      <w:r>
        <w:rPr>
          <w:rFonts w:cs="Times New Roman"/>
          <w:sz w:val="24"/>
          <w:szCs w:val="24"/>
        </w:rPr>
        <w:t xml:space="preserve">Osserviamo ora l’uso dei segni di punteggiatura, discutendo prima la loro quantità e in seguito l’appropriatezza. Nella scuola primaria la punteggiatura si inizia a usare in modo sistematico dalla classe III, per cui anche la presenza e la quantità di segni di interpunzione è già indice di un apprendimento in corso, indipendentemente dalla correttezza con cui vengono usati. I bambini delle classi sperimentali appaiono da questo punto di vista più inclini a sperimentare, soprattutto alla fine del percorso di sperimentazione. A inizio anno, infatti, i bambini delle classi di controllo usavano un po’ più di virgole (1,94 contro 1,78) e di punti (4,78 contro 3,58) per 100 parole; nelle classi sperimentali si usava un numero leggermente superiore di altri segni di punteggiatura, che sono comunque rarissimi (0,20 per 100 parole nelle classi di controllo e 0,27 in quelle sperimentali). Nessuna di queste differenze tuttavia risulta essere statisticamente significativa. </w:t>
      </w:r>
      <w:r/>
    </w:p>
    <w:p>
      <w:pPr>
        <w:pStyle w:val="Normal"/>
        <w:spacing w:lineRule="auto" w:line="240" w:before="0" w:after="0"/>
        <w:rPr>
          <w:sz w:val="24"/>
          <w:sz w:val="24"/>
          <w:szCs w:val="24"/>
          <w:rFonts w:cs="Times New Roman"/>
        </w:rPr>
      </w:pPr>
      <w:r>
        <w:rPr>
          <w:rFonts w:cs="Times New Roman"/>
          <w:sz w:val="24"/>
          <w:szCs w:val="24"/>
        </w:rPr>
        <w:t>Il quadro cambia alla fine dell’anno scolastico. Per quanto riguarda le virgole, la loro frequenza aumenta leggermente nelle terze sia sperimentale che di controllo, mentre nelle quarte e nelle quinte si registrano andamenti contrari: gli alunni delle classi di controllo diminuiscono nel corso dell’anno il loro impiego di virgole, che invece aumenta notevolmente in quelle sperimentali. E’ come se, apprendendo a scrivere frasi e testi più lunghi, gli alunni delle classi di controllo non sviluppassero in parallelo l’abilità di segmentarli attraverso le virgole, così come non hanno sviluppato quella di segmentarli con i punti a capo; al contrario, nelle classi sperimentali le virgole si fanno più frequenti, a indicare una maggiore volontà di articolare il discorso. A fine anno scolastico la differenza tra gruppi aggregati risulta essere statisticamente significativa (t = -2.04, df = 82.411, p &lt; 0.05).</w:t>
      </w:r>
      <w:r/>
    </w:p>
    <w:p>
      <w:pPr>
        <w:pStyle w:val="Normal"/>
        <w:spacing w:lineRule="auto" w:line="240" w:before="0" w:after="0"/>
        <w:rPr>
          <w:sz w:val="24"/>
          <w:sz w:val="24"/>
          <w:szCs w:val="24"/>
          <w:rFonts w:cs="Times New Roman"/>
        </w:rPr>
      </w:pPr>
      <w:r>
        <w:rPr>
          <w:rFonts w:cs="Times New Roman"/>
          <w:sz w:val="24"/>
          <w:szCs w:val="24"/>
        </w:rPr>
        <w:t xml:space="preserve">L’uso dei punti fermi presenta un quadro abbastanza simile. In tutte e tre le classi di controllo la loro frequenza su 100 parole - che era inizialmente più alta nelle classi III e IV, ma più bassa in V -  diminuisce sensibilmente nel testo prodotto a fine anno scolastico. Nella III sperimentale l’uso dei punti aumenta nettamente, mentre in IV e V si mantiene costante: in ogni caso, alla fine dell’anno, gli alunni delle tre classi sperimentali messi insieme dimostrano un uso più frequente del punto fermo (4,31 contro 3,64 delle classi di controllo, differenza non statisticamente significativa). </w:t>
      </w:r>
      <w:r/>
    </w:p>
    <w:p>
      <w:pPr>
        <w:pStyle w:val="Normal"/>
        <w:spacing w:lineRule="auto" w:line="240" w:before="0" w:after="0"/>
        <w:rPr>
          <w:sz w:val="24"/>
          <w:sz w:val="24"/>
          <w:szCs w:val="24"/>
          <w:rFonts w:cs="Times New Roman"/>
        </w:rPr>
      </w:pPr>
      <w:r>
        <w:rPr>
          <w:rFonts w:cs="Times New Roman"/>
          <w:sz w:val="24"/>
          <w:szCs w:val="24"/>
        </w:rPr>
        <w:t xml:space="preserve">Solo negli altri segni di punteggiatura, le classi di controllo aumentano la frequenza mentre quelle sperimentali la diminuiscono: si tratta di numeri comunque molto piccoli (tra 0,15 e 0,27 segni su 100 parole) e differenze molto modeste, che non risultano mai statisticamente significative. </w:t>
      </w:r>
      <w:r/>
    </w:p>
    <w:p>
      <w:pPr>
        <w:pStyle w:val="Normal"/>
        <w:spacing w:lineRule="auto" w:line="240" w:before="0" w:after="0"/>
        <w:rPr>
          <w:sz w:val="24"/>
          <w:sz w:val="24"/>
          <w:szCs w:val="24"/>
          <w:rFonts w:cs="Times New Roman"/>
        </w:rPr>
      </w:pPr>
      <w:r>
        <w:rPr>
          <w:rFonts w:cs="Times New Roman"/>
          <w:sz w:val="24"/>
          <w:szCs w:val="24"/>
        </w:rPr>
        <w:t>Nelle classi sperimentali si ha dunque un uso più frequente della punteggiatura. Ci si può  chiedere se tali usi siano anche corretti, calcolando la proporzione di usi appropriati sul totale degli usi. Occorre però precisare che, mentre quasi tutti gli alunni hanno inserito almeno un punto fermo nei loro elaborati, si trovano virgole solo nel 54% circa dei testi di controllo e nel 73% di quelli sperimentali (aggregando pre e post test), il che significa che per un numero piuttosto ampio di alunni non è stato possibile calcolare la proporzione tra usi accurati e non accurati della virgola; anche gli altri segni di interpunzione sono stati impiegati solo nel 13% dei testi di controllo e nel 23% dei testi sperimentali, con numeri di alunni su cui è possibile calcolare la proporzione decisamente bassi.</w:t>
      </w:r>
      <w:r/>
    </w:p>
    <w:p>
      <w:pPr>
        <w:pStyle w:val="Normal"/>
        <w:spacing w:lineRule="auto" w:line="240" w:before="0" w:after="0"/>
        <w:rPr>
          <w:sz w:val="24"/>
          <w:sz w:val="24"/>
          <w:szCs w:val="24"/>
          <w:rFonts w:cs="Times New Roman"/>
        </w:rPr>
      </w:pPr>
      <w:r>
        <w:rPr>
          <w:rFonts w:cs="Times New Roman"/>
          <w:sz w:val="24"/>
          <w:szCs w:val="24"/>
        </w:rPr>
        <w:t xml:space="preserve">Fatte queste precisazioni, che suggeriscono cautela nell’interpretazione dei dati, le analisi statistiche non mostrano differenze significative a livello di accuratezza tra i due gruppi, sia nel pre-test di ottobre sia nel post-test di maggio. L’unica differenza che raggiunge la significatività statistica riguarda la proporzione di virgole corrette, che all’inizio dell’anno è più alta nelle classi sperimentali rispetto a quelle di controllo (94% contro 79%). </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i/>
          <w:sz w:val="24"/>
          <w:i/>
          <w:szCs w:val="24"/>
          <w:iCs/>
          <w:rFonts w:cs="Times New Roman"/>
        </w:rPr>
      </w:pPr>
      <w:r>
        <w:rPr>
          <w:rFonts w:cs="Times New Roman"/>
          <w:i/>
          <w:iCs/>
          <w:sz w:val="24"/>
          <w:szCs w:val="24"/>
        </w:rPr>
        <w:t>5.3 La dispersione tra alunni: analisi del coefficiente di variazione</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eastAsia="" w:cs="Times New Roman"/>
          <w:color w:val="00000A"/>
          <w:lang w:val="it-IT" w:eastAsia="it-IT" w:bidi="ar-SA"/>
        </w:rPr>
      </w:pPr>
      <w:r>
        <w:rPr>
          <w:rFonts w:eastAsia="" w:cs="Times New Roman"/>
          <w:color w:val="00000A"/>
          <w:sz w:val="24"/>
          <w:szCs w:val="24"/>
          <w:lang w:val="it-IT" w:eastAsia="it-IT" w:bidi="ar-SA"/>
        </w:rPr>
        <w:t xml:space="preserve">Dopo avere esaminato l’andamento delle medie, vale la pena discutere anche la dispersione dei diversi punteggi intorno ad esse, che si può esprimere attraverso il coefficiente di variazione, ovvero la proporzione tra la deviazione standard e la media. </w:t>
      </w:r>
      <w:r/>
    </w:p>
    <w:p>
      <w:pPr>
        <w:pStyle w:val="Normal"/>
        <w:spacing w:lineRule="auto" w:line="240" w:before="0" w:after="0"/>
        <w:rPr>
          <w:sz w:val="24"/>
          <w:sz w:val="24"/>
          <w:szCs w:val="24"/>
          <w:rFonts w:eastAsia="" w:cs="Times New Roman"/>
          <w:color w:val="00000A"/>
          <w:lang w:val="it-IT" w:eastAsia="it-IT" w:bidi="ar-SA"/>
        </w:rPr>
      </w:pPr>
      <w:r>
        <w:rPr>
          <w:rFonts w:eastAsia="" w:cs="Times New Roman"/>
          <w:color w:val="00000A"/>
          <w:sz w:val="24"/>
          <w:szCs w:val="24"/>
          <w:lang w:val="it-IT" w:eastAsia="it-IT" w:bidi="ar-SA"/>
        </w:rPr>
        <w:t>Per quanto riguarda i parametri che indicano l’organizzazione del testo, gli alunni delle classi sperimentali risultano essere più vicini tra loro rispetto ai pari delle classi di controllo, sia a inizio che a fine anno: i coefficienti di variazione relativi al numero di parole, di UIP e UIS, di capoversi e di parole per capoverso sono sempre più bassi (con una sola eccezione: il numero di parole per capoverso nel post-test). Stesso quadro per quanto riguarda la punteggiatura: nell’uso di virgole, punti e altri segni di interpunzione, si osserva meno variabilità tra gli alunni delle classi sperimentali sia a inizio che a fine anno, senza alcuna eccezione. Le classi di controllo paiono essere leggermente più omogenee solo per quanto riguarda l’accuratezza dei segni di punteggiatura: i loro coefficienti di variazione sono inferiori a quelli delle classi sperimentali nella percentuale di punti e virgole inappropriati sul totale, con un’eccezione data da una maggiore omogeneità degli alunni di classe sperimentale nella proporzione di virgole appropriate a fine anno. Sull’accuratezza degli altri segni di punteggiatura, alunni sperimentali e di controllo presentano lo stesso livello di variazione.</w:t>
      </w:r>
      <w:r/>
    </w:p>
    <w:p>
      <w:pPr>
        <w:pStyle w:val="Normal"/>
        <w:spacing w:lineRule="auto" w:line="240" w:before="0" w:after="0"/>
        <w:rPr>
          <w:sz w:val="24"/>
          <w:sz w:val="24"/>
          <w:szCs w:val="24"/>
          <w:rFonts w:eastAsia="" w:cs="Times New Roman"/>
          <w:color w:val="00000A"/>
          <w:lang w:val="it-IT" w:eastAsia="it-IT" w:bidi="ar-SA"/>
        </w:rPr>
      </w:pPr>
      <w:r>
        <w:rPr>
          <w:rFonts w:eastAsia="" w:cs="Times New Roman"/>
          <w:color w:val="00000A"/>
          <w:sz w:val="24"/>
          <w:szCs w:val="24"/>
          <w:lang w:val="it-IT" w:eastAsia="it-IT" w:bidi="ar-SA"/>
        </w:rPr>
        <w:t>Possiamo dunque riassumere l’analisi della variazione in questo modo: sia all’inizio che alla fine dell’anno, le classi sperimentali presentano coefficienti di variazione inferiori a quelli delle classi di controllo in 8 indicatori sui 10 presi in esame, risultando dunque nettamente più omogenee al loro interno.</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b/>
          <w:sz w:val="24"/>
          <w:b/>
          <w:szCs w:val="24"/>
          <w:rFonts w:cs="Times New Roman"/>
        </w:rPr>
      </w:pPr>
      <w:r>
        <w:rPr>
          <w:rFonts w:cs="Times New Roman"/>
          <w:b/>
          <w:sz w:val="24"/>
          <w:szCs w:val="24"/>
        </w:rPr>
        <w:t>6. Conclusioni</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eastAsia="" w:cs="Times New Roman"/>
          <w:color w:val="00000A"/>
          <w:lang w:val="it-IT" w:eastAsia="it-IT" w:bidi="ar-SA"/>
        </w:rPr>
      </w:pPr>
      <w:r>
        <w:rPr>
          <w:rFonts w:eastAsia="" w:cs="Times New Roman"/>
          <w:color w:val="00000A"/>
          <w:sz w:val="24"/>
          <w:szCs w:val="24"/>
          <w:lang w:val="it-IT" w:eastAsia="it-IT" w:bidi="ar-SA"/>
        </w:rPr>
        <w:t xml:space="preserve">In questo saggio si sono presentati i risultati di un percorso di sperimentazione educativa volto a promuovere un migliore uso della scrittura nella scuola primaria. Ci pare che gli obiettivi siano stati raggiunti, dimostrando l’efficacia di un’educazione linguistica impostata sui principi della scrittura processuale, della facilitazione procedurale e dell’apprendimento cooperativo. Nel campione di classi analizzate, gli alunni che hanno preso parte al progetto scrivono testi più lunghi, più completi sia di informazioni principali sia di dettagli secondari, e meglio articolati in capoversi: dimostrano dunque di gestire meglio la coerenza testuale. Essi inoltre dimostrano un maggiore uso dei principali segni di punteggiatura, e in particolare della virgola, che hanno una simile funzione di organizzazione dei contenuti del testo, ma a livello della frase e del periodo. Per quanto riguarda l’adeguatezza dell’interpunzione, classi sperimentali e di controllo non presentano invece differenze significative. </w:t>
      </w:r>
      <w:r/>
    </w:p>
    <w:p>
      <w:pPr>
        <w:pStyle w:val="Normal"/>
        <w:spacing w:lineRule="auto" w:line="240" w:before="0" w:after="0"/>
        <w:rPr>
          <w:sz w:val="24"/>
          <w:sz w:val="24"/>
          <w:szCs w:val="24"/>
          <w:rFonts w:eastAsia="" w:cs="Times New Roman"/>
          <w:color w:val="00000A"/>
          <w:lang w:val="it-IT" w:eastAsia="it-IT" w:bidi="ar-SA"/>
        </w:rPr>
      </w:pPr>
      <w:r>
        <w:rPr>
          <w:rFonts w:eastAsia="" w:cs="Times New Roman"/>
          <w:color w:val="00000A"/>
          <w:sz w:val="24"/>
          <w:szCs w:val="24"/>
          <w:lang w:val="it-IT" w:eastAsia="it-IT" w:bidi="ar-SA"/>
        </w:rPr>
        <w:t xml:space="preserve">Un dato importante per un progetto di didattica inclusiva come questo riguarda il coefficiente di variazione, che risulta essere sistematicamente più basso nelle classi sperimentali. Ciò significa che chi ha preso parte alla sperimentazione non solo ha imparato a scrivere meglio, ma che questo miglioramento della media di classe non risulta da pochi alunni eccellenti, ma da un innalzamento generalizzato delle medie di tutti i ragazzi: insomma, la media di classe si alza mentre le differenze tra gli alunni diminuiscono. Ci pare che questo risultato realizzi uno dei principali obiettivi di un’educazione linguistica democratica: portare tutti a traguardi alti riducendo le differenze tra gli alunni, in modo da garantire a ciascuno la possibilità di conseguire buone competenze linguistiche. Vale la pena ricordare che le classi sperimentali e di controllo provenivano dalla stessa città e in alcuni casi persino dalla stessa scuola, e che non è quindi possibile attribuire il successo delle classi sperimentali a un livello socio-educativo degli alunni sistematicamente più alto. Il fatto che su molti indicatori le classi sperimentali partissero da valori più alti rispetto a quelle di controllo è probabilmente dovuto alla loro partecipazione alla sperimentazione già da diversi anni: se questa differenza tra i gruppi sperimentali e di controllo a inizio anno può costituire un problema sul piano della validità scientifica dello studio (che però è da qualificarsi come quasi-sperimentale, cioè con assegnazione non casuale dei soggetti ai gruppi), essa risulta invece essere un aspetto positivo su un piano pratico. Ciò significa che i risultati della sperimentazione non si perdono da un anno all’altro, come a volte temono gli insegnanti, ma che si mantengono e si consolidano, facendo sì che gli alunni delle classi sperimentali scrivano meglio di quelli di controllo fin dall’inizio dell’anno scolastico. </w:t>
      </w:r>
      <w:r/>
    </w:p>
    <w:p>
      <w:pPr>
        <w:pStyle w:val="Normal"/>
        <w:spacing w:lineRule="auto" w:line="240" w:before="0" w:after="0"/>
        <w:rPr>
          <w:sz w:val="24"/>
          <w:sz w:val="24"/>
          <w:szCs w:val="24"/>
          <w:rFonts w:eastAsia="" w:cs="Times New Roman"/>
          <w:color w:val="00000A"/>
          <w:lang w:val="it-IT" w:eastAsia="it-IT" w:bidi="ar-SA"/>
        </w:rPr>
      </w:pPr>
      <w:r>
        <w:rPr>
          <w:rFonts w:eastAsia="" w:cs="Times New Roman"/>
          <w:color w:val="00000A"/>
          <w:sz w:val="24"/>
          <w:szCs w:val="24"/>
          <w:lang w:val="it-IT" w:eastAsia="it-IT" w:bidi="ar-SA"/>
        </w:rPr>
        <w:t xml:space="preserve">Questo saggio costituisce uno dei primi studi di validazione della sperimentazione educativa </w:t>
      </w:r>
      <w:r>
        <w:rPr>
          <w:rFonts w:eastAsia="" w:cs="Times New Roman"/>
          <w:i/>
          <w:iCs/>
          <w:color w:val="00000A"/>
          <w:sz w:val="24"/>
          <w:szCs w:val="24"/>
          <w:lang w:val="it-IT" w:eastAsia="it-IT" w:bidi="ar-SA"/>
        </w:rPr>
        <w:t>Osservare l’interlingua</w:t>
      </w:r>
      <w:r>
        <w:rPr>
          <w:rFonts w:eastAsia="" w:cs="Times New Roman"/>
          <w:color w:val="00000A"/>
          <w:sz w:val="24"/>
          <w:szCs w:val="24"/>
          <w:lang w:val="it-IT" w:eastAsia="it-IT" w:bidi="ar-SA"/>
        </w:rPr>
        <w:t>. Il campione analizzato non è certo di grandi dimensioni, ma nemmeno modesto, e consente di mostrare che molte differenze osservate tra i gruppi sperimentali e di controllo sono statisticamente significative. E’ ora in corso l’analisi degli altri dati raccolti (per un totale di 10 classi sperimentali e 10 di controllo), in modo da poter presentare risultati basati su un campione più consistente. Inoltre, i dati verranno analizzati anche mediante l’uso di scale olistiche con descrittori della qualità dei testi: anche qui, i lavori preliminari di Castellari (2014) e Caretta (2015) mostrano che i testi prodotti dagli alunni delle classi sperimentali sono valutati in modo sistematicamente migliore di quelli prodotti nelle classi di controllo, e che il coefficiente di variazione è sempre minore. In futuro verrà inoltre approfondito il piano della coesione testuale, finora trattato solo in un lavoro preliminare (Rosi e Borelli 2014).</w:t>
      </w:r>
      <w:r/>
    </w:p>
    <w:p>
      <w:pPr>
        <w:pStyle w:val="Normal"/>
        <w:spacing w:lineRule="auto" w:line="240" w:before="0" w:after="0"/>
        <w:rPr>
          <w:sz w:val="24"/>
          <w:sz w:val="24"/>
          <w:szCs w:val="24"/>
          <w:rFonts w:eastAsia="" w:cs="Times New Roman"/>
          <w:color w:val="00000A"/>
          <w:lang w:val="it-IT" w:eastAsia="it-IT" w:bidi="ar-SA"/>
        </w:rPr>
      </w:pPr>
      <w:r>
        <w:rPr>
          <w:rFonts w:eastAsia="" w:cs="Times New Roman"/>
          <w:color w:val="00000A"/>
          <w:sz w:val="24"/>
          <w:szCs w:val="24"/>
          <w:lang w:val="it-IT" w:eastAsia="it-IT" w:bidi="ar-SA"/>
        </w:rPr>
        <w:t>I risultati ottenuti fino ad ora ci paiono perciò incoraggianti e dimostrano che un’educazione linguistica efficace, inclusiva e democratica è realmente possibile.</w:t>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Normal"/>
        <w:spacing w:lineRule="auto" w:line="240" w:before="0" w:after="0"/>
        <w:rPr>
          <w:sz w:val="24"/>
          <w:b/>
          <w:sz w:val="24"/>
          <w:b/>
          <w:szCs w:val="24"/>
          <w:rFonts w:cs="Times New Roman"/>
        </w:rPr>
      </w:pPr>
      <w:r>
        <w:rPr>
          <w:rFonts w:cs="Times New Roman"/>
          <w:b/>
          <w:sz w:val="24"/>
          <w:szCs w:val="24"/>
        </w:rPr>
        <w:t>Bibliografia</w:t>
      </w:r>
      <w:r/>
    </w:p>
    <w:p>
      <w:pPr>
        <w:pStyle w:val="Normal"/>
        <w:spacing w:lineRule="auto" w:line="240" w:before="0" w:after="0"/>
        <w:jc w:val="both"/>
        <w:rPr>
          <w:sz w:val="24"/>
          <w:sz w:val="24"/>
          <w:szCs w:val="24"/>
          <w:rFonts w:ascii="Times New Roman" w:hAnsi="Times New Roman" w:eastAsia="" w:cs="Times New Roman"/>
          <w:color w:val="00000A"/>
          <w:lang w:val="it-IT" w:eastAsia="it-IT" w:bidi="ar-SA"/>
        </w:rPr>
      </w:pPr>
      <w:r>
        <w:rPr>
          <w:rFonts w:eastAsia="" w:cs="Times New Roman"/>
          <w:color w:val="00000A"/>
          <w:sz w:val="24"/>
          <w:szCs w:val="24"/>
          <w:lang w:val="it-IT" w:eastAsia="it-IT" w:bidi="ar-SA"/>
        </w:rPr>
      </w:r>
      <w:r/>
    </w:p>
    <w:p>
      <w:pPr>
        <w:pStyle w:val="Paragrafobiblio"/>
        <w:rPr>
          <w:sz w:val="24"/>
          <w:spacing w:val="-4"/>
          <w:sz w:val="24"/>
          <w:szCs w:val="24"/>
          <w:rFonts w:eastAsia="Times New Roman" w:cs="Times New Roman"/>
        </w:rPr>
      </w:pPr>
      <w:r>
        <w:rPr>
          <w:rFonts w:eastAsia="Times New Roman" w:cs="Times New Roman"/>
          <w:spacing w:val="-4"/>
          <w:sz w:val="24"/>
          <w:szCs w:val="24"/>
        </w:rPr>
        <w:t xml:space="preserve">Andorno C. (2003), </w:t>
      </w:r>
      <w:r>
        <w:rPr>
          <w:rFonts w:eastAsia="Times New Roman" w:cs="Times New Roman"/>
          <w:i/>
          <w:spacing w:val="-4"/>
          <w:sz w:val="24"/>
          <w:szCs w:val="24"/>
        </w:rPr>
        <w:t>Linguistica testuale</w:t>
      </w:r>
      <w:r>
        <w:rPr>
          <w:rFonts w:eastAsia="Times New Roman" w:cs="Times New Roman"/>
          <w:spacing w:val="-4"/>
          <w:sz w:val="24"/>
          <w:szCs w:val="24"/>
        </w:rPr>
        <w:t>, Roma, Carocci.</w:t>
      </w:r>
      <w:r/>
    </w:p>
    <w:p>
      <w:pPr>
        <w:pStyle w:val="Paragrafobiblio"/>
        <w:rPr>
          <w:sz w:val="24"/>
          <w:spacing w:val="-4"/>
          <w:i w:val="false"/>
          <w:sz w:val="24"/>
          <w:i w:val="false"/>
          <w:szCs w:val="24"/>
          <w:iCs w:val="false"/>
          <w:rFonts w:eastAsia="Times New Roman" w:cs="Times New Roman"/>
        </w:rPr>
      </w:pPr>
      <w:r>
        <w:rPr>
          <w:rFonts w:eastAsia="Times New Roman" w:cs="Times New Roman"/>
          <w:spacing w:val="-4"/>
          <w:sz w:val="24"/>
          <w:szCs w:val="24"/>
        </w:rPr>
        <w:t xml:space="preserve">Andrade M. S., Evans N. W. (2013), </w:t>
      </w:r>
      <w:r>
        <w:rPr>
          <w:rFonts w:eastAsia="Times New Roman" w:cs="Times New Roman"/>
          <w:i/>
          <w:iCs/>
          <w:spacing w:val="-4"/>
          <w:sz w:val="24"/>
          <w:szCs w:val="24"/>
        </w:rPr>
        <w:t>Principles and practices for response in second language writing</w:t>
      </w:r>
      <w:r>
        <w:rPr>
          <w:rFonts w:eastAsia="Times New Roman" w:cs="Times New Roman"/>
          <w:i w:val="false"/>
          <w:iCs w:val="false"/>
          <w:spacing w:val="-4"/>
          <w:sz w:val="24"/>
          <w:szCs w:val="24"/>
        </w:rPr>
        <w:t>, New York, Routledge.</w:t>
      </w:r>
      <w:r/>
    </w:p>
    <w:p>
      <w:pPr>
        <w:pStyle w:val="Paragrafobiblio"/>
        <w:rPr>
          <w:sz w:val="24"/>
          <w:spacing w:val="-4"/>
          <w:sz w:val="24"/>
          <w:szCs w:val="24"/>
          <w:rFonts w:eastAsia="Times New Roman" w:cs="Times New Roman"/>
          <w:lang w:val="en-US" w:eastAsia="it-IT"/>
        </w:rPr>
      </w:pPr>
      <w:r>
        <w:rPr>
          <w:rFonts w:eastAsia="Times New Roman" w:cs="Times New Roman"/>
          <w:spacing w:val="-4"/>
          <w:sz w:val="24"/>
          <w:szCs w:val="24"/>
          <w:lang w:val="en-US"/>
        </w:rPr>
        <w:t xml:space="preserve">Bereiter C., Scardamalia M. (1987), </w:t>
      </w:r>
      <w:r>
        <w:rPr>
          <w:rFonts w:eastAsia="Times New Roman" w:cs="Times New Roman"/>
          <w:i/>
          <w:spacing w:val="-4"/>
          <w:sz w:val="24"/>
          <w:szCs w:val="24"/>
          <w:lang w:val="en-US"/>
        </w:rPr>
        <w:t>The psychology of written composition</w:t>
      </w:r>
      <w:r>
        <w:rPr>
          <w:rFonts w:eastAsia="Times New Roman" w:cs="Times New Roman"/>
          <w:spacing w:val="-4"/>
          <w:sz w:val="24"/>
          <w:szCs w:val="24"/>
          <w:lang w:val="en-US"/>
        </w:rPr>
        <w:t xml:space="preserve">, Hillsdale, NJ, Erlbaum. (Trad. it </w:t>
      </w:r>
      <w:r>
        <w:rPr>
          <w:rFonts w:eastAsia="Times New Roman" w:cs="Times New Roman"/>
          <w:i/>
          <w:spacing w:val="-4"/>
          <w:sz w:val="24"/>
          <w:szCs w:val="24"/>
          <w:lang w:val="it-IT" w:eastAsia="it-IT"/>
        </w:rPr>
        <w:t>Psicologia della composizione scritta,</w:t>
      </w:r>
      <w:r>
        <w:rPr>
          <w:rFonts w:eastAsia="Times New Roman" w:cs="Times New Roman"/>
          <w:spacing w:val="-4"/>
          <w:sz w:val="24"/>
          <w:szCs w:val="24"/>
          <w:lang w:val="it-IT" w:eastAsia="it-IT"/>
        </w:rPr>
        <w:t xml:space="preserve"> Firenze, La Nuova Italia, 1995)</w:t>
      </w:r>
      <w:r>
        <w:rPr>
          <w:rFonts w:eastAsia="Times New Roman" w:cs="Times New Roman"/>
          <w:spacing w:val="-4"/>
          <w:sz w:val="24"/>
          <w:szCs w:val="24"/>
          <w:lang w:val="en-US" w:eastAsia="it-IT"/>
        </w:rPr>
        <w:t>.</w:t>
      </w:r>
      <w:r/>
    </w:p>
    <w:p>
      <w:pPr>
        <w:pStyle w:val="Paragrafobiblio"/>
        <w:rPr>
          <w:sz w:val="24"/>
          <w:spacing w:val="-4"/>
          <w:sz w:val="24"/>
          <w:szCs w:val="24"/>
          <w:rFonts w:eastAsia="Times New Roman" w:cs="Times New Roman"/>
          <w:lang w:val="en-US"/>
        </w:rPr>
      </w:pPr>
      <w:r>
        <w:rPr>
          <w:rFonts w:eastAsia="Times New Roman" w:cs="Times New Roman"/>
          <w:spacing w:val="-4"/>
          <w:sz w:val="24"/>
          <w:szCs w:val="24"/>
          <w:lang w:val="en-US"/>
        </w:rPr>
        <w:t xml:space="preserve">Boscolo P. (a cura di) (1990) </w:t>
      </w:r>
      <w:r>
        <w:rPr>
          <w:rFonts w:eastAsia="Times New Roman" w:cs="Times New Roman"/>
          <w:i/>
          <w:iCs/>
          <w:spacing w:val="-4"/>
          <w:sz w:val="24"/>
          <w:szCs w:val="24"/>
          <w:lang w:val="en-US"/>
        </w:rPr>
        <w:t>Insegnare i processi della scrittura nella scuola elementare,</w:t>
      </w:r>
      <w:r>
        <w:rPr>
          <w:rFonts w:eastAsia="Times New Roman" w:cs="Times New Roman"/>
          <w:spacing w:val="-4"/>
          <w:sz w:val="24"/>
          <w:szCs w:val="24"/>
          <w:lang w:val="en-US"/>
        </w:rPr>
        <w:t xml:space="preserve"> Firenze, La Nuova Italia. </w:t>
      </w:r>
      <w:r/>
    </w:p>
    <w:p>
      <w:pPr>
        <w:pStyle w:val="Paragrafobiblio"/>
        <w:rPr>
          <w:sz w:val="24"/>
          <w:spacing w:val="-4"/>
          <w:sz w:val="24"/>
          <w:szCs w:val="24"/>
          <w:rFonts w:eastAsia="Times New Roman" w:cs="Times New Roman"/>
          <w:lang w:val="en-US"/>
        </w:rPr>
      </w:pPr>
      <w:r>
        <w:rPr>
          <w:rFonts w:eastAsia="Times New Roman" w:cs="Times New Roman"/>
          <w:spacing w:val="-4"/>
          <w:sz w:val="24"/>
          <w:szCs w:val="24"/>
          <w:lang w:val="en-US"/>
        </w:rPr>
        <w:t xml:space="preserve">Caretta E. (2015), </w:t>
      </w:r>
      <w:r>
        <w:rPr>
          <w:rFonts w:eastAsia="Times New Roman" w:cs="Times New Roman"/>
          <w:i/>
          <w:iCs/>
          <w:spacing w:val="-4"/>
          <w:sz w:val="24"/>
          <w:szCs w:val="24"/>
          <w:lang w:val="en-US"/>
        </w:rPr>
        <w:t>Raggiungere la competenza comunicativa scritta: una analisi nelle scuole del territorio reggiano</w:t>
      </w:r>
      <w:r>
        <w:rPr>
          <w:rFonts w:eastAsia="Times New Roman" w:cs="Times New Roman"/>
          <w:spacing w:val="-4"/>
          <w:sz w:val="24"/>
          <w:szCs w:val="24"/>
          <w:lang w:val="en-US"/>
        </w:rPr>
        <w:t xml:space="preserve">, Elaborato finale, Università di Modena e Reggio Emilia, Corso di Laurea in Scienze dell’educazione. </w:t>
      </w:r>
      <w:r/>
    </w:p>
    <w:p>
      <w:pPr>
        <w:pStyle w:val="Paragrafobiblio"/>
        <w:rPr>
          <w:sz w:val="24"/>
          <w:spacing w:val="-4"/>
          <w:sz w:val="24"/>
          <w:szCs w:val="24"/>
          <w:rFonts w:eastAsia="Times New Roman" w:cs="Times New Roman"/>
          <w:lang w:val="en-US"/>
        </w:rPr>
      </w:pPr>
      <w:r>
        <w:rPr>
          <w:rFonts w:eastAsia="Times New Roman" w:cs="Times New Roman"/>
          <w:spacing w:val="-4"/>
          <w:sz w:val="24"/>
          <w:szCs w:val="24"/>
          <w:lang w:val="en-US"/>
        </w:rPr>
        <w:t xml:space="preserve">Castellari E. (2014),  </w:t>
      </w:r>
      <w:r>
        <w:rPr>
          <w:rFonts w:eastAsia="Times New Roman" w:cs="Times New Roman"/>
          <w:i/>
          <w:iCs/>
          <w:spacing w:val="-4"/>
          <w:sz w:val="24"/>
          <w:szCs w:val="24"/>
          <w:lang w:val="en-US"/>
        </w:rPr>
        <w:t>Un’indagine sperimentale sullo sviluppo del pensiero narrativo nella scuola primaria</w:t>
      </w:r>
      <w:r>
        <w:rPr>
          <w:rFonts w:eastAsia="Times New Roman" w:cs="Times New Roman"/>
          <w:spacing w:val="-4"/>
          <w:sz w:val="24"/>
          <w:szCs w:val="24"/>
          <w:lang w:val="en-US"/>
        </w:rPr>
        <w:t xml:space="preserve">, Tesi di laurea, Università di Modena e Reggio Emilia, Corso di Laurea in Scienze della Formazione Primaria. </w:t>
      </w:r>
      <w:r/>
    </w:p>
    <w:p>
      <w:pPr>
        <w:pStyle w:val="Paragrafobiblio"/>
        <w:rPr>
          <w:sz w:val="24"/>
          <w:sz w:val="24"/>
          <w:szCs w:val="24"/>
          <w:rFonts w:cs="Times New Roman"/>
        </w:rPr>
      </w:pPr>
      <w:r>
        <w:rPr>
          <w:rFonts w:cs="Times New Roman"/>
          <w:sz w:val="24"/>
          <w:szCs w:val="24"/>
        </w:rPr>
        <w:t xml:space="preserve">Conte M.E. (a cura di) (1988), </w:t>
      </w:r>
      <w:r>
        <w:rPr>
          <w:rFonts w:cs="Times New Roman"/>
          <w:i/>
          <w:sz w:val="24"/>
          <w:szCs w:val="24"/>
        </w:rPr>
        <w:t>Condizioni di coerenza. Ricerche di linguistica testuale,</w:t>
      </w:r>
      <w:r>
        <w:rPr>
          <w:rFonts w:cs="Times New Roman"/>
          <w:sz w:val="24"/>
          <w:szCs w:val="24"/>
        </w:rPr>
        <w:t xml:space="preserve"> Firenze, La Nuova Italia Editrice.</w:t>
      </w:r>
      <w:r/>
    </w:p>
    <w:p>
      <w:pPr>
        <w:pStyle w:val="Paragrafobiblio"/>
        <w:rPr>
          <w:sz w:val="24"/>
          <w:i w:val="false"/>
          <w:sz w:val="24"/>
          <w:i w:val="false"/>
          <w:szCs w:val="24"/>
          <w:iCs w:val="false"/>
          <w:rFonts w:cs="Times New Roman"/>
        </w:rPr>
      </w:pPr>
      <w:r>
        <w:rPr>
          <w:rFonts w:cs="Times New Roman"/>
          <w:sz w:val="24"/>
          <w:szCs w:val="24"/>
        </w:rPr>
        <w:t xml:space="preserve">Corbetta P. (2003), </w:t>
      </w:r>
      <w:r>
        <w:rPr>
          <w:rFonts w:cs="Times New Roman"/>
          <w:i/>
          <w:iCs/>
          <w:sz w:val="24"/>
          <w:szCs w:val="24"/>
        </w:rPr>
        <w:t>La ricerca sociale: metodologia e tecniche. II. Le tecniche quantitative</w:t>
      </w:r>
      <w:r>
        <w:rPr>
          <w:rFonts w:cs="Times New Roman"/>
          <w:i w:val="false"/>
          <w:iCs w:val="false"/>
          <w:sz w:val="24"/>
          <w:szCs w:val="24"/>
        </w:rPr>
        <w:t>, Bologna, Il Mulino.</w:t>
      </w:r>
      <w:r/>
    </w:p>
    <w:p>
      <w:pPr>
        <w:pStyle w:val="Paragrafobiblio"/>
        <w:rPr>
          <w:sz w:val="24"/>
          <w:sz w:val="24"/>
          <w:szCs w:val="24"/>
          <w:rFonts w:cs="Times New Roman"/>
          <w:lang w:val="en-GB"/>
        </w:rPr>
      </w:pPr>
      <w:r>
        <w:rPr>
          <w:rFonts w:cs="Times New Roman"/>
          <w:sz w:val="24"/>
          <w:szCs w:val="24"/>
          <w:lang w:val="en-GB"/>
        </w:rPr>
        <w:t xml:space="preserve">Corder S. (1967), “The significance of learners’ errors”, </w:t>
      </w:r>
      <w:r>
        <w:rPr>
          <w:rFonts w:cs="Times New Roman"/>
          <w:i/>
          <w:sz w:val="24"/>
          <w:szCs w:val="24"/>
          <w:lang w:val="en-GB"/>
        </w:rPr>
        <w:t>International Review of Applied Linguistics</w:t>
      </w:r>
      <w:r>
        <w:rPr>
          <w:rFonts w:cs="Times New Roman"/>
          <w:sz w:val="24"/>
          <w:szCs w:val="24"/>
          <w:lang w:val="en-GB"/>
        </w:rPr>
        <w:t xml:space="preserve"> 5, pp. 161-169.</w:t>
      </w:r>
      <w:r/>
    </w:p>
    <w:p>
      <w:pPr>
        <w:pStyle w:val="Paragrafobiblio"/>
        <w:rPr>
          <w:sz w:val="24"/>
          <w:sz w:val="24"/>
          <w:szCs w:val="24"/>
          <w:rFonts w:cs="Times New Roman"/>
          <w:color w:val="000000"/>
        </w:rPr>
      </w:pPr>
      <w:r>
        <w:rPr>
          <w:rFonts w:cs="Times New Roman"/>
          <w:color w:val="000000"/>
          <w:sz w:val="24"/>
          <w:szCs w:val="24"/>
        </w:rPr>
        <w:t xml:space="preserve">Cortelazzo M. (2003), “Manuale di stile - Elogio del capoverso”, </w:t>
      </w:r>
      <w:r>
        <w:rPr>
          <w:rFonts w:cs="Times New Roman"/>
          <w:i/>
          <w:color w:val="000000"/>
          <w:sz w:val="24"/>
          <w:szCs w:val="24"/>
        </w:rPr>
        <w:t>Guida agli Enti Locali - Il Sole 24 ore</w:t>
      </w:r>
      <w:r>
        <w:rPr>
          <w:rFonts w:cs="Times New Roman"/>
          <w:color w:val="000000"/>
          <w:sz w:val="24"/>
          <w:szCs w:val="24"/>
        </w:rPr>
        <w:t>, 15 febbraio 2003.</w:t>
      </w:r>
      <w:r/>
    </w:p>
    <w:p>
      <w:pPr>
        <w:pStyle w:val="Paragrafobiblio"/>
        <w:rPr>
          <w:sz w:val="24"/>
          <w:sz w:val="24"/>
          <w:szCs w:val="24"/>
          <w:rFonts w:cs="Times New Roman"/>
          <w:color w:val="000000"/>
          <w:lang w:val="en-US"/>
        </w:rPr>
      </w:pPr>
      <w:r>
        <w:rPr>
          <w:rFonts w:cs="Times New Roman"/>
          <w:color w:val="000000"/>
          <w:sz w:val="24"/>
          <w:szCs w:val="24"/>
          <w:lang w:val="en-US"/>
        </w:rPr>
        <w:t>Dam L. (1995),</w:t>
      </w:r>
      <w:r>
        <w:rPr>
          <w:rFonts w:cs="Times New Roman"/>
          <w:i/>
          <w:color w:val="000000"/>
          <w:sz w:val="24"/>
          <w:szCs w:val="24"/>
          <w:lang w:val="en-US"/>
        </w:rPr>
        <w:t xml:space="preserve"> Autonomy from Theory to Classroom Practice, </w:t>
      </w:r>
      <w:r>
        <w:rPr>
          <w:rFonts w:cs="Times New Roman"/>
          <w:color w:val="000000"/>
          <w:sz w:val="24"/>
          <w:szCs w:val="24"/>
          <w:lang w:val="en-US"/>
        </w:rPr>
        <w:t>Dublin, Authentik.</w:t>
      </w:r>
      <w:r/>
    </w:p>
    <w:p>
      <w:pPr>
        <w:pStyle w:val="Paragrafobiblio"/>
        <w:rPr>
          <w:sz w:val="24"/>
          <w:sz w:val="24"/>
          <w:szCs w:val="24"/>
          <w:rFonts w:cs="Times New Roman"/>
          <w:color w:val="000000"/>
          <w:lang w:val="en-US"/>
        </w:rPr>
      </w:pPr>
      <w:r>
        <w:rPr>
          <w:rFonts w:cs="Times New Roman"/>
          <w:color w:val="000000"/>
          <w:sz w:val="24"/>
          <w:szCs w:val="24"/>
        </w:rPr>
        <w:t>De Beaugrande R.A., Dressler, W.U. (1984), </w:t>
      </w:r>
      <w:r>
        <w:rPr>
          <w:rFonts w:cs="Times New Roman"/>
          <w:i/>
          <w:iCs/>
          <w:color w:val="000000"/>
          <w:sz w:val="24"/>
          <w:szCs w:val="24"/>
        </w:rPr>
        <w:t>Introduzione alla linguistica del testo</w:t>
      </w:r>
      <w:r>
        <w:rPr>
          <w:rFonts w:cs="Times New Roman"/>
          <w:color w:val="000000"/>
          <w:sz w:val="24"/>
          <w:szCs w:val="24"/>
        </w:rPr>
        <w:t>, Bologna, il Mulino (ed. orig. </w:t>
      </w:r>
      <w:r>
        <w:rPr>
          <w:rFonts w:cs="Times New Roman"/>
          <w:i/>
          <w:iCs/>
          <w:color w:val="000000"/>
          <w:sz w:val="24"/>
          <w:szCs w:val="24"/>
          <w:lang w:val="en-US"/>
        </w:rPr>
        <w:t>Einführung in die Textlinguistik</w:t>
      </w:r>
      <w:r>
        <w:rPr>
          <w:rFonts w:cs="Times New Roman"/>
          <w:color w:val="000000"/>
          <w:sz w:val="24"/>
          <w:szCs w:val="24"/>
          <w:lang w:val="en-US"/>
        </w:rPr>
        <w:t>, Tübingen, Niemeyer, 1972).</w:t>
      </w:r>
      <w:r/>
    </w:p>
    <w:p>
      <w:pPr>
        <w:pStyle w:val="Paragrafobiblio"/>
        <w:rPr>
          <w:sz w:val="24"/>
          <w:sz w:val="24"/>
          <w:szCs w:val="24"/>
          <w:rFonts w:cs="Times New Roman"/>
          <w:lang w:val="en-US"/>
        </w:rPr>
      </w:pPr>
      <w:r>
        <w:rPr>
          <w:rFonts w:cs="Times New Roman"/>
          <w:color w:val="000000"/>
          <w:sz w:val="24"/>
          <w:szCs w:val="24"/>
          <w:lang w:val="en-US"/>
        </w:rPr>
        <w:t>Edelenbos</w:t>
      </w:r>
      <w:r>
        <w:rPr>
          <w:rFonts w:cs="Times New Roman"/>
          <w:sz w:val="24"/>
          <w:szCs w:val="24"/>
          <w:lang w:val="de-DE"/>
        </w:rPr>
        <w:t xml:space="preserve"> P., Kubanek-German A. (2004), </w:t>
      </w:r>
      <w:r>
        <w:rPr>
          <w:rFonts w:cs="Times New Roman"/>
          <w:color w:val="000000"/>
          <w:sz w:val="24"/>
          <w:szCs w:val="24"/>
          <w:lang w:val="en-US"/>
        </w:rPr>
        <w:t>“</w:t>
      </w:r>
      <w:r>
        <w:rPr>
          <w:rFonts w:cs="Times New Roman"/>
          <w:sz w:val="24"/>
          <w:szCs w:val="24"/>
          <w:lang w:val="en-US"/>
        </w:rPr>
        <w:t xml:space="preserve">Teacher assessment: the concept of `diagnostic competence”. </w:t>
      </w:r>
      <w:r>
        <w:rPr>
          <w:rFonts w:cs="Times New Roman"/>
          <w:i/>
          <w:iCs/>
          <w:sz w:val="24"/>
          <w:szCs w:val="24"/>
          <w:lang w:val="en-US"/>
        </w:rPr>
        <w:t>Language Testing</w:t>
      </w:r>
      <w:r>
        <w:rPr>
          <w:rFonts w:cs="Times New Roman"/>
          <w:sz w:val="24"/>
          <w:szCs w:val="24"/>
          <w:lang w:val="en-US"/>
        </w:rPr>
        <w:t xml:space="preserve"> 21, pp. 259-283.</w:t>
      </w:r>
      <w:r/>
    </w:p>
    <w:p>
      <w:pPr>
        <w:pStyle w:val="Paragrafobiblio"/>
        <w:rPr>
          <w:sz w:val="24"/>
          <w:sz w:val="24"/>
          <w:szCs w:val="24"/>
          <w:rFonts w:cs="Times New Roman"/>
          <w:color w:val="000000"/>
          <w:lang w:val="en-US"/>
        </w:rPr>
      </w:pPr>
      <w:r>
        <w:rPr>
          <w:rFonts w:cs="Times New Roman"/>
          <w:color w:val="000000"/>
          <w:sz w:val="24"/>
          <w:szCs w:val="24"/>
          <w:lang w:val="en-US"/>
        </w:rPr>
        <w:t xml:space="preserve">Ellis R. (2003), </w:t>
      </w:r>
      <w:r>
        <w:rPr>
          <w:rFonts w:cs="Times New Roman"/>
          <w:i/>
          <w:color w:val="000000"/>
          <w:sz w:val="24"/>
          <w:szCs w:val="24"/>
          <w:lang w:val="en-US"/>
        </w:rPr>
        <w:t>Task-based Language Learning and Teaching</w:t>
      </w:r>
      <w:r>
        <w:rPr>
          <w:rFonts w:cs="Times New Roman"/>
          <w:color w:val="000000"/>
          <w:sz w:val="24"/>
          <w:szCs w:val="24"/>
          <w:lang w:val="en-US"/>
        </w:rPr>
        <w:t>, Oxford, Oxford University Press.</w:t>
      </w:r>
      <w:r/>
    </w:p>
    <w:p>
      <w:pPr>
        <w:pStyle w:val="Paragrafobiblio"/>
        <w:rPr>
          <w:sz w:val="24"/>
          <w:sz w:val="24"/>
          <w:szCs w:val="24"/>
          <w:rFonts w:cs="Times New Roman"/>
          <w:color w:val="000000"/>
        </w:rPr>
      </w:pPr>
      <w:r>
        <w:rPr>
          <w:rFonts w:cs="Times New Roman"/>
          <w:color w:val="000000"/>
          <w:sz w:val="24"/>
          <w:szCs w:val="24"/>
        </w:rPr>
        <w:t xml:space="preserve">Favaro G. (2011), “L’italiano degli altri”, </w:t>
      </w:r>
      <w:r>
        <w:rPr>
          <w:rFonts w:cs="Times New Roman"/>
          <w:i/>
          <w:color w:val="000000"/>
          <w:sz w:val="24"/>
          <w:szCs w:val="24"/>
        </w:rPr>
        <w:t>Educazione interculturale</w:t>
      </w:r>
      <w:r>
        <w:rPr>
          <w:rFonts w:cs="Times New Roman"/>
          <w:color w:val="000000"/>
          <w:sz w:val="24"/>
          <w:szCs w:val="24"/>
        </w:rPr>
        <w:t xml:space="preserve"> 9, pp. 297-314.</w:t>
      </w:r>
      <w:r/>
    </w:p>
    <w:p>
      <w:pPr>
        <w:pStyle w:val="Paragrafobiblio"/>
        <w:rPr>
          <w:sz w:val="24"/>
          <w:sz w:val="24"/>
          <w:szCs w:val="24"/>
          <w:rFonts w:cs="Times New Roman"/>
          <w:color w:val="000000"/>
        </w:rPr>
      </w:pPr>
      <w:r>
        <w:rPr>
          <w:rFonts w:cs="Times New Roman"/>
          <w:color w:val="000000"/>
          <w:sz w:val="24"/>
          <w:szCs w:val="24"/>
        </w:rPr>
        <w:t xml:space="preserve">Favaro G. (2013), “Scritture e migrazioni”, </w:t>
      </w:r>
      <w:r>
        <w:rPr>
          <w:rFonts w:cs="Times New Roman"/>
          <w:i/>
          <w:color w:val="000000"/>
          <w:sz w:val="24"/>
          <w:szCs w:val="24"/>
        </w:rPr>
        <w:t>Italiano LinguaDue</w:t>
      </w:r>
      <w:r>
        <w:rPr>
          <w:rFonts w:cs="Times New Roman"/>
          <w:color w:val="000000"/>
          <w:sz w:val="24"/>
          <w:szCs w:val="24"/>
        </w:rPr>
        <w:t xml:space="preserve"> 2, pp. 28-39.</w:t>
      </w:r>
      <w:r/>
    </w:p>
    <w:p>
      <w:pPr>
        <w:pStyle w:val="Paragrafobiblio"/>
        <w:rPr>
          <w:sz w:val="24"/>
          <w:sz w:val="24"/>
          <w:szCs w:val="24"/>
          <w:rFonts w:cs="Times New Roman"/>
          <w:color w:val="000000"/>
        </w:rPr>
      </w:pPr>
      <w:r>
        <w:rPr>
          <w:rFonts w:cs="Times New Roman"/>
          <w:color w:val="000000"/>
          <w:sz w:val="24"/>
          <w:szCs w:val="24"/>
        </w:rPr>
        <w:t xml:space="preserve">Ferrari A. (2010a), “Procedure di coerenza”, </w:t>
      </w:r>
      <w:r>
        <w:rPr>
          <w:rFonts w:cs="Times New Roman"/>
          <w:i/>
          <w:color w:val="000000"/>
          <w:sz w:val="24"/>
          <w:szCs w:val="24"/>
        </w:rPr>
        <w:t>Enciclopedia dell’italiano</w:t>
      </w:r>
      <w:r>
        <w:rPr>
          <w:rFonts w:cs="Times New Roman"/>
          <w:color w:val="000000"/>
          <w:sz w:val="24"/>
          <w:szCs w:val="24"/>
        </w:rPr>
        <w:t>, Treccani.</w:t>
      </w:r>
      <w:r/>
    </w:p>
    <w:p>
      <w:pPr>
        <w:pStyle w:val="Paragrafobiblio"/>
        <w:rPr>
          <w:sz w:val="24"/>
          <w:sz w:val="24"/>
          <w:szCs w:val="24"/>
          <w:rFonts w:cs="Times New Roman"/>
          <w:color w:val="000000"/>
        </w:rPr>
      </w:pPr>
      <w:r>
        <w:rPr>
          <w:rFonts w:cs="Times New Roman"/>
          <w:color w:val="000000"/>
          <w:sz w:val="24"/>
          <w:szCs w:val="24"/>
        </w:rPr>
        <w:t xml:space="preserve">Ferrari A. (2010b), “Procedure di coesione”, </w:t>
      </w:r>
      <w:r>
        <w:rPr>
          <w:rFonts w:cs="Times New Roman"/>
          <w:i/>
          <w:color w:val="000000"/>
          <w:sz w:val="24"/>
          <w:szCs w:val="24"/>
        </w:rPr>
        <w:t>Enciclopedia dell’italiano</w:t>
      </w:r>
      <w:r>
        <w:rPr>
          <w:rFonts w:cs="Times New Roman"/>
          <w:color w:val="000000"/>
          <w:sz w:val="24"/>
          <w:szCs w:val="24"/>
        </w:rPr>
        <w:t>, Treccani.</w:t>
      </w:r>
      <w:r/>
    </w:p>
    <w:p>
      <w:pPr>
        <w:pStyle w:val="Paragrafobiblio"/>
        <w:rPr>
          <w:sz w:val="24"/>
          <w:sz w:val="24"/>
          <w:szCs w:val="24"/>
          <w:rFonts w:cs="Times New Roman"/>
          <w:color w:val="000000"/>
        </w:rPr>
      </w:pPr>
      <w:r>
        <w:rPr>
          <w:rFonts w:cs="Times New Roman"/>
          <w:color w:val="000000"/>
          <w:sz w:val="24"/>
          <w:szCs w:val="24"/>
        </w:rPr>
        <w:t xml:space="preserve">Ferrari A. (2011), “La struttura del testo”, </w:t>
      </w:r>
      <w:r>
        <w:rPr>
          <w:rFonts w:cs="Times New Roman"/>
          <w:i/>
          <w:color w:val="000000"/>
          <w:sz w:val="24"/>
          <w:szCs w:val="24"/>
        </w:rPr>
        <w:t>Enciclopedia dell’italiano</w:t>
      </w:r>
      <w:r>
        <w:rPr>
          <w:rFonts w:cs="Times New Roman"/>
          <w:color w:val="000000"/>
          <w:sz w:val="24"/>
          <w:szCs w:val="24"/>
        </w:rPr>
        <w:t>, Treccani.</w:t>
      </w:r>
      <w:r/>
    </w:p>
    <w:p>
      <w:pPr>
        <w:pStyle w:val="Paragrafobiblio"/>
        <w:rPr>
          <w:sz w:val="24"/>
          <w:sz w:val="24"/>
          <w:szCs w:val="24"/>
          <w:rFonts w:cs="Times New Roman"/>
          <w:color w:val="000000"/>
        </w:rPr>
      </w:pPr>
      <w:r>
        <w:rPr>
          <w:rFonts w:cs="Times New Roman"/>
          <w:color w:val="000000"/>
          <w:sz w:val="24"/>
          <w:szCs w:val="24"/>
        </w:rPr>
        <w:t xml:space="preserve">Ferrari S., Nuzzo E. (2011), “Insegnare la grammatica italiana con i task”, in Corrà L., Paschetto W. (a cura di), </w:t>
      </w:r>
      <w:r>
        <w:rPr>
          <w:rFonts w:cs="Times New Roman"/>
          <w:i/>
          <w:color w:val="000000"/>
          <w:sz w:val="24"/>
          <w:szCs w:val="24"/>
        </w:rPr>
        <w:t>Grammatica a scuola</w:t>
      </w:r>
      <w:r>
        <w:rPr>
          <w:rFonts w:cs="Times New Roman"/>
          <w:color w:val="000000"/>
          <w:sz w:val="24"/>
          <w:szCs w:val="24"/>
        </w:rPr>
        <w:t>, Franco Angeli, Milano, pp. 284-295.</w:t>
      </w:r>
      <w:r/>
    </w:p>
    <w:p>
      <w:pPr>
        <w:pStyle w:val="Paragrafobiblio"/>
        <w:rPr>
          <w:sz w:val="24"/>
          <w:sz w:val="24"/>
          <w:szCs w:val="24"/>
          <w:rFonts w:cs="Times New Roman"/>
        </w:rPr>
      </w:pPr>
      <w:r>
        <w:rPr>
          <w:rFonts w:cs="Times New Roman"/>
          <w:sz w:val="24"/>
          <w:szCs w:val="24"/>
        </w:rPr>
        <w:t xml:space="preserve">Giscel (1975), </w:t>
      </w:r>
      <w:r>
        <w:rPr>
          <w:rFonts w:cs="Times New Roman"/>
          <w:i/>
          <w:iCs/>
          <w:sz w:val="24"/>
          <w:szCs w:val="24"/>
        </w:rPr>
        <w:t>Dieci tesi per l'educazione linguistica democratica</w:t>
      </w:r>
      <w:r>
        <w:rPr>
          <w:rFonts w:cs="Times New Roman"/>
          <w:sz w:val="24"/>
          <w:szCs w:val="24"/>
        </w:rPr>
        <w:t>. www.giscel.org</w:t>
      </w:r>
      <w:r/>
    </w:p>
    <w:p>
      <w:pPr>
        <w:pStyle w:val="Paragrafobiblio"/>
        <w:rPr>
          <w:sz w:val="24"/>
          <w:sz w:val="24"/>
          <w:szCs w:val="24"/>
          <w:rFonts w:cs="Times New Roman"/>
          <w:color w:val="000000"/>
        </w:rPr>
      </w:pPr>
      <w:r>
        <w:rPr>
          <w:rFonts w:cs="Times New Roman"/>
          <w:color w:val="000000"/>
          <w:sz w:val="24"/>
          <w:szCs w:val="24"/>
        </w:rPr>
        <w:t xml:space="preserve">Giuliano P. (2004), </w:t>
      </w:r>
      <w:r>
        <w:rPr>
          <w:rFonts w:cs="Times New Roman"/>
          <w:i/>
          <w:color w:val="000000"/>
          <w:sz w:val="24"/>
          <w:szCs w:val="24"/>
        </w:rPr>
        <w:t>Abilità narrativa ed emarginazione sociale</w:t>
      </w:r>
      <w:r>
        <w:rPr>
          <w:rFonts w:cs="Times New Roman"/>
          <w:color w:val="000000"/>
          <w:sz w:val="24"/>
          <w:szCs w:val="24"/>
        </w:rPr>
        <w:t>, Napoli, Liguori.</w:t>
      </w:r>
      <w:r/>
    </w:p>
    <w:p>
      <w:pPr>
        <w:pStyle w:val="Paragrafobiblio"/>
        <w:rPr>
          <w:sz w:val="24"/>
          <w:spacing w:val="-4"/>
          <w:sz w:val="24"/>
          <w:szCs w:val="24"/>
          <w:rFonts w:eastAsia="Times New Roman" w:cs="Times New Roman"/>
        </w:rPr>
      </w:pPr>
      <w:r>
        <w:rPr>
          <w:rFonts w:eastAsia="Times New Roman" w:cs="Times New Roman"/>
          <w:spacing w:val="-4"/>
          <w:sz w:val="24"/>
          <w:szCs w:val="24"/>
        </w:rPr>
        <w:t xml:space="preserve">Grassi R., Nuzzo E. (2012), “Le (in)competenze di scrittura all’università: evidenze dai test di valutazione iniziale”, in Bernini G., Lavinio C., Valentini A., Voghera M. (a cura di ), </w:t>
      </w:r>
      <w:r>
        <w:rPr>
          <w:rFonts w:eastAsia="Times New Roman" w:cs="Times New Roman"/>
          <w:i/>
          <w:spacing w:val="-4"/>
          <w:sz w:val="24"/>
          <w:szCs w:val="24"/>
        </w:rPr>
        <w:t>Competenze e formazione linguistiche. In memoria di Monica Berretta</w:t>
      </w:r>
      <w:r>
        <w:rPr>
          <w:rFonts w:eastAsia="Times New Roman" w:cs="Times New Roman"/>
          <w:spacing w:val="-4"/>
          <w:sz w:val="24"/>
          <w:szCs w:val="24"/>
        </w:rPr>
        <w:t>, Guerra, Perugia, pp. 101-118.</w:t>
      </w:r>
      <w:r/>
    </w:p>
    <w:p>
      <w:pPr>
        <w:pStyle w:val="Paragrafobiblio"/>
        <w:rPr>
          <w:sz w:val="24"/>
          <w:shd w:fill="FFFFFF" w:val="clear"/>
          <w:sz w:val="24"/>
          <w:szCs w:val="24"/>
          <w:rFonts w:cs="Times New Roman"/>
          <w:lang w:val="en-US"/>
        </w:rPr>
      </w:pPr>
      <w:r>
        <w:rPr>
          <w:rFonts w:cs="Times New Roman"/>
          <w:sz w:val="24"/>
          <w:szCs w:val="24"/>
          <w:shd w:fill="FFFFFF" w:val="clear"/>
          <w:lang w:val="en-US"/>
        </w:rPr>
        <w:t xml:space="preserve">Johnson, D. W., Johnson, R., &amp; Holubec, E. (2008), </w:t>
      </w:r>
      <w:r>
        <w:rPr>
          <w:rFonts w:cs="Times New Roman"/>
          <w:i/>
          <w:sz w:val="24"/>
          <w:szCs w:val="24"/>
          <w:shd w:fill="FFFFFF" w:val="clear"/>
          <w:lang w:val="en-US"/>
        </w:rPr>
        <w:t>Cooperation in the classroom</w:t>
      </w:r>
      <w:r>
        <w:rPr>
          <w:rFonts w:cs="Times New Roman"/>
          <w:sz w:val="24"/>
          <w:szCs w:val="24"/>
          <w:shd w:fill="FFFFFF" w:val="clear"/>
          <w:lang w:val="en-US"/>
        </w:rPr>
        <w:t>, Edina (MN), Interaction Book Company.</w:t>
      </w:r>
      <w:r/>
    </w:p>
    <w:p>
      <w:pPr>
        <w:pStyle w:val="Paragrafobiblio"/>
        <w:rPr>
          <w:sz w:val="24"/>
          <w:sz w:val="24"/>
          <w:szCs w:val="24"/>
          <w:rFonts w:eastAsia="Times New Roman" w:cs="Times New Roman"/>
          <w:color w:val="000000"/>
        </w:rPr>
      </w:pPr>
      <w:r>
        <w:rPr>
          <w:rFonts w:eastAsia="Times New Roman" w:cs="Times New Roman"/>
          <w:sz w:val="24"/>
          <w:szCs w:val="24"/>
        </w:rPr>
        <w:t>Lo Duca M.G. (2003), “Sulla rilevanza</w:t>
      </w:r>
      <w:r>
        <w:rPr>
          <w:rFonts w:eastAsia="Times New Roman" w:cs="Times New Roman"/>
          <w:color w:val="000000"/>
          <w:sz w:val="24"/>
          <w:szCs w:val="24"/>
        </w:rPr>
        <w:t xml:space="preserve"> in glottodidattica dei dati di acquisizione di lingue seconde: “narrare” in italiano L2”, in Giacalone Ramat A. (a cura di), </w:t>
      </w:r>
      <w:r>
        <w:rPr>
          <w:rFonts w:eastAsia="Times New Roman" w:cs="Times New Roman"/>
          <w:i/>
          <w:color w:val="000000"/>
          <w:sz w:val="24"/>
          <w:szCs w:val="24"/>
        </w:rPr>
        <w:t>Verso l’italiano</w:t>
      </w:r>
      <w:r>
        <w:rPr>
          <w:rFonts w:eastAsia="Times New Roman" w:cs="Times New Roman"/>
          <w:color w:val="000000"/>
          <w:sz w:val="24"/>
          <w:szCs w:val="24"/>
        </w:rPr>
        <w:t>, Carocci, Roma, pp. 254-270.</w:t>
      </w:r>
      <w:r/>
    </w:p>
    <w:p>
      <w:pPr>
        <w:pStyle w:val="Paragrafobiblio"/>
        <w:rPr>
          <w:sz w:val="24"/>
          <w:sz w:val="24"/>
          <w:szCs w:val="24"/>
          <w:rFonts w:eastAsia="Times New Roman" w:cs="Times New Roman"/>
          <w:color w:val="000000"/>
        </w:rPr>
      </w:pPr>
      <w:r>
        <w:rPr>
          <w:rFonts w:eastAsia="Times New Roman" w:cs="Times New Roman"/>
          <w:color w:val="000000"/>
          <w:sz w:val="24"/>
          <w:szCs w:val="24"/>
        </w:rPr>
        <w:t xml:space="preserve">Lo Duca M.G. (2004), </w:t>
      </w:r>
      <w:r>
        <w:rPr>
          <w:rFonts w:eastAsia="Times New Roman" w:cs="Times New Roman"/>
          <w:i/>
          <w:color w:val="000000"/>
          <w:sz w:val="24"/>
          <w:szCs w:val="24"/>
        </w:rPr>
        <w:t>Esperimenti grammaticali</w:t>
      </w:r>
      <w:r>
        <w:rPr>
          <w:rFonts w:eastAsia="Times New Roman" w:cs="Times New Roman"/>
          <w:color w:val="000000"/>
          <w:sz w:val="24"/>
          <w:szCs w:val="24"/>
        </w:rPr>
        <w:t>, Roma, Carocci.</w:t>
      </w:r>
      <w:r/>
    </w:p>
    <w:p>
      <w:pPr>
        <w:pStyle w:val="Paragrafobiblio"/>
        <w:rPr>
          <w:sz w:val="24"/>
          <w:sz w:val="24"/>
          <w:szCs w:val="24"/>
        </w:rPr>
      </w:pPr>
      <w:r>
        <w:rPr>
          <w:bCs/>
          <w:sz w:val="24"/>
          <w:szCs w:val="24"/>
        </w:rPr>
        <w:t>Lucisano P., Salerni A. (2002)</w:t>
      </w:r>
      <w:r>
        <w:rPr>
          <w:sz w:val="24"/>
          <w:szCs w:val="24"/>
        </w:rPr>
        <w:t xml:space="preserve">, </w:t>
      </w:r>
      <w:r>
        <w:rPr>
          <w:i/>
          <w:iCs/>
          <w:sz w:val="24"/>
          <w:szCs w:val="24"/>
        </w:rPr>
        <w:t>Metodologia della ricerca in educazione e formazione</w:t>
      </w:r>
      <w:r>
        <w:rPr>
          <w:sz w:val="24"/>
          <w:szCs w:val="24"/>
        </w:rPr>
        <w:t xml:space="preserve">, Roma, Carocci. </w:t>
      </w:r>
      <w:r/>
    </w:p>
    <w:p>
      <w:pPr>
        <w:pStyle w:val="Paragrafobiblio"/>
        <w:rPr>
          <w:sz w:val="24"/>
          <w:sz w:val="24"/>
          <w:szCs w:val="24"/>
          <w:rFonts w:eastAsia="Times-Roman"/>
          <w:lang w:val="it-IT"/>
        </w:rPr>
      </w:pPr>
      <w:r>
        <w:rPr>
          <w:rFonts w:eastAsia="Times-Roman"/>
          <w:sz w:val="24"/>
          <w:szCs w:val="24"/>
        </w:rPr>
        <w:t xml:space="preserve">McKay P. (2006), </w:t>
      </w:r>
      <w:r>
        <w:rPr>
          <w:rFonts w:eastAsia="Times-Italic"/>
          <w:i/>
          <w:iCs/>
          <w:sz w:val="24"/>
          <w:szCs w:val="24"/>
        </w:rPr>
        <w:t>Assessing young language learners</w:t>
      </w:r>
      <w:r>
        <w:rPr>
          <w:rFonts w:eastAsia="Times-Roman"/>
          <w:sz w:val="24"/>
          <w:szCs w:val="24"/>
        </w:rPr>
        <w:t xml:space="preserve">. </w:t>
      </w:r>
      <w:r>
        <w:rPr>
          <w:rFonts w:eastAsia="Times-Roman"/>
          <w:sz w:val="24"/>
          <w:szCs w:val="24"/>
          <w:lang w:val="it-IT"/>
        </w:rPr>
        <w:t>Cambridge: Cambridge University Press.</w:t>
      </w:r>
      <w:r/>
    </w:p>
    <w:p>
      <w:pPr>
        <w:pStyle w:val="Paragrafobiblio"/>
        <w:rPr>
          <w:sz w:val="24"/>
          <w:sz w:val="24"/>
          <w:szCs w:val="24"/>
          <w:rFonts w:eastAsia="Times New Roman" w:cs="Times New Roman"/>
          <w:color w:val="000000"/>
        </w:rPr>
      </w:pPr>
      <w:r>
        <w:rPr>
          <w:rFonts w:eastAsia="Times New Roman" w:cs="Times New Roman"/>
          <w:color w:val="000000"/>
          <w:sz w:val="24"/>
          <w:szCs w:val="24"/>
        </w:rPr>
        <w:t xml:space="preserve">Mortara Garavelli B. (2003), </w:t>
      </w:r>
      <w:r>
        <w:rPr>
          <w:rFonts w:eastAsia="Times New Roman" w:cs="Times New Roman"/>
          <w:i/>
          <w:color w:val="000000"/>
          <w:sz w:val="24"/>
          <w:szCs w:val="24"/>
        </w:rPr>
        <w:t>Prontuario di punteggiatura</w:t>
      </w:r>
      <w:r>
        <w:rPr>
          <w:rFonts w:eastAsia="Times New Roman" w:cs="Times New Roman"/>
          <w:color w:val="000000"/>
          <w:sz w:val="24"/>
          <w:szCs w:val="24"/>
        </w:rPr>
        <w:t>. Bari-Roma, Laterza.</w:t>
      </w:r>
      <w:r/>
    </w:p>
    <w:p>
      <w:pPr>
        <w:pStyle w:val="Paragrafobiblio"/>
        <w:rPr>
          <w:sz w:val="24"/>
          <w:sz w:val="24"/>
          <w:szCs w:val="24"/>
          <w:rFonts w:eastAsia="Times New Roman" w:cs="Times New Roman"/>
          <w:color w:val="000000"/>
        </w:rPr>
      </w:pPr>
      <w:r>
        <w:rPr>
          <w:rFonts w:eastAsia="Times New Roman" w:cs="Times New Roman"/>
          <w:color w:val="000000"/>
          <w:sz w:val="24"/>
          <w:szCs w:val="24"/>
        </w:rPr>
        <w:t xml:space="preserve">Palermo M. (2013), </w:t>
      </w:r>
      <w:r>
        <w:rPr>
          <w:rFonts w:eastAsia="Times New Roman" w:cs="Times New Roman"/>
          <w:i/>
          <w:color w:val="000000"/>
          <w:sz w:val="24"/>
          <w:szCs w:val="24"/>
        </w:rPr>
        <w:t>Linguistica testuale dell’italiano</w:t>
      </w:r>
      <w:r>
        <w:rPr>
          <w:rFonts w:eastAsia="Times New Roman" w:cs="Times New Roman"/>
          <w:color w:val="000000"/>
          <w:sz w:val="24"/>
          <w:szCs w:val="24"/>
        </w:rPr>
        <w:t>. Bologna, Il Mulino.</w:t>
      </w:r>
      <w:r/>
    </w:p>
    <w:p>
      <w:pPr>
        <w:pStyle w:val="Paragrafobiblio"/>
        <w:rPr>
          <w:sz w:val="24"/>
          <w:sz w:val="24"/>
          <w:szCs w:val="24"/>
          <w:rFonts w:eastAsia="Times New Roman" w:cs="Times New Roman"/>
          <w:color w:val="000000"/>
        </w:rPr>
      </w:pPr>
      <w:r>
        <w:rPr>
          <w:rFonts w:eastAsia="Times New Roman" w:cs="Times New Roman"/>
          <w:color w:val="000000"/>
          <w:sz w:val="24"/>
          <w:szCs w:val="24"/>
          <w:lang w:val="en-US"/>
        </w:rPr>
        <w:t xml:space="preserve">Pallotti G. (2010), “Doing interlanguage analysis in school contexts”, in Bartning I., Martin M., Vedder I. (a cura di), Communicative proficiency and linguistic development: intersections between SLA and language testing research. </w:t>
      </w:r>
      <w:r>
        <w:rPr>
          <w:rFonts w:eastAsia="Times New Roman" w:cs="Times New Roman"/>
          <w:color w:val="000000"/>
          <w:sz w:val="24"/>
          <w:szCs w:val="24"/>
        </w:rPr>
        <w:t>Eurosla Monographs, 1, www.eurosla.org.</w:t>
      </w:r>
      <w:r/>
    </w:p>
    <w:p>
      <w:pPr>
        <w:pStyle w:val="Paragrafobiblio"/>
        <w:rPr>
          <w:sz w:val="24"/>
          <w:sz w:val="24"/>
          <w:szCs w:val="24"/>
          <w:rFonts w:eastAsia="Times New Roman" w:cs="Times New Roman"/>
          <w:color w:val="000000"/>
        </w:rPr>
      </w:pPr>
      <w:r>
        <w:rPr>
          <w:rFonts w:eastAsia="Times New Roman" w:cs="Times New Roman"/>
          <w:color w:val="000000"/>
          <w:sz w:val="24"/>
          <w:szCs w:val="24"/>
        </w:rPr>
        <w:t xml:space="preserve">Pallotti </w:t>
      </w:r>
      <w:r>
        <w:rPr>
          <w:rFonts w:cs="Times New Roman"/>
          <w:color w:val="000000"/>
          <w:sz w:val="24"/>
          <w:szCs w:val="24"/>
        </w:rPr>
        <w:t>G., Rosi</w:t>
      </w:r>
      <w:r>
        <w:rPr>
          <w:rFonts w:eastAsia="Times New Roman" w:cs="Times New Roman"/>
          <w:color w:val="000000"/>
          <w:sz w:val="24"/>
          <w:szCs w:val="24"/>
        </w:rPr>
        <w:t xml:space="preserve"> F</w:t>
      </w:r>
      <w:r>
        <w:rPr>
          <w:rFonts w:cs="Times New Roman"/>
          <w:color w:val="000000"/>
          <w:sz w:val="24"/>
          <w:szCs w:val="24"/>
        </w:rPr>
        <w:t>.</w:t>
      </w:r>
      <w:r>
        <w:rPr>
          <w:rFonts w:eastAsia="Times New Roman" w:cs="Times New Roman"/>
          <w:color w:val="000000"/>
          <w:sz w:val="24"/>
          <w:szCs w:val="24"/>
        </w:rPr>
        <w:t xml:space="preserve"> (2011), “Osservare l’interlingua a scuola: dall’analisi alla didattica”</w:t>
      </w:r>
      <w:r>
        <w:rPr>
          <w:rFonts w:cs="Times New Roman"/>
          <w:color w:val="000000"/>
          <w:sz w:val="24"/>
          <w:szCs w:val="24"/>
        </w:rPr>
        <w:t>, in</w:t>
      </w:r>
      <w:r>
        <w:rPr>
          <w:rFonts w:eastAsia="Times New Roman" w:cs="Times New Roman"/>
          <w:color w:val="000000"/>
          <w:sz w:val="24"/>
          <w:szCs w:val="24"/>
        </w:rPr>
        <w:t xml:space="preserve"> </w:t>
      </w:r>
      <w:r>
        <w:rPr>
          <w:rFonts w:eastAsia="Times New Roman" w:cs="Times New Roman"/>
          <w:i/>
          <w:color w:val="000000"/>
          <w:sz w:val="24"/>
          <w:szCs w:val="24"/>
        </w:rPr>
        <w:t xml:space="preserve">Educazione Interculturale </w:t>
      </w:r>
      <w:r>
        <w:rPr>
          <w:rFonts w:cs="Times New Roman"/>
          <w:color w:val="000000"/>
          <w:sz w:val="24"/>
          <w:szCs w:val="24"/>
        </w:rPr>
        <w:t>9/3, pp.</w:t>
      </w:r>
      <w:r>
        <w:rPr>
          <w:rFonts w:eastAsia="Times New Roman" w:cs="Times New Roman"/>
          <w:color w:val="000000"/>
          <w:sz w:val="24"/>
          <w:szCs w:val="24"/>
        </w:rPr>
        <w:t xml:space="preserve"> 339-354.</w:t>
      </w:r>
      <w:r/>
    </w:p>
    <w:p>
      <w:pPr>
        <w:pStyle w:val="Paragrafobiblio"/>
        <w:rPr>
          <w:sz w:val="24"/>
          <w:sz w:val="24"/>
          <w:szCs w:val="24"/>
          <w:rFonts w:eastAsia="Times New Roman" w:cs="Times New Roman"/>
          <w:color w:val="000000"/>
        </w:rPr>
      </w:pPr>
      <w:r>
        <w:rPr>
          <w:rFonts w:eastAsia="Times New Roman" w:cs="Times New Roman"/>
          <w:color w:val="000000"/>
          <w:sz w:val="24"/>
          <w:szCs w:val="24"/>
        </w:rPr>
        <w:t>Pallotti G., Rosi F., Della Bona L., Ghinoi A., Ruoli J. (in preparazione), “Coerenza e coesione in testi narrativi di alunni di scuola primaria”.</w:t>
      </w:r>
      <w:r/>
    </w:p>
    <w:p>
      <w:pPr>
        <w:pStyle w:val="Paragrafobiblio"/>
        <w:rPr>
          <w:sz w:val="24"/>
          <w:sz w:val="24"/>
          <w:szCs w:val="24"/>
          <w:rFonts w:eastAsia="Times New Roman" w:cs="Times New Roman"/>
        </w:rPr>
      </w:pPr>
      <w:r>
        <w:rPr>
          <w:rFonts w:eastAsia="Times New Roman" w:cs="Times New Roman"/>
          <w:color w:val="000000"/>
          <w:sz w:val="24"/>
          <w:szCs w:val="24"/>
        </w:rPr>
        <w:t xml:space="preserve">Piemontese E. (a cura di) (2000), </w:t>
      </w:r>
      <w:r>
        <w:rPr>
          <w:rFonts w:eastAsia="Times New Roman" w:cs="Times New Roman"/>
          <w:i/>
          <w:color w:val="000000"/>
          <w:sz w:val="24"/>
          <w:szCs w:val="24"/>
        </w:rPr>
        <w:t>I bisogni linguistici delle nuove generazioni</w:t>
      </w:r>
      <w:r>
        <w:rPr>
          <w:rFonts w:eastAsia="Times New Roman" w:cs="Times New Roman"/>
          <w:color w:val="000000"/>
          <w:sz w:val="24"/>
          <w:szCs w:val="24"/>
        </w:rPr>
        <w:t xml:space="preserve">, </w:t>
      </w:r>
      <w:r>
        <w:rPr>
          <w:rFonts w:eastAsia="Times New Roman" w:cs="Times New Roman"/>
          <w:sz w:val="24"/>
          <w:szCs w:val="24"/>
        </w:rPr>
        <w:t>Firenze, La Nuova Italia.</w:t>
      </w:r>
      <w:r/>
    </w:p>
    <w:p>
      <w:pPr>
        <w:pStyle w:val="Paragrafobiblio"/>
        <w:rPr>
          <w:sz w:val="24"/>
          <w:sz w:val="24"/>
          <w:szCs w:val="24"/>
          <w:rFonts w:eastAsia="Times New Roman" w:cs="Times New Roman"/>
        </w:rPr>
      </w:pPr>
      <w:r>
        <w:rPr>
          <w:rFonts w:eastAsia="Times New Roman" w:cs="Times New Roman"/>
          <w:sz w:val="24"/>
          <w:szCs w:val="24"/>
        </w:rPr>
        <w:t xml:space="preserve">Rosi F., Borelli, C. (2014), “Il processo di produzione scritta: la coesione verbale in testi di scuola primaria”, </w:t>
      </w:r>
      <w:r>
        <w:rPr>
          <w:rFonts w:eastAsia="Times New Roman" w:cs="Times New Roman"/>
          <w:i/>
          <w:sz w:val="24"/>
          <w:szCs w:val="24"/>
        </w:rPr>
        <w:t>Italiano LinguaDue</w:t>
      </w:r>
      <w:r>
        <w:rPr>
          <w:rFonts w:eastAsia="Times New Roman" w:cs="Times New Roman"/>
          <w:sz w:val="24"/>
          <w:szCs w:val="24"/>
        </w:rPr>
        <w:t xml:space="preserve"> 6 (2), pp. 247-268.  </w:t>
      </w:r>
      <w:r/>
    </w:p>
    <w:p>
      <w:pPr>
        <w:pStyle w:val="Paragrafobiblio"/>
        <w:rPr>
          <w:sz w:val="24"/>
          <w:sz w:val="24"/>
          <w:szCs w:val="24"/>
          <w:rFonts w:eastAsia="Times New Roman" w:cs="Times New Roman"/>
        </w:rPr>
      </w:pPr>
      <w:r>
        <w:rPr>
          <w:rFonts w:eastAsia="Times New Roman" w:cs="Times New Roman"/>
          <w:sz w:val="24"/>
          <w:szCs w:val="24"/>
        </w:rPr>
        <w:t xml:space="preserve">Russo E. (2015), </w:t>
      </w:r>
      <w:r>
        <w:rPr>
          <w:rFonts w:eastAsia="Times New Roman" w:cs="Times New Roman"/>
          <w:i/>
          <w:iCs/>
          <w:sz w:val="24"/>
          <w:szCs w:val="24"/>
        </w:rPr>
        <w:t>La coerenza testuale. Studio sperimentale su alunni della scuola primaria</w:t>
      </w:r>
      <w:r>
        <w:rPr>
          <w:rFonts w:eastAsia="Times New Roman" w:cs="Times New Roman"/>
          <w:sz w:val="24"/>
          <w:szCs w:val="24"/>
        </w:rPr>
        <w:t xml:space="preserve">. Tesi di laurea, Università di Modena e Reggio Emilia, Corso di Laurea in Scienze della Formazione Primaria. </w:t>
      </w:r>
      <w:r/>
    </w:p>
    <w:p>
      <w:pPr>
        <w:pStyle w:val="Paragrafobiblio"/>
        <w:rPr>
          <w:sz w:val="24"/>
          <w:sz w:val="24"/>
          <w:szCs w:val="24"/>
          <w:rFonts w:cs="Times New Roman"/>
          <w:color w:val="000000"/>
          <w:lang w:val="en-US"/>
        </w:rPr>
      </w:pPr>
      <w:r>
        <w:rPr>
          <w:rFonts w:cs="Times New Roman"/>
          <w:color w:val="000000"/>
          <w:sz w:val="24"/>
          <w:szCs w:val="24"/>
          <w:lang w:val="en-US"/>
        </w:rPr>
        <w:t xml:space="preserve">Samuda V., Bygate M. (2008), </w:t>
      </w:r>
      <w:r>
        <w:rPr>
          <w:rFonts w:cs="Times New Roman"/>
          <w:i/>
          <w:iCs/>
          <w:color w:val="000000"/>
          <w:sz w:val="24"/>
          <w:szCs w:val="24"/>
          <w:lang w:val="en-US"/>
        </w:rPr>
        <w:t>Tasks in second language learning</w:t>
      </w:r>
      <w:r>
        <w:rPr>
          <w:rFonts w:cs="Times New Roman"/>
          <w:color w:val="000000"/>
          <w:sz w:val="24"/>
          <w:szCs w:val="24"/>
          <w:lang w:val="en-US"/>
        </w:rPr>
        <w:t>, London, Palgrave.</w:t>
      </w:r>
      <w:r/>
    </w:p>
    <w:p>
      <w:pPr>
        <w:pStyle w:val="Paragrafobiblio"/>
        <w:rPr>
          <w:sz w:val="24"/>
          <w:sz w:val="24"/>
          <w:szCs w:val="24"/>
          <w:rFonts w:cs="Times New Roman"/>
        </w:rPr>
      </w:pPr>
      <w:r>
        <w:rPr>
          <w:rFonts w:cs="Times New Roman"/>
          <w:sz w:val="24"/>
          <w:szCs w:val="24"/>
        </w:rPr>
        <w:t xml:space="preserve">Scuola di Barbiana (1967), </w:t>
      </w:r>
      <w:r>
        <w:rPr>
          <w:rFonts w:cs="Times New Roman"/>
          <w:i/>
          <w:sz w:val="24"/>
          <w:szCs w:val="24"/>
        </w:rPr>
        <w:t>Lettera a una professoressa</w:t>
      </w:r>
      <w:r>
        <w:rPr>
          <w:rFonts w:cs="Times New Roman"/>
          <w:sz w:val="24"/>
          <w:szCs w:val="24"/>
        </w:rPr>
        <w:t>, Firenze, Libreria editrice fiorentina.</w:t>
      </w:r>
      <w:r/>
    </w:p>
    <w:p>
      <w:pPr>
        <w:pStyle w:val="Paragrafobiblio"/>
        <w:rPr>
          <w:sz w:val="24"/>
          <w:sz w:val="24"/>
          <w:szCs w:val="24"/>
          <w:rFonts w:eastAsia="Times New Roman" w:cs="Times New Roman"/>
          <w:color w:val="000000"/>
          <w:lang w:val="en-US"/>
        </w:rPr>
      </w:pPr>
      <w:r>
        <w:rPr>
          <w:rFonts w:eastAsia="Times New Roman" w:cs="Times New Roman"/>
          <w:color w:val="000000"/>
          <w:sz w:val="24"/>
          <w:szCs w:val="24"/>
          <w:lang w:val="en-US"/>
        </w:rPr>
        <w:t xml:space="preserve">Selinker L. (1972), “Interlanguage”, </w:t>
      </w:r>
      <w:r>
        <w:rPr>
          <w:rFonts w:eastAsia="Times New Roman" w:cs="Times New Roman"/>
          <w:i/>
          <w:color w:val="000000"/>
          <w:sz w:val="24"/>
          <w:szCs w:val="24"/>
          <w:lang w:val="en-US"/>
        </w:rPr>
        <w:t>International Review of Applied Linguistics</w:t>
      </w:r>
      <w:r>
        <w:rPr>
          <w:rFonts w:eastAsia="Times New Roman" w:cs="Times New Roman"/>
          <w:color w:val="000000"/>
          <w:sz w:val="24"/>
          <w:szCs w:val="24"/>
          <w:lang w:val="en-US"/>
        </w:rPr>
        <w:t xml:space="preserve"> 10, pp. 209-231.</w:t>
      </w:r>
      <w:r/>
    </w:p>
    <w:p>
      <w:pPr>
        <w:pStyle w:val="Paragrafobiblio"/>
        <w:rPr>
          <w:sz w:val="24"/>
          <w:spacing w:val="-4"/>
          <w:sz w:val="24"/>
          <w:szCs w:val="24"/>
          <w:rFonts w:eastAsia="Times New Roman" w:cs="Times New Roman"/>
          <w:lang w:val="de-DE"/>
        </w:rPr>
      </w:pPr>
      <w:r>
        <w:rPr>
          <w:rFonts w:eastAsia="Times New Roman" w:cs="Times New Roman"/>
          <w:spacing w:val="-4"/>
          <w:sz w:val="24"/>
          <w:szCs w:val="24"/>
          <w:lang w:val="de-DE"/>
        </w:rPr>
        <w:t xml:space="preserve">Serianni L., Benedetti G. (2009), </w:t>
      </w:r>
      <w:r>
        <w:rPr>
          <w:rFonts w:eastAsia="Times New Roman" w:cs="Times New Roman"/>
          <w:i/>
          <w:spacing w:val="-4"/>
          <w:sz w:val="24"/>
          <w:szCs w:val="24"/>
          <w:lang w:val="de-DE"/>
        </w:rPr>
        <w:t>Scritti sui banchi</w:t>
      </w:r>
      <w:r>
        <w:rPr>
          <w:rFonts w:eastAsia="Times New Roman" w:cs="Times New Roman"/>
          <w:spacing w:val="-4"/>
          <w:sz w:val="24"/>
          <w:szCs w:val="24"/>
          <w:lang w:val="de-DE"/>
        </w:rPr>
        <w:t xml:space="preserve">, Roma, Carocci. </w:t>
      </w:r>
      <w:r/>
    </w:p>
    <w:p>
      <w:pPr>
        <w:pStyle w:val="Paragrafobiblio"/>
        <w:rPr>
          <w:sz w:val="24"/>
          <w:sz w:val="24"/>
          <w:szCs w:val="24"/>
          <w:rFonts w:eastAsia="Times New Roman" w:cs="Times New Roman"/>
          <w:color w:val="000000"/>
        </w:rPr>
      </w:pPr>
      <w:r>
        <w:rPr>
          <w:rFonts w:eastAsia="Times New Roman" w:cs="Times New Roman"/>
          <w:color w:val="000000"/>
          <w:sz w:val="24"/>
          <w:szCs w:val="24"/>
        </w:rPr>
        <w:t xml:space="preserve">Solarino R. (2009), </w:t>
      </w:r>
      <w:r>
        <w:rPr>
          <w:rFonts w:eastAsia="Times New Roman" w:cs="Times New Roman"/>
          <w:i/>
          <w:color w:val="000000"/>
          <w:sz w:val="24"/>
          <w:szCs w:val="24"/>
        </w:rPr>
        <w:t>Imparare dagli errori</w:t>
      </w:r>
      <w:r>
        <w:rPr>
          <w:rFonts w:eastAsia="Times New Roman" w:cs="Times New Roman"/>
          <w:color w:val="000000"/>
          <w:sz w:val="24"/>
          <w:szCs w:val="24"/>
        </w:rPr>
        <w:t>, Napoli, Tecnodid.</w:t>
      </w:r>
      <w:r/>
    </w:p>
    <w:p>
      <w:pPr>
        <w:pStyle w:val="Paragrafobiblio"/>
        <w:rPr>
          <w:sz w:val="24"/>
          <w:i w:val="false"/>
          <w:sz w:val="24"/>
          <w:i w:val="false"/>
          <w:szCs w:val="24"/>
          <w:iCs w:val="false"/>
          <w:rFonts w:eastAsia="Times New Roman" w:cs="Times New Roman"/>
          <w:color w:val="000000"/>
        </w:rPr>
      </w:pPr>
      <w:r>
        <w:rPr>
          <w:rFonts w:eastAsia="Times New Roman" w:cs="Times New Roman"/>
          <w:color w:val="000000"/>
          <w:sz w:val="24"/>
          <w:szCs w:val="24"/>
        </w:rPr>
        <w:t xml:space="preserve">Storch N. (2013), </w:t>
      </w:r>
      <w:r>
        <w:rPr>
          <w:rFonts w:eastAsia="Times New Roman" w:cs="Times New Roman"/>
          <w:i/>
          <w:iCs/>
          <w:color w:val="000000"/>
          <w:sz w:val="24"/>
          <w:szCs w:val="24"/>
        </w:rPr>
        <w:t>Collaborative writing in L2 classrooms</w:t>
      </w:r>
      <w:r>
        <w:rPr>
          <w:rFonts w:eastAsia="Times New Roman" w:cs="Times New Roman"/>
          <w:i w:val="false"/>
          <w:iCs w:val="false"/>
          <w:color w:val="000000"/>
          <w:sz w:val="24"/>
          <w:szCs w:val="24"/>
        </w:rPr>
        <w:t>, Bristol, Multilingual Matters.</w:t>
      </w:r>
      <w:r/>
    </w:p>
    <w:p>
      <w:pPr>
        <w:pStyle w:val="TESTOBIBLIOGRAFIA"/>
      </w:pPr>
      <w:r>
        <w:rPr>
          <w:rFonts w:eastAsia="Times New Roman" w:cs="Times New Roman" w:ascii="Times New Roman" w:hAnsi="Times New Roman"/>
          <w:color w:val="000000"/>
          <w:sz w:val="24"/>
          <w:szCs w:val="24"/>
        </w:rPr>
        <w:t xml:space="preserve">Vygotsky L. S. (1954) [ed. orig. 1934], </w:t>
      </w:r>
      <w:r>
        <w:rPr>
          <w:rFonts w:eastAsia="Times New Roman" w:cs="Times New Roman" w:ascii="Times New Roman" w:hAnsi="Times New Roman"/>
          <w:i/>
          <w:color w:val="000000"/>
          <w:sz w:val="24"/>
          <w:szCs w:val="24"/>
        </w:rPr>
        <w:t>Pensiero e</w:t>
      </w:r>
      <w:r>
        <w:rPr>
          <w:rFonts w:eastAsia="Times New Roman" w:cs="Times New Roman" w:ascii="Times New Roman" w:hAnsi="Times New Roman"/>
          <w:color w:val="000000"/>
          <w:sz w:val="24"/>
          <w:szCs w:val="24"/>
        </w:rPr>
        <w:t xml:space="preserve">  </w:t>
      </w:r>
      <w:r>
        <w:rPr>
          <w:rFonts w:eastAsia="Times New Roman" w:cs="Times New Roman" w:ascii="Times New Roman" w:hAnsi="Times New Roman"/>
          <w:i/>
          <w:color w:val="000000"/>
          <w:sz w:val="24"/>
          <w:szCs w:val="24"/>
        </w:rPr>
        <w:t xml:space="preserve">linguaggio, </w:t>
      </w:r>
      <w:r>
        <w:rPr>
          <w:rFonts w:eastAsia="Times New Roman" w:cs="Times New Roman" w:ascii="Times New Roman" w:hAnsi="Times New Roman"/>
          <w:color w:val="000000"/>
          <w:sz w:val="24"/>
          <w:szCs w:val="24"/>
        </w:rPr>
        <w:t>Firenze, Giunti</w:t>
      </w:r>
      <w:r>
        <w:rPr>
          <w:rFonts w:eastAsia="Times New Roman" w:cs="Times New Roman" w:ascii="Times New Roman" w:hAnsi="Times New Roman"/>
          <w:i/>
          <w:color w:val="000000"/>
          <w:sz w:val="24"/>
          <w:szCs w:val="24"/>
        </w:rPr>
        <w:t xml:space="preserve">. </w:t>
      </w:r>
      <w:r/>
    </w:p>
    <w:sectPr>
      <w:footerReference w:type="default" r:id="rId2"/>
      <w:footnotePr>
        <w:numFmt w:val="decimal"/>
      </w:footnotePr>
      <w:type w:val="nextPage"/>
      <w:pgSz w:w="11906" w:h="16838"/>
      <w:pgMar w:left="1134" w:right="1134" w:header="0" w:top="1417" w:footer="1134" w:bottom="1670"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Tahoma">
    <w:charset w:val="01"/>
    <w:family w:val="roman"/>
    <w:pitch w:val="variable"/>
  </w:font>
  <w:font w:name="Liberation Sans">
    <w:altName w:val="Arial"/>
    <w:charset w:val="01"/>
    <w:family w:val="swiss"/>
    <w:pitch w:val="variable"/>
  </w:font>
  <w:font w:name="Courier">
    <w:altName w:val="Courier New"/>
    <w:charset w:val="01"/>
    <w:family w:val="roman"/>
    <w:pitch w:val="variable"/>
  </w:font>
  <w:font w:name="Courier New">
    <w:charset w:val="01"/>
    <w:family w:val="roman"/>
    <w:pitch w:val="variable"/>
  </w:font>
  <w:font w:name="Arial">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dipagina"/>
      <w:jc w:val="center"/>
    </w:pPr>
    <w:r>
      <w:rPr/>
      <w:fldChar w:fldCharType="begin"/>
    </w:r>
    <w:r>
      <w:instrText> PAGE </w:instrText>
    </w:r>
    <w:r>
      <w:fldChar w:fldCharType="separate"/>
    </w:r>
    <w:r>
      <w:t>14</w:t>
    </w:r>
    <w:r>
      <w:fldChar w:fldCharType="end"/>
    </w:r>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pidipagina"/>
      </w:pPr>
      <w:r>
        <w:rPr>
          <w:rStyle w:val="Footnotereference"/>
          <w:rFonts w:cs="Times New Roman"/>
          <w:sz w:val="18"/>
          <w:szCs w:val="18"/>
        </w:rPr>
        <w:footnoteRef/>
        <w:tab/>
      </w:r>
      <w:r>
        <w:rPr>
          <w:rFonts w:cs="Times New Roman"/>
          <w:sz w:val="18"/>
          <w:szCs w:val="18"/>
        </w:rPr>
        <w:t xml:space="preserve"> </w:t>
      </w:r>
      <w:r>
        <w:rPr>
          <w:rFonts w:eastAsia="Times New Roman" w:cs="Times New Roman"/>
          <w:sz w:val="18"/>
          <w:szCs w:val="18"/>
        </w:rPr>
        <w:t xml:space="preserve">Si desidera ringraziare </w:t>
      </w:r>
      <w:r>
        <w:rPr>
          <w:rFonts w:cs="Times New Roman"/>
          <w:sz w:val="18"/>
          <w:szCs w:val="18"/>
        </w:rPr>
        <w:t xml:space="preserve">le insegnanti e </w:t>
      </w:r>
      <w:r>
        <w:rPr>
          <w:rFonts w:eastAsia="Times New Roman" w:cs="Times New Roman"/>
          <w:sz w:val="18"/>
          <w:szCs w:val="18"/>
        </w:rPr>
        <w:t xml:space="preserve">gli istituti scolastici del Comune di Reggio Emilia </w:t>
      </w:r>
      <w:r>
        <w:rPr>
          <w:rFonts w:cs="Times New Roman"/>
          <w:sz w:val="18"/>
          <w:szCs w:val="18"/>
        </w:rPr>
        <w:t xml:space="preserve">dove è stata condotta la </w:t>
      </w:r>
      <w:r>
        <w:rPr>
          <w:rFonts w:eastAsia="Times New Roman" w:cs="Times New Roman"/>
          <w:sz w:val="18"/>
          <w:szCs w:val="18"/>
        </w:rPr>
        <w:t>sperimentazione educativa</w:t>
      </w:r>
      <w:r>
        <w:rPr>
          <w:rFonts w:cs="Times New Roman"/>
          <w:sz w:val="18"/>
          <w:szCs w:val="18"/>
        </w:rPr>
        <w:t>, le studentesse coinvolte nel progetto per il tirocinio o per la tesi di laurea che hanno condotto parte della raccolta, trascrizione e codifica dei dati (in particolare Chiara Borelli, Elisabetta Castellari ed Elena Russo), le insegnanti esterne al progetto che hanno dato la disponibilità alla raccolti dati come classi di controllo</w:t>
      </w:r>
      <w:r>
        <w:rPr>
          <w:rFonts w:eastAsia="Times New Roman" w:cs="Times New Roman"/>
          <w:sz w:val="18"/>
          <w:szCs w:val="18"/>
        </w:rPr>
        <w:t xml:space="preserve">. </w:t>
      </w:r>
      <w:r>
        <w:rPr>
          <w:rFonts w:cs="Times New Roman"/>
          <w:sz w:val="18"/>
          <w:szCs w:val="18"/>
        </w:rPr>
        <w:t>Per quanto riguarda la stesura del saggio, sono da attribuirsi a Gabriele Pallotti le sezioni 1, 5, 6, a Fabiana Rosi le sezioni 2, 3, 4.</w:t>
      </w:r>
      <w:r/>
    </w:p>
    <w:p>
      <w:pPr>
        <w:pStyle w:val="Notaapidipagina"/>
      </w:pPr>
      <w:r>
        <w:rPr/>
      </w:r>
      <w:r/>
    </w:p>
  </w:footnote>
  <w:footnote w:id="3">
    <w:p>
      <w:pPr>
        <w:pStyle w:val="Notaapidipagina"/>
      </w:pPr>
      <w:r>
        <w:rPr>
          <w:rStyle w:val="Footnotereference"/>
          <w:rFonts w:cs="Times New Roman"/>
          <w:sz w:val="18"/>
          <w:szCs w:val="18"/>
        </w:rPr>
        <w:footnoteRef/>
        <w:tab/>
      </w:r>
      <w:r>
        <w:rPr>
          <w:rFonts w:cs="Times New Roman"/>
          <w:sz w:val="18"/>
          <w:szCs w:val="18"/>
        </w:rPr>
        <w:t xml:space="preserve"> </w:t>
      </w:r>
      <w:r>
        <w:rPr>
          <w:rFonts w:cs="Times New Roman"/>
          <w:sz w:val="18"/>
          <w:szCs w:val="18"/>
        </w:rPr>
        <w:t>Della coesione in testi prodotti da alunni della scuola primaria nell’ambito della sperimentazione “Osservare l’interlingua” si tratta più approfonditamente in Rosi e Borelli (2014), Pallotti et al. (in preparazione).</w:t>
      </w:r>
      <w:r/>
    </w:p>
  </w:footnote>
  <w:footnote w:id="4">
    <w:p>
      <w:pPr>
        <w:pStyle w:val="Notaapidipagina"/>
      </w:pPr>
      <w:r>
        <w:rPr>
          <w:rStyle w:val="Footnotereference"/>
          <w:sz w:val="18"/>
          <w:szCs w:val="18"/>
        </w:rPr>
        <w:footnoteRef/>
        <w:tab/>
      </w:r>
      <w:r>
        <w:rPr>
          <w:sz w:val="18"/>
          <w:szCs w:val="18"/>
        </w:rPr>
        <w:t xml:space="preserve"> </w:t>
      </w:r>
      <w:r>
        <w:rPr>
          <w:sz w:val="18"/>
          <w:szCs w:val="18"/>
        </w:rPr>
        <w:t xml:space="preserve">I testi sono riportati in maniera fedele all’originale senza nessun tipo di correzione. Il codice del testo è composto dall’identificativo dell’anno, composto dalle iniziali dell’insegnante della classe e un numero progressivo (EP01), e dal nome dello stimolo narrato (Charlot1). </w:t>
      </w:r>
      <w:r/>
    </w:p>
    <w:p>
      <w:pPr>
        <w:pStyle w:val="Notaapidipagina"/>
      </w:pPr>
      <w:r>
        <w:rPr/>
      </w:r>
      <w:r/>
    </w:p>
  </w:footnote>
  <w:footnote w:id="5">
    <w:p>
      <w:pPr>
        <w:pStyle w:val="Notaapidipagina"/>
        <w:rPr>
          <w:sz w:val="22"/>
          <w:sz w:val="22"/>
          <w:szCs w:val="22"/>
          <w:rFonts w:ascii="Times New Roman" w:hAnsi="Times New Roman" w:eastAsia="" w:cs=""/>
          <w:color w:val="00000A"/>
          <w:lang w:val="it-IT" w:eastAsia="it-IT" w:bidi="ar-SA"/>
        </w:rPr>
      </w:pPr>
      <w:r>
        <w:rPr/>
        <w:footnoteRef/>
        <w:tab/>
        <w:t xml:space="preserve"> </w:t>
      </w:r>
      <w:r>
        <w:rPr/>
        <w:t>Una prima codifica e analisi dei dati esaminati in questo articolo è stata svolta nella tesi di laurea di Elena Russo (2015).</w:t>
      </w:r>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szCs w:val="22"/>
        <w:lang w:val="it-IT" w:eastAsia="it-IT" w:bidi="ar-SA"/>
      </w:rPr>
    </w:rPrDefault>
    <w:pPrDefault>
      <w:pPr>
        <w:spacing w:lineRule="auto" w:line="276"/>
      </w:pPr>
    </w:pPrDefault>
  </w:docDefaults>
  <w:latentStyles w:count="267" w:defQFormat="0" w:defUnhideWhenUsed="1" w:defSemiHidden="1" w:defUIPriority="99" w:defLockedState="0">
    <w:lsdException w:qFormat="1" w:semiHidden="0" w:uiPriority="0" w:unhideWhenUsed="0" w:name="Normal"/>
    <w:lsdException w:qFormat="1" w:semiHidden="0" w:uiPriority="9" w:unhideWhenUsed="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35" w:name="caption"/>
    <w:lsdException w:qFormat="1" w:semiHidden="0" w:uiPriority="10" w:unhideWhenUsed="0" w:name="Title"/>
    <w:lsdException w:uiPriority="1" w:name="Default Paragraph Font"/>
    <w:lsdException w:qFormat="1" w:semiHidden="0" w:uiPriority="11" w:unhideWhenUsed="0" w:name="Subtitle"/>
    <w:lsdException w:qFormat="1" w:semiHidden="0" w:uiPriority="22" w:unhideWhenUsed="0" w:name="Strong"/>
    <w:lsdException w:qFormat="1" w:semiHidden="0" w:uiPriority="20" w:unhideWhenUsed="0" w:name="Emphasis"/>
    <w:lsdException w:semiHidden="0" w:uiPriority="59" w:unhideWhenUsed="0" w:name="Table Grid"/>
    <w:lsdException w:unhideWhenUsed="0" w:name="Placeholder Text"/>
    <w:lsdException w:qFormat="1" w:semiHidden="0" w:uiPriority="1" w:unhideWhenUsed="0" w:name="No Spacing"/>
    <w:lsdException w:semiHidden="0" w:uiPriority="60" w:unhideWhenUsed="0" w:name="Light Shading"/>
    <w:lsdException w:semiHidden="0" w:uiPriority="61" w:unhideWhenUsed="0" w:name="Light List"/>
    <w:lsdException w:semiHidden="0" w:uiPriority="62" w:unhideWhenUsed="0" w:name="Light Grid"/>
    <w:lsdException w:semiHidden="0" w:uiPriority="63" w:unhideWhenUsed="0" w:name="Medium Shading 1"/>
    <w:lsdException w:semiHidden="0" w:uiPriority="64" w:unhideWhenUsed="0" w:name="Medium Shading 2"/>
    <w:lsdException w:semiHidden="0" w:uiPriority="65" w:unhideWhenUsed="0" w:name="Medium List 1"/>
    <w:lsdException w:semiHidden="0" w:uiPriority="66" w:unhideWhenUsed="0" w:name="Medium List 2"/>
    <w:lsdException w:semiHidden="0" w:uiPriority="67" w:unhideWhenUsed="0" w:name="Medium Grid 1"/>
    <w:lsdException w:semiHidden="0" w:uiPriority="68" w:unhideWhenUsed="0" w:name="Medium Grid 2"/>
    <w:lsdException w:semiHidden="0" w:uiPriority="69" w:unhideWhenUsed="0" w:name="Medium Grid 3"/>
    <w:lsdException w:semiHidden="0" w:uiPriority="70" w:unhideWhenUsed="0" w:name="Dark List"/>
    <w:lsdException w:semiHidden="0" w:uiPriority="71" w:unhideWhenUsed="0" w:name="Colorful Shading"/>
    <w:lsdException w:semiHidden="0" w:uiPriority="72" w:unhideWhenUsed="0" w:name="Colorful List"/>
    <w:lsdException w:semiHidden="0" w:uiPriority="73" w:unhideWhenUsed="0" w:name="Colorful Grid"/>
    <w:lsdException w:semiHidden="0" w:uiPriority="60" w:unhideWhenUsed="0" w:name="Light Shading Accent 1"/>
    <w:lsdException w:semiHidden="0" w:uiPriority="61" w:unhideWhenUsed="0" w:name="Light List Accent 1"/>
    <w:lsdException w:semiHidden="0" w:uiPriority="62" w:unhideWhenUsed="0" w:name="Light Grid Accent 1"/>
    <w:lsdException w:semiHidden="0" w:uiPriority="63" w:unhideWhenUsed="0" w:name="Medium Shading 1 Accent 1"/>
    <w:lsdException w:semiHidden="0" w:uiPriority="64" w:unhideWhenUsed="0" w:name="Medium Shading 2 Accent 1"/>
    <w:lsdException w:semiHidden="0" w:uiPriority="65" w:unhideWhenUsed="0" w:name="Medium List 1 Accent 1"/>
    <w:lsdException w:unhideWhenUsed="0" w:name="Revision"/>
    <w:lsdException w:qFormat="1" w:semiHidden="0" w:uiPriority="34" w:unhideWhenUsed="0" w:name="List Paragraph"/>
    <w:lsdException w:qFormat="1" w:semiHidden="0" w:uiPriority="29" w:unhideWhenUsed="0" w:name="Quote"/>
    <w:lsdException w:qFormat="1" w:semiHidden="0" w:uiPriority="30" w:unhideWhenUsed="0" w:name="Intense Quote"/>
    <w:lsdException w:semiHidden="0" w:uiPriority="66" w:unhideWhenUsed="0" w:name="Medium List 2 Accent 1"/>
    <w:lsdException w:semiHidden="0" w:uiPriority="67" w:unhideWhenUsed="0" w:name="Medium Grid 1 Accent 1"/>
    <w:lsdException w:semiHidden="0" w:uiPriority="68" w:unhideWhenUsed="0" w:name="Medium Grid 2 Accent 1"/>
    <w:lsdException w:semiHidden="0" w:uiPriority="69" w:unhideWhenUsed="0" w:name="Medium Grid 3 Accent 1"/>
    <w:lsdException w:semiHidden="0" w:uiPriority="70" w:unhideWhenUsed="0" w:name="Dark List Accent 1"/>
    <w:lsdException w:semiHidden="0" w:uiPriority="71" w:unhideWhenUsed="0" w:name="Colorful Shading Accent 1"/>
    <w:lsdException w:semiHidden="0" w:uiPriority="72" w:unhideWhenUsed="0" w:name="Colorful List Accent 1"/>
    <w:lsdException w:semiHidden="0" w:uiPriority="73" w:unhideWhenUsed="0" w:name="Colorful Grid Accent 1"/>
    <w:lsdException w:semiHidden="0" w:uiPriority="60" w:unhideWhenUsed="0" w:name="Light Shading Accent 2"/>
    <w:lsdException w:semiHidden="0" w:uiPriority="61" w:unhideWhenUsed="0" w:name="Light List Accent 2"/>
    <w:lsdException w:semiHidden="0" w:uiPriority="62" w:unhideWhenUsed="0" w:name="Light Grid Accent 2"/>
    <w:lsdException w:semiHidden="0" w:uiPriority="63" w:unhideWhenUsed="0" w:name="Medium Shading 1 Accent 2"/>
    <w:lsdException w:semiHidden="0" w:uiPriority="64" w:unhideWhenUsed="0" w:name="Medium Shading 2 Accent 2"/>
    <w:lsdException w:semiHidden="0" w:uiPriority="65" w:unhideWhenUsed="0" w:name="Medium List 1 Accent 2"/>
    <w:lsdException w:semiHidden="0" w:uiPriority="66" w:unhideWhenUsed="0" w:name="Medium List 2 Accent 2"/>
    <w:lsdException w:semiHidden="0" w:uiPriority="67" w:unhideWhenUsed="0" w:name="Medium Grid 1 Accent 2"/>
    <w:lsdException w:semiHidden="0" w:uiPriority="68" w:unhideWhenUsed="0" w:name="Medium Grid 2 Accent 2"/>
    <w:lsdException w:semiHidden="0" w:uiPriority="69" w:unhideWhenUsed="0" w:name="Medium Grid 3 Accent 2"/>
    <w:lsdException w:semiHidden="0" w:uiPriority="70" w:unhideWhenUsed="0" w:name="Dark List Accent 2"/>
    <w:lsdException w:semiHidden="0" w:uiPriority="71" w:unhideWhenUsed="0" w:name="Colorful Shading Accent 2"/>
    <w:lsdException w:semiHidden="0" w:uiPriority="72" w:unhideWhenUsed="0" w:name="Colorful List Accent 2"/>
    <w:lsdException w:semiHidden="0" w:uiPriority="73" w:unhideWhenUsed="0" w:name="Colorful Grid Accent 2"/>
    <w:lsdException w:semiHidden="0" w:uiPriority="60" w:unhideWhenUsed="0" w:name="Light Shading Accent 3"/>
    <w:lsdException w:semiHidden="0" w:uiPriority="61" w:unhideWhenUsed="0" w:name="Light List Accent 3"/>
    <w:lsdException w:semiHidden="0" w:uiPriority="62" w:unhideWhenUsed="0" w:name="Light Grid Accent 3"/>
    <w:lsdException w:semiHidden="0" w:uiPriority="63" w:unhideWhenUsed="0" w:name="Medium Shading 1 Accent 3"/>
    <w:lsdException w:semiHidden="0" w:uiPriority="64" w:unhideWhenUsed="0" w:name="Medium Shading 2 Accent 3"/>
    <w:lsdException w:semiHidden="0" w:uiPriority="65" w:unhideWhenUsed="0" w:name="Medium List 1 Accent 3"/>
    <w:lsdException w:semiHidden="0" w:uiPriority="66" w:unhideWhenUsed="0" w:name="Medium List 2 Accent 3"/>
    <w:lsdException w:semiHidden="0" w:uiPriority="67" w:unhideWhenUsed="0" w:name="Medium Grid 1 Accent 3"/>
    <w:lsdException w:semiHidden="0" w:uiPriority="68" w:unhideWhenUsed="0" w:name="Medium Grid 2 Accent 3"/>
    <w:lsdException w:semiHidden="0" w:uiPriority="69" w:unhideWhenUsed="0" w:name="Medium Grid 3 Accent 3"/>
    <w:lsdException w:semiHidden="0" w:uiPriority="70" w:unhideWhenUsed="0" w:name="Dark List Accent 3"/>
    <w:lsdException w:semiHidden="0" w:uiPriority="71" w:unhideWhenUsed="0" w:name="Colorful Shading Accent 3"/>
    <w:lsdException w:semiHidden="0" w:uiPriority="72" w:unhideWhenUsed="0" w:name="Colorful List Accent 3"/>
    <w:lsdException w:semiHidden="0" w:uiPriority="73" w:unhideWhenUsed="0" w:name="Colorful Grid Accent 3"/>
    <w:lsdException w:semiHidden="0" w:uiPriority="60" w:unhideWhenUsed="0" w:name="Light Shading Accent 4"/>
    <w:lsdException w:semiHidden="0" w:uiPriority="61" w:unhideWhenUsed="0" w:name="Light List Accent 4"/>
    <w:lsdException w:semiHidden="0" w:uiPriority="62" w:unhideWhenUsed="0" w:name="Light Grid Accent 4"/>
    <w:lsdException w:semiHidden="0" w:uiPriority="63" w:unhideWhenUsed="0" w:name="Medium Shading 1 Accent 4"/>
    <w:lsdException w:semiHidden="0" w:uiPriority="64" w:unhideWhenUsed="0" w:name="Medium Shading 2 Accent 4"/>
    <w:lsdException w:semiHidden="0" w:uiPriority="65" w:unhideWhenUsed="0" w:name="Medium List 1 Accent 4"/>
    <w:lsdException w:semiHidden="0" w:uiPriority="66" w:unhideWhenUsed="0" w:name="Medium List 2 Accent 4"/>
    <w:lsdException w:semiHidden="0" w:uiPriority="67" w:unhideWhenUsed="0" w:name="Medium Grid 1 Accent 4"/>
    <w:lsdException w:semiHidden="0" w:uiPriority="68" w:unhideWhenUsed="0" w:name="Medium Grid 2 Accent 4"/>
    <w:lsdException w:semiHidden="0" w:uiPriority="69" w:unhideWhenUsed="0" w:name="Medium Grid 3 Accent 4"/>
    <w:lsdException w:semiHidden="0" w:uiPriority="70" w:unhideWhenUsed="0" w:name="Dark List Accent 4"/>
    <w:lsdException w:semiHidden="0" w:uiPriority="71" w:unhideWhenUsed="0" w:name="Colorful Shading Accent 4"/>
    <w:lsdException w:semiHidden="0" w:uiPriority="72" w:unhideWhenUsed="0" w:name="Colorful List Accent 4"/>
    <w:lsdException w:semiHidden="0" w:uiPriority="73" w:unhideWhenUsed="0" w:name="Colorful Grid Accent 4"/>
    <w:lsdException w:semiHidden="0" w:uiPriority="60" w:unhideWhenUsed="0" w:name="Light Shading Accent 5"/>
    <w:lsdException w:semiHidden="0" w:uiPriority="61" w:unhideWhenUsed="0" w:name="Light List Accent 5"/>
    <w:lsdException w:semiHidden="0" w:uiPriority="62" w:unhideWhenUsed="0" w:name="Light Grid Accent 5"/>
    <w:lsdException w:semiHidden="0" w:uiPriority="63" w:unhideWhenUsed="0" w:name="Medium Shading 1 Accent 5"/>
    <w:lsdException w:semiHidden="0" w:uiPriority="64" w:unhideWhenUsed="0" w:name="Medium Shading 2 Accent 5"/>
    <w:lsdException w:semiHidden="0" w:uiPriority="65" w:unhideWhenUsed="0" w:name="Medium List 1 Accent 5"/>
    <w:lsdException w:semiHidden="0" w:uiPriority="66" w:unhideWhenUsed="0" w:name="Medium List 2 Accent 5"/>
    <w:lsdException w:semiHidden="0" w:uiPriority="67" w:unhideWhenUsed="0" w:name="Medium Grid 1 Accent 5"/>
    <w:lsdException w:semiHidden="0" w:uiPriority="68" w:unhideWhenUsed="0" w:name="Medium Grid 2 Accent 5"/>
    <w:lsdException w:semiHidden="0" w:uiPriority="69" w:unhideWhenUsed="0" w:name="Medium Grid 3 Accent 5"/>
    <w:lsdException w:semiHidden="0" w:uiPriority="70" w:unhideWhenUsed="0" w:name="Dark List Accent 5"/>
    <w:lsdException w:semiHidden="0" w:uiPriority="71" w:unhideWhenUsed="0" w:name="Colorful Shading Accent 5"/>
    <w:lsdException w:semiHidden="0" w:uiPriority="72" w:unhideWhenUsed="0" w:name="Colorful List Accent 5"/>
    <w:lsdException w:semiHidden="0" w:uiPriority="73" w:unhideWhenUsed="0" w:name="Colorful Grid Accent 5"/>
    <w:lsdException w:semiHidden="0" w:uiPriority="60" w:unhideWhenUsed="0" w:name="Light Shading Accent 6"/>
    <w:lsdException w:semiHidden="0" w:uiPriority="61" w:unhideWhenUsed="0" w:name="Light List Accent 6"/>
    <w:lsdException w:semiHidden="0" w:uiPriority="62" w:unhideWhenUsed="0" w:name="Light Grid Accent 6"/>
    <w:lsdException w:semiHidden="0" w:uiPriority="63" w:unhideWhenUsed="0" w:name="Medium Shading 1 Accent 6"/>
    <w:lsdException w:semiHidden="0" w:uiPriority="64" w:unhideWhenUsed="0" w:name="Medium Shading 2 Accent 6"/>
    <w:lsdException w:semiHidden="0" w:uiPriority="65" w:unhideWhenUsed="0" w:name="Medium List 1 Accent 6"/>
    <w:lsdException w:semiHidden="0" w:uiPriority="66" w:unhideWhenUsed="0" w:name="Medium List 2 Accent 6"/>
    <w:lsdException w:semiHidden="0" w:uiPriority="67" w:unhideWhenUsed="0" w:name="Medium Grid 1 Accent 6"/>
    <w:lsdException w:semiHidden="0" w:uiPriority="68" w:unhideWhenUsed="0" w:name="Medium Grid 2 Accent 6"/>
    <w:lsdException w:semiHidden="0" w:uiPriority="69" w:unhideWhenUsed="0" w:name="Medium Grid 3 Accent 6"/>
    <w:lsdException w:semiHidden="0" w:uiPriority="70" w:unhideWhenUsed="0" w:name="Dark List Accent 6"/>
    <w:lsdException w:semiHidden="0" w:uiPriority="71" w:unhideWhenUsed="0" w:name="Colorful Shading Accent 6"/>
    <w:lsdException w:semiHidden="0" w:uiPriority="72" w:unhideWhenUsed="0" w:name="Colorful List Accent 6"/>
    <w:lsdException w:semiHidden="0" w:uiPriority="73" w:unhideWhenUsed="0" w:name="Colorful Grid Accent 6"/>
    <w:lsdException w:qFormat="1" w:semiHidden="0" w:uiPriority="19" w:unhideWhenUsed="0" w:name="Subtle Emphasis"/>
    <w:lsdException w:qFormat="1" w:semiHidden="0" w:uiPriority="21" w:unhideWhenUsed="0" w:name="Intense Emphasis"/>
    <w:lsdException w:qFormat="1" w:semiHidden="0" w:uiPriority="31" w:unhideWhenUsed="0" w:name="Subtle Reference"/>
    <w:lsdException w:qFormat="1" w:semiHidden="0" w:uiPriority="32" w:unhideWhenUsed="0" w:name="Intense Reference"/>
    <w:lsdException w:qFormat="1" w:semiHidden="0" w:uiPriority="33" w:unhideWhenUsed="0" w:name="Book Title"/>
    <w:lsdException w:uiPriority="37" w:name="Bibliography"/>
    <w:lsdException w:qFormat="1" w:uiPriority="39" w:name="TOC Heading"/>
  </w:latentStyles>
  <w:style w:type="paragraph" w:styleId="Normal" w:default="1">
    <w:name w:val="Normal"/>
    <w:qFormat/>
    <w:rsid w:val="0023449e"/>
    <w:pPr>
      <w:widowControl/>
      <w:suppressAutoHyphens w:val="true"/>
      <w:bidi w:val="0"/>
      <w:spacing w:lineRule="auto" w:line="240" w:before="0" w:after="0"/>
      <w:ind w:left="0" w:right="0" w:firstLine="340"/>
      <w:jc w:val="both"/>
    </w:pPr>
    <w:rPr>
      <w:rFonts w:ascii="Times New Roman" w:hAnsi="Times New Roman" w:eastAsia="" w:cs=""/>
      <w:color w:val="00000A"/>
      <w:sz w:val="22"/>
      <w:szCs w:val="22"/>
      <w:lang w:val="it-IT" w:eastAsia="it-IT" w:bidi="ar-SA"/>
    </w:rPr>
  </w:style>
  <w:style w:type="paragraph" w:styleId="Titolo1">
    <w:name w:val="Titolo 1"/>
    <w:basedOn w:val="Titolo"/>
    <w:pPr/>
    <w:rPr/>
  </w:style>
  <w:style w:type="paragraph" w:styleId="Titolo2">
    <w:name w:val="Titolo 2"/>
    <w:basedOn w:val="Normal"/>
    <w:link w:val="Titolo2Carattere"/>
    <w:uiPriority w:val="9"/>
    <w:qFormat/>
    <w:rsid w:val="00b02f99"/>
    <w:pPr>
      <w:spacing w:lineRule="auto" w:line="240" w:before="280" w:after="280"/>
      <w:outlineLvl w:val="1"/>
    </w:pPr>
    <w:rPr>
      <w:rFonts w:ascii="Times New Roman" w:hAnsi="Times New Roman" w:eastAsia="Times New Roman" w:cs="Times New Roman"/>
      <w:b/>
      <w:bCs/>
      <w:sz w:val="36"/>
      <w:szCs w:val="36"/>
    </w:rPr>
  </w:style>
  <w:style w:type="paragraph" w:styleId="Titolo3">
    <w:name w:val="Titolo 3"/>
    <w:basedOn w:val="Normal"/>
    <w:link w:val="Titolo3Carattere"/>
    <w:uiPriority w:val="9"/>
    <w:qFormat/>
    <w:rsid w:val="00b02f99"/>
    <w:pPr>
      <w:spacing w:lineRule="auto" w:line="240" w:before="280" w:after="280"/>
      <w:outlineLvl w:val="2"/>
    </w:pPr>
    <w:rPr>
      <w:rFonts w:ascii="Times New Roman" w:hAnsi="Times New Roman" w:eastAsia="Times New Roman" w:cs="Times New Roman"/>
      <w:b/>
      <w:bCs/>
      <w:sz w:val="27"/>
      <w:szCs w:val="27"/>
    </w:rPr>
  </w:style>
  <w:style w:type="character" w:styleId="DefaultParagraphFont" w:default="1">
    <w:name w:val="Default Paragraph Font"/>
    <w:uiPriority w:val="1"/>
    <w:semiHidden/>
    <w:unhideWhenUsed/>
    <w:rPr/>
  </w:style>
  <w:style w:type="character" w:styleId="CollegamentoInternet">
    <w:name w:val="Collegamento Internet"/>
    <w:basedOn w:val="DefaultParagraphFont"/>
    <w:uiPriority w:val="99"/>
    <w:unhideWhenUsed/>
    <w:rsid w:val="00de2f68"/>
    <w:rPr>
      <w:color w:val="0000FF"/>
      <w:u w:val="single"/>
      <w:lang w:val="zxx" w:eastAsia="zxx" w:bidi="zxx"/>
    </w:rPr>
  </w:style>
  <w:style w:type="character" w:styleId="TestonotaapidipaginaCarattere" w:customStyle="1">
    <w:name w:val="Testo nota a piè di pagina Carattere"/>
    <w:basedOn w:val="DefaultParagraphFont"/>
    <w:link w:val="Testonotaapidipagina"/>
    <w:uiPriority w:val="99"/>
    <w:semiHidden/>
    <w:rsid w:val="001d15ee"/>
    <w:rPr>
      <w:sz w:val="20"/>
      <w:szCs w:val="20"/>
    </w:rPr>
  </w:style>
  <w:style w:type="character" w:styleId="Footnotereference">
    <w:name w:val="footnote reference"/>
    <w:basedOn w:val="DefaultParagraphFont"/>
    <w:uiPriority w:val="99"/>
    <w:semiHidden/>
    <w:unhideWhenUsed/>
    <w:rsid w:val="001d15ee"/>
    <w:rPr>
      <w:vertAlign w:val="superscript"/>
    </w:rPr>
  </w:style>
  <w:style w:type="character" w:styleId="Titolo2Carattere" w:customStyle="1">
    <w:name w:val="Titolo 2 Carattere"/>
    <w:basedOn w:val="DefaultParagraphFont"/>
    <w:link w:val="Titolo2"/>
    <w:uiPriority w:val="9"/>
    <w:rsid w:val="00b02f99"/>
    <w:rPr>
      <w:rFonts w:ascii="Times New Roman" w:hAnsi="Times New Roman" w:eastAsia="Times New Roman" w:cs="Times New Roman"/>
      <w:b/>
      <w:bCs/>
      <w:sz w:val="36"/>
      <w:szCs w:val="36"/>
    </w:rPr>
  </w:style>
  <w:style w:type="character" w:styleId="Titolo3Carattere" w:customStyle="1">
    <w:name w:val="Titolo 3 Carattere"/>
    <w:basedOn w:val="DefaultParagraphFont"/>
    <w:link w:val="Titolo3"/>
    <w:uiPriority w:val="9"/>
    <w:rsid w:val="00b02f99"/>
    <w:rPr>
      <w:rFonts w:ascii="Times New Roman" w:hAnsi="Times New Roman" w:eastAsia="Times New Roman" w:cs="Times New Roman"/>
      <w:b/>
      <w:bCs/>
      <w:sz w:val="27"/>
      <w:szCs w:val="27"/>
    </w:rPr>
  </w:style>
  <w:style w:type="character" w:styleId="Appleconvertedspace" w:customStyle="1">
    <w:name w:val="apple-converted-space"/>
    <w:basedOn w:val="DefaultParagraphFont"/>
    <w:rsid w:val="00b02f99"/>
    <w:rPr/>
  </w:style>
  <w:style w:type="character" w:styleId="Searchword" w:customStyle="1">
    <w:name w:val="searchword"/>
    <w:basedOn w:val="DefaultParagraphFont"/>
    <w:rsid w:val="00b02f99"/>
    <w:rPr/>
  </w:style>
  <w:style w:type="character" w:styleId="Enfasi">
    <w:name w:val="Enfasi"/>
    <w:basedOn w:val="DefaultParagraphFont"/>
    <w:uiPriority w:val="20"/>
    <w:qFormat/>
    <w:rsid w:val="00b163ab"/>
    <w:rPr>
      <w:i/>
      <w:iCs/>
    </w:rPr>
  </w:style>
  <w:style w:type="character" w:styleId="TestofumettoCarattere" w:customStyle="1">
    <w:name w:val="Testo fumetto Carattere"/>
    <w:basedOn w:val="DefaultParagraphFont"/>
    <w:link w:val="Testofumetto"/>
    <w:uiPriority w:val="99"/>
    <w:semiHidden/>
    <w:rsid w:val="00fe11a7"/>
    <w:rPr>
      <w:rFonts w:ascii="Tahoma" w:hAnsi="Tahoma" w:cs="Tahoma"/>
      <w:sz w:val="16"/>
      <w:szCs w:val="16"/>
    </w:rPr>
  </w:style>
  <w:style w:type="character" w:styleId="Annotationreference">
    <w:name w:val="annotation reference"/>
    <w:basedOn w:val="DefaultParagraphFont"/>
    <w:uiPriority w:val="99"/>
    <w:semiHidden/>
    <w:unhideWhenUsed/>
    <w:rsid w:val="00de462b"/>
    <w:rPr>
      <w:sz w:val="16"/>
      <w:szCs w:val="16"/>
    </w:rPr>
  </w:style>
  <w:style w:type="character" w:styleId="TestocommentoCarattere" w:customStyle="1">
    <w:name w:val="Testo commento Carattere"/>
    <w:basedOn w:val="DefaultParagraphFont"/>
    <w:link w:val="Testocommento"/>
    <w:uiPriority w:val="99"/>
    <w:semiHidden/>
    <w:rsid w:val="00de462b"/>
    <w:rPr>
      <w:sz w:val="20"/>
      <w:szCs w:val="20"/>
    </w:rPr>
  </w:style>
  <w:style w:type="character" w:styleId="SoggettocommentoCarattere" w:customStyle="1">
    <w:name w:val="Soggetto commento Carattere"/>
    <w:basedOn w:val="TestocommentoCarattere"/>
    <w:link w:val="Soggettocommento"/>
    <w:uiPriority w:val="99"/>
    <w:semiHidden/>
    <w:rsid w:val="00de462b"/>
    <w:rPr>
      <w:b/>
      <w:bCs/>
    </w:rPr>
  </w:style>
  <w:style w:type="character" w:styleId="ListLabel1">
    <w:name w:val="ListLabel 1"/>
    <w:rPr>
      <w:rFonts w:cs="Courier New"/>
    </w:rPr>
  </w:style>
  <w:style w:type="character" w:styleId="Richiamoallanotaapidipagina">
    <w:name w:val="Richiamo alla nota a piè di pagina"/>
    <w:rPr>
      <w:vertAlign w:val="superscript"/>
    </w:rPr>
  </w:style>
  <w:style w:type="character" w:styleId="Richiamoallanotadichiusura">
    <w:name w:val="Richiamo alla nota di chiusura"/>
    <w:rPr>
      <w:vertAlign w:val="superscript"/>
    </w:rPr>
  </w:style>
  <w:style w:type="character" w:styleId="ListLabel2">
    <w:name w:val="ListLabel 2"/>
    <w:rPr>
      <w:rFonts w:cs="Arial"/>
    </w:rPr>
  </w:style>
  <w:style w:type="character" w:styleId="ListLabel3">
    <w:name w:val="ListLabel 3"/>
    <w:rPr>
      <w:rFonts w:cs="Arial"/>
    </w:rPr>
  </w:style>
  <w:style w:type="character" w:styleId="ListLabel4">
    <w:name w:val="ListLabel 4"/>
    <w:rPr>
      <w:rFonts w:cs="Arial"/>
    </w:rPr>
  </w:style>
  <w:style w:type="character" w:styleId="ListLabel5">
    <w:name w:val="ListLabel 5"/>
    <w:rPr>
      <w:rFonts w:cs="Arial"/>
    </w:rPr>
  </w:style>
  <w:style w:type="character" w:styleId="ListLabel6">
    <w:name w:val="ListLabel 6"/>
    <w:rPr>
      <w:rFonts w:cs="Arial"/>
    </w:rPr>
  </w:style>
  <w:style w:type="character" w:styleId="ListLabel7">
    <w:name w:val="ListLabel 7"/>
    <w:rPr>
      <w:rFonts w:cs="Arial"/>
    </w:rPr>
  </w:style>
  <w:style w:type="character" w:styleId="ListLabel8">
    <w:name w:val="ListLabel 8"/>
    <w:rPr>
      <w:rFonts w:cs="Arial"/>
    </w:rPr>
  </w:style>
  <w:style w:type="character" w:styleId="ListLabel9">
    <w:name w:val="ListLabel 9"/>
    <w:rPr>
      <w:rFonts w:cs="Arial"/>
    </w:rPr>
  </w:style>
  <w:style w:type="character" w:styleId="ListLabel10">
    <w:name w:val="ListLabel 10"/>
    <w:rPr>
      <w:rFonts w:cs="Arial"/>
    </w:rPr>
  </w:style>
  <w:style w:type="character" w:styleId="ListLabel11">
    <w:name w:val="ListLabel 11"/>
    <w:rPr>
      <w:rFonts w:cs="Arial"/>
    </w:rPr>
  </w:style>
  <w:style w:type="character" w:styleId="ListLabel12">
    <w:name w:val="ListLabel 12"/>
    <w:rPr>
      <w:rFonts w:cs="Arial"/>
    </w:rPr>
  </w:style>
  <w:style w:type="character" w:styleId="Caratteredellanota">
    <w:name w:val="Carattere della nota"/>
    <w:rPr/>
  </w:style>
  <w:style w:type="character" w:styleId="Caratterenotadichiusura">
    <w:name w:val="Carattere nota di chiusura"/>
    <w:rPr/>
  </w:style>
  <w:style w:type="paragraph" w:styleId="Titolo">
    <w:name w:val="Titolo"/>
    <w:basedOn w:val="Normal"/>
    <w:next w:val="Corpodeltesto"/>
    <w:pPr>
      <w:keepNext/>
      <w:spacing w:before="240" w:after="120"/>
    </w:pPr>
    <w:rPr>
      <w:rFonts w:ascii="Liberation Sans" w:hAnsi="Liberation Sans" w:eastAsia="Droid Sans Fallback" w:cs="FreeSans"/>
      <w:sz w:val="28"/>
      <w:szCs w:val="28"/>
    </w:rPr>
  </w:style>
  <w:style w:type="paragraph" w:styleId="Corpodeltesto">
    <w:name w:val="Corpo del testo"/>
    <w:basedOn w:val="Normal"/>
    <w:pPr>
      <w:spacing w:lineRule="auto" w:line="288" w:before="0" w:after="140"/>
    </w:pPr>
    <w:rPr/>
  </w:style>
  <w:style w:type="paragraph" w:styleId="Elenco">
    <w:name w:val="Elenco"/>
    <w:basedOn w:val="Corpodeltesto"/>
    <w:pPr/>
    <w:rPr>
      <w:rFonts w:cs="FreeSans"/>
    </w:rPr>
  </w:style>
  <w:style w:type="paragraph" w:styleId="Didascalia">
    <w:name w:val="Didascalia"/>
    <w:basedOn w:val="Normal"/>
    <w:pPr>
      <w:suppressLineNumbers/>
      <w:spacing w:before="120" w:after="120"/>
    </w:pPr>
    <w:rPr>
      <w:rFonts w:cs="FreeSans"/>
      <w:i/>
      <w:iCs/>
      <w:sz w:val="24"/>
      <w:szCs w:val="24"/>
    </w:rPr>
  </w:style>
  <w:style w:type="paragraph" w:styleId="Indice">
    <w:name w:val="Indice"/>
    <w:basedOn w:val="Normal"/>
    <w:pPr>
      <w:suppressLineNumbers/>
    </w:pPr>
    <w:rPr>
      <w:rFonts w:cs="FreeSans"/>
    </w:rPr>
  </w:style>
  <w:style w:type="paragraph" w:styleId="Paragrafobiblio" w:customStyle="1">
    <w:name w:val="paragrafo biblio"/>
    <w:basedOn w:val="Normal"/>
    <w:rsid w:val="00f51b2a"/>
    <w:pPr>
      <w:widowControl w:val="false"/>
      <w:suppressAutoHyphens w:val="true"/>
      <w:overflowPunct w:val="false"/>
      <w:spacing w:lineRule="auto" w:line="240" w:before="0" w:after="0"/>
      <w:ind w:left="397" w:right="0" w:hanging="397"/>
      <w:jc w:val="both"/>
      <w:textAlignment w:val="baseline"/>
    </w:pPr>
    <w:rPr>
      <w:rFonts w:ascii="Times New Roman" w:hAnsi="Times New Roman" w:eastAsia="Lucida Sans Unicode" w:cs="Times New Roman"/>
      <w:szCs w:val="20"/>
      <w:lang w:val="en-GB"/>
    </w:rPr>
  </w:style>
  <w:style w:type="paragraph" w:styleId="NoSpacing">
    <w:name w:val="No Spacing"/>
    <w:uiPriority w:val="1"/>
    <w:qFormat/>
    <w:rsid w:val="00f51b2a"/>
    <w:pPr>
      <w:widowControl/>
      <w:suppressAutoHyphens w:val="true"/>
      <w:bidi w:val="0"/>
      <w:spacing w:lineRule="auto" w:line="240" w:before="0" w:after="0"/>
      <w:jc w:val="left"/>
    </w:pPr>
    <w:rPr>
      <w:rFonts w:ascii="Calibri" w:hAnsi="Calibri" w:eastAsia="Calibri" w:cs="Times New Roman"/>
      <w:color w:val="00000A"/>
      <w:sz w:val="22"/>
      <w:szCs w:val="22"/>
      <w:lang w:val="it-IT" w:eastAsia="en-US" w:bidi="ar-SA"/>
    </w:rPr>
  </w:style>
  <w:style w:type="paragraph" w:styleId="Footnotetext">
    <w:name w:val="footnote text"/>
    <w:basedOn w:val="Normal"/>
    <w:link w:val="TestonotaapidipaginaCarattere"/>
    <w:uiPriority w:val="99"/>
    <w:semiHidden/>
    <w:unhideWhenUsed/>
    <w:rsid w:val="001d15ee"/>
    <w:pPr>
      <w:spacing w:lineRule="auto" w:line="240" w:before="0" w:after="0"/>
    </w:pPr>
    <w:rPr>
      <w:sz w:val="20"/>
      <w:szCs w:val="20"/>
    </w:rPr>
  </w:style>
  <w:style w:type="paragraph" w:styleId="ListParagraph">
    <w:name w:val="List Paragraph"/>
    <w:basedOn w:val="Normal"/>
    <w:uiPriority w:val="34"/>
    <w:qFormat/>
    <w:rsid w:val="00603302"/>
    <w:pPr>
      <w:spacing w:before="0" w:after="200"/>
      <w:ind w:left="720" w:right="0" w:hanging="0"/>
      <w:contextualSpacing/>
    </w:pPr>
    <w:rPr/>
  </w:style>
  <w:style w:type="paragraph" w:styleId="BalloonText">
    <w:name w:val="Balloon Text"/>
    <w:basedOn w:val="Normal"/>
    <w:link w:val="TestofumettoCarattere"/>
    <w:uiPriority w:val="99"/>
    <w:semiHidden/>
    <w:unhideWhenUsed/>
    <w:rsid w:val="00fe11a7"/>
    <w:pPr>
      <w:spacing w:lineRule="auto" w:line="240" w:before="0" w:after="0"/>
    </w:pPr>
    <w:rPr>
      <w:rFonts w:ascii="Tahoma" w:hAnsi="Tahoma" w:cs="Tahoma"/>
      <w:sz w:val="16"/>
      <w:szCs w:val="16"/>
    </w:rPr>
  </w:style>
  <w:style w:type="paragraph" w:styleId="Annotationtext">
    <w:name w:val="annotation text"/>
    <w:basedOn w:val="Normal"/>
    <w:link w:val="TestocommentoCarattere"/>
    <w:uiPriority w:val="99"/>
    <w:semiHidden/>
    <w:unhideWhenUsed/>
    <w:rsid w:val="00de462b"/>
    <w:pPr>
      <w:spacing w:lineRule="auto" w:line="240"/>
    </w:pPr>
    <w:rPr>
      <w:sz w:val="20"/>
      <w:szCs w:val="20"/>
    </w:rPr>
  </w:style>
  <w:style w:type="paragraph" w:styleId="Annotationsubject">
    <w:name w:val="annotation subject"/>
    <w:basedOn w:val="Annotationtext"/>
    <w:link w:val="SoggettocommentoCarattere"/>
    <w:uiPriority w:val="99"/>
    <w:semiHidden/>
    <w:unhideWhenUsed/>
    <w:rsid w:val="00de462b"/>
    <w:pPr/>
    <w:rPr>
      <w:b/>
      <w:bCs/>
    </w:rPr>
  </w:style>
  <w:style w:type="paragraph" w:styleId="Notaapidipagina">
    <w:name w:val="Nota a piè di pagina"/>
    <w:basedOn w:val="Normal"/>
    <w:pPr/>
    <w:rPr/>
  </w:style>
  <w:style w:type="paragraph" w:styleId="Citazione">
    <w:name w:val="Citazione"/>
    <w:basedOn w:val="Normal"/>
    <w:pPr/>
    <w:rPr/>
  </w:style>
  <w:style w:type="paragraph" w:styleId="Titoloprincipale">
    <w:name w:val="Titolo principale"/>
    <w:basedOn w:val="Titolo"/>
    <w:pPr/>
    <w:rPr/>
  </w:style>
  <w:style w:type="paragraph" w:styleId="Sottotitolo">
    <w:name w:val="Sottotitolo"/>
    <w:basedOn w:val="Titolo"/>
    <w:pPr/>
    <w:rPr/>
  </w:style>
  <w:style w:type="paragraph" w:styleId="TESTOBIBLIOGRAFIA">
    <w:name w:val="TESTO BIBLIOGRAFIA"/>
    <w:pPr>
      <w:widowControl/>
      <w:suppressAutoHyphens w:val="true"/>
      <w:overflowPunct w:val="false"/>
      <w:bidi w:val="0"/>
      <w:spacing w:lineRule="auto" w:line="276"/>
      <w:ind w:left="1418" w:right="0" w:hanging="1418"/>
      <w:jc w:val="both"/>
      <w:textAlignment w:val="baseline"/>
    </w:pPr>
    <w:rPr>
      <w:rFonts w:ascii="Courier" w:hAnsi="Courier" w:eastAsia="Times New Roman" w:cs="Courier"/>
      <w:color w:val="00000A"/>
      <w:sz w:val="24"/>
      <w:szCs w:val="20"/>
      <w:lang w:val="it-IT" w:eastAsia="it-IT" w:bidi="ar-SA"/>
    </w:rPr>
  </w:style>
  <w:style w:type="paragraph" w:styleId="Pidipagina">
    <w:name w:val="Piè di pagina"/>
    <w:basedOn w:val="Normal"/>
    <w:pPr/>
    <w:rPr/>
  </w:style>
  <w:style w:type="numbering" w:styleId="NoList" w:default="1">
    <w:name w:val="No List"/>
    <w:uiPriority w:val="99"/>
    <w:semiHidden/>
    <w:unhideWhenUsed/>
  </w:style>
  <w:style w:type="table" w:default="1" w:styleId="Tabellanormale">
    <w:name w:val="Normal Table"/>
    <w:uiPriority w:val="99"/>
    <w:semiHidden/>
    <w:unhideWhenUsed/>
    <w:qFormat/>
    <w:tblPr>
      <w:tblInd w:type="dxa" w:w="0"/>
      <w:tblCellMar>
        <w:top w:w="0" w:type="dxa"/>
        <w:left w:w="108" w:type="dxa"/>
        <w:bottom w:w="0" w:type="dxa"/>
        <w:right w:w="108" w:type="dxa"/>
      </w:tblCellMar>
    </w:tblPr>
  </w:style>
  <w:style w:type="table" w:styleId="Grigliatabella">
    <w:name w:val="Table Grid"/>
    <w:basedOn w:val="Tabellanormale"/>
    <w:uiPriority w:val="59"/>
    <w:rsid w:val="00b02f99"/>
    <w:pPr>
      <w:spacing w:lineRule="auto" w:after="0" w:line="240"/>
    </w:pPr>
    <w:tblPr>
      <w:tblInd w:type="dxa" w:w="0"/>
      <w:tblBorders>
        <w:top w:space="0" w:sz="4" w:themeColor="text1" w:color="000000" w:val="single"/>
        <w:left w:space="0" w:sz="4" w:themeColor="text1" w:color="000000" w:val="single"/>
        <w:bottom w:space="0" w:sz="4" w:themeColor="text1" w:color="000000" w:val="single"/>
        <w:right w:space="0" w:sz="4" w:themeColor="text1" w:color="000000" w:val="single"/>
        <w:insideH w:space="0" w:sz="4" w:themeColor="text1" w:color="000000" w:val="single"/>
        <w:insideV w:space="0" w:sz="4" w:themeColor="text1" w:color="000000" w:val="single"/>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otnotes" Target="footnot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F0994-0F39-4B50-9D0E-D2860112D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Application>LibreOffice/4.3.7.2$Linux_X86_64 LibreOffice_project/430m0$Build-2</Application>
  <Paragraphs>185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2014-12-16T10:27:00Z</dcterms:created>
  <dc:creator>Utente</dc:creator>
  <dc:language>it-IT</dc:language>
  <cp:lastModifiedBy>me </cp:lastModifiedBy>
  <dcterms:modified xsi:type="dcterms:W3CDTF">2016-04-24T16:05:48Z</dcterms:modified>
  <cp:revision>131</cp:revision>
</cp:coreProperties>
</file>